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560" w:lineRule="exact"/>
        <w:jc w:val="center"/>
        <w:rPr>
          <w:rFonts w:hint="eastAsia" w:ascii="方正小标宋_GBK" w:hAnsi="等线" w:eastAsia="方正小标宋_GBK" w:cs="Times New Roman"/>
          <w:spacing w:val="10"/>
          <w:sz w:val="44"/>
          <w:szCs w:val="44"/>
        </w:rPr>
      </w:pPr>
    </w:p>
    <w:p>
      <w:pPr>
        <w:spacing w:beforeLines="100" w:afterLines="100" w:line="560" w:lineRule="exact"/>
        <w:jc w:val="center"/>
        <w:rPr>
          <w:rFonts w:hint="eastAsia" w:ascii="方正小标宋_GBK" w:hAnsi="等线" w:eastAsia="方正小标宋_GBK" w:cs="Times New Roman"/>
          <w:spacing w:val="10"/>
          <w:sz w:val="44"/>
          <w:szCs w:val="44"/>
          <w:lang w:eastAsia="zh-CN"/>
        </w:rPr>
      </w:pPr>
      <w:r>
        <w:rPr>
          <w:rFonts w:hint="eastAsia" w:ascii="方正小标宋_GBK" w:hAnsi="等线" w:eastAsia="方正小标宋_GBK" w:cs="Times New Roman"/>
          <w:spacing w:val="10"/>
          <w:sz w:val="44"/>
          <w:szCs w:val="44"/>
        </w:rPr>
        <w:t>叶城县2020年</w:t>
      </w:r>
      <w:r>
        <w:rPr>
          <w:rFonts w:hint="eastAsia" w:ascii="方正小标宋_GBK" w:hAnsi="等线" w:eastAsia="方正小标宋_GBK" w:cs="Times New Roman"/>
          <w:spacing w:val="10"/>
          <w:sz w:val="44"/>
          <w:szCs w:val="44"/>
          <w:lang w:eastAsia="zh-CN"/>
        </w:rPr>
        <w:t>度</w:t>
      </w:r>
      <w:r>
        <w:rPr>
          <w:rFonts w:hint="eastAsia" w:ascii="方正小标宋_GBK" w:hAnsi="等线" w:eastAsia="方正小标宋_GBK" w:cs="Times New Roman"/>
          <w:spacing w:val="10"/>
          <w:sz w:val="44"/>
          <w:szCs w:val="44"/>
        </w:rPr>
        <w:t>绩效工作开展情况</w:t>
      </w:r>
      <w:r>
        <w:rPr>
          <w:rFonts w:hint="eastAsia" w:ascii="方正小标宋_GBK" w:hAnsi="等线" w:eastAsia="方正小标宋_GBK" w:cs="Times New Roman"/>
          <w:spacing w:val="10"/>
          <w:sz w:val="44"/>
          <w:szCs w:val="44"/>
          <w:lang w:eastAsia="zh-CN"/>
        </w:rPr>
        <w:t>说明</w:t>
      </w:r>
    </w:p>
    <w:p>
      <w:pPr>
        <w:spacing w:beforeLines="100" w:afterLines="100" w:line="560" w:lineRule="exact"/>
        <w:jc w:val="center"/>
        <w:rPr>
          <w:rFonts w:hint="eastAsia" w:ascii="方正小标宋_GBK" w:hAnsi="等线" w:eastAsia="方正小标宋_GBK" w:cs="Times New Roman"/>
          <w:spacing w:val="1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今年以来，叶城县在县党委、县人民政府的坚强领导下，认真贯彻落实《中共中央 国务院关于全面实施预算绩效管理的意见》（中发〔2018〕34号），以“花钱要问效、有效多安排、低效多压减、无效要问责”的绩效理念，强化预算绩效管理，建立财政预算“编制、执行、绩效、公开、监督”闭环管理体系，全面推进预算绩效管理工作，现将叶城县2020年绩效管理工作情况汇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一、高位推进、形成合力，构建绩效管理制度体系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叶城县高度重视预算绩效管理工作，着重在体制机制保障上下功夫，夯实工作基础。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szCs w:val="32"/>
        </w:rPr>
      </w:pPr>
      <w:r>
        <w:rPr>
          <w:rFonts w:hint="eastAsia" w:ascii="仿宋_GB2312" w:eastAsia="仿宋_GB2312"/>
          <w:sz w:val="32"/>
          <w:szCs w:val="32"/>
        </w:rPr>
        <w:t>（一）紧盯全过程预算绩效管理关键环节，制定2020年绩效目标、绩效监控、绩效评价等工作的实施方案，明确绩效目标、绩效管理指标、评价标准和方法、组织管理、操作流程等相关要求。积极组织第三方机构人员通过日常绩效管理工作对各预算单位绩效专干进行绩效业务培训指导，指导预算单位有序开展预算绩效管理工作，进一步促进绩效政策措施落到实处，推动预算绩效管理延伸至基层和资金使用终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szCs w:val="32"/>
        </w:rPr>
      </w:pPr>
      <w:r>
        <w:rPr>
          <w:rFonts w:hint="eastAsia" w:ascii="仿宋_GB2312" w:eastAsia="仿宋_GB2312"/>
          <w:sz w:val="32"/>
          <w:szCs w:val="32"/>
        </w:rPr>
        <w:t>（二）积极进行绩效资源共享，将《自治区分行业分领域共性项目绩效指标体系（2020年度）》及时发送至各预算单位学习研究，并应用到项目绩效目标编制工作中，进一步提高项目支出绩效目标设置的科学性、合理性、规范性及绩效目标编制质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sz w:val="32"/>
          <w:szCs w:val="32"/>
        </w:rPr>
      </w:pPr>
      <w:r>
        <w:rPr>
          <w:rFonts w:hint="eastAsia" w:ascii="仿宋_GB2312" w:eastAsia="仿宋_GB2312"/>
          <w:sz w:val="32"/>
          <w:szCs w:val="32"/>
        </w:rPr>
        <w:t>（三）加强各方协调沟通，发挥“财政部门+预算单位+第三方评价机构”联动机制作用，实行全过程跟踪指导，发现问题及时反馈资金主管部门，共同研究解决，充分发挥资金效益。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二、引入第三方机构审核，构建科学的绩效评价体系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积极引入第三方机构参与预算绩效管理，配备第三方审核工作人员从事绩效审核工作，提高绩效管理水平和稳步推进预算绩效管理工作奠定基础，聘请中介力量开展重点项目绩效评价工作，及时将评价结果反馈预算单位，指导其整改到位，进一步提高绩效管理工作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三、强化绩效结果应用，硬化绩效激励约束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一是向人民政府报告2020年度各预算单位项目绩效监控情况。对预算单位得分为“优”的通报表扬，对得分为“差”的通报批评。二是对项目绩效监控评分为“差”、低效无效的预算项目开展绩效监控结果应用，对预算安排资金采取收回或调整。三是将2020年绩效评价、2021年绩效监控情况作为预算单位2022年预算项目安排的重要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四、全面实施2020年度预算资金绩效评价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按照“谁使用、谁自评”原则，完成2020年度部门单位整体支出和项目支出绩效评价工作。</w:t>
      </w:r>
      <w:r>
        <w:rPr>
          <w:rFonts w:hint="eastAsia" w:ascii="仿宋_GB2312" w:eastAsia="仿宋_GB2312"/>
          <w:b/>
          <w:sz w:val="32"/>
          <w:szCs w:val="32"/>
        </w:rPr>
        <w:t>一是项目绩效评价。</w:t>
      </w:r>
      <w:r>
        <w:rPr>
          <w:rFonts w:hint="eastAsia" w:ascii="仿宋_GB2312" w:eastAsia="仿宋_GB2312"/>
          <w:sz w:val="32"/>
          <w:szCs w:val="32"/>
        </w:rPr>
        <w:t>开展预算项目绩效自评的项目1014个，预算安排资金50.91亿元。抽取89个项目进行部门绩效评价，预算安排资金17.33亿元；</w:t>
      </w:r>
      <w:r>
        <w:rPr>
          <w:rFonts w:hint="eastAsia" w:ascii="仿宋_GB2312" w:eastAsia="仿宋_GB2312"/>
          <w:b/>
          <w:sz w:val="32"/>
          <w:szCs w:val="32"/>
        </w:rPr>
        <w:t>二是直达（参照）资金绩效评价。</w:t>
      </w:r>
      <w:r>
        <w:rPr>
          <w:rFonts w:hint="eastAsia" w:ascii="仿宋_GB2312" w:eastAsia="仿宋_GB2312"/>
          <w:sz w:val="32"/>
          <w:szCs w:val="32"/>
        </w:rPr>
        <w:t>直达（参照）资金绩效评价项目64个，预算安排资金22.80亿元；</w:t>
      </w:r>
      <w:r>
        <w:rPr>
          <w:rFonts w:hint="eastAsia" w:ascii="仿宋_GB2312" w:eastAsia="仿宋_GB2312"/>
          <w:b/>
          <w:sz w:val="32"/>
          <w:szCs w:val="32"/>
        </w:rPr>
        <w:t>三是中央对地方专项转移支付项目绩效评价</w:t>
      </w:r>
      <w:r>
        <w:rPr>
          <w:rFonts w:hint="eastAsia" w:ascii="仿宋_GB2312" w:eastAsia="仿宋_GB2312"/>
          <w:sz w:val="32"/>
          <w:szCs w:val="32"/>
        </w:rPr>
        <w:t>。中央对地方专项转移支付项目预算安排项目95个，全年预算安排资金12.48亿元；</w:t>
      </w:r>
      <w:r>
        <w:rPr>
          <w:rFonts w:hint="eastAsia" w:ascii="仿宋_GB2312" w:eastAsia="仿宋_GB2312"/>
          <w:b/>
          <w:sz w:val="32"/>
          <w:szCs w:val="32"/>
        </w:rPr>
        <w:t>四是扶贫项目绩效评价。</w:t>
      </w:r>
      <w:r>
        <w:rPr>
          <w:rFonts w:hint="eastAsia" w:ascii="仿宋_GB2312" w:eastAsia="仿宋_GB2312"/>
          <w:sz w:val="32"/>
          <w:szCs w:val="32"/>
        </w:rPr>
        <w:t>扶贫项目78个，预算安排资金25.69亿元；</w:t>
      </w:r>
      <w:r>
        <w:rPr>
          <w:rFonts w:hint="eastAsia" w:ascii="仿宋_GB2312" w:eastAsia="仿宋_GB2312"/>
          <w:b/>
          <w:sz w:val="32"/>
          <w:szCs w:val="32"/>
        </w:rPr>
        <w:t>五是整体支出绩效评价。</w:t>
      </w:r>
      <w:r>
        <w:rPr>
          <w:rFonts w:hint="eastAsia" w:ascii="仿宋_GB2312" w:eastAsia="仿宋_GB2312"/>
          <w:sz w:val="32"/>
          <w:szCs w:val="32"/>
        </w:rPr>
        <w:t>92个预算单位开展整体支出绩效评价，年初预算安排资金66.61亿元；</w:t>
      </w:r>
      <w:r>
        <w:rPr>
          <w:rFonts w:hint="eastAsia" w:ascii="仿宋_GB2312" w:eastAsia="仿宋_GB2312"/>
          <w:b/>
          <w:sz w:val="32"/>
          <w:szCs w:val="32"/>
        </w:rPr>
        <w:t>六是重点项目绩效评价。</w:t>
      </w:r>
      <w:r>
        <w:rPr>
          <w:rFonts w:hint="eastAsia" w:ascii="仿宋_GB2312" w:eastAsia="仿宋_GB2312"/>
          <w:sz w:val="32"/>
          <w:szCs w:val="32"/>
        </w:rPr>
        <w:t>本年度选取5个重点项目进行绩效评价，涉及预算资金安排5048.56万元；</w:t>
      </w:r>
      <w:r>
        <w:rPr>
          <w:rFonts w:hint="eastAsia" w:ascii="仿宋_GB2312" w:eastAsia="仿宋_GB2312"/>
          <w:b/>
          <w:sz w:val="32"/>
          <w:szCs w:val="32"/>
        </w:rPr>
        <w:t>七是强化绩效评价结果应用。</w:t>
      </w:r>
      <w:r>
        <w:rPr>
          <w:rFonts w:hint="eastAsia" w:ascii="仿宋_GB2312" w:eastAsia="仿宋_GB2312"/>
          <w:sz w:val="32"/>
          <w:szCs w:val="32"/>
        </w:rPr>
        <w:t>以2020年项目绩效评价结果为依据，不断改进预算管理方式，促进下年预算编制更加精准，优化资源配置，有效促进绩效管理与预算管理的融舍。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五、全面启动2021年预算绩效管理工作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坚持把绩效目标作为建设项目库、编制部门预算、实施绩效监控、开展绩效评价的重要基础和依据。2020年按照“谁使用资金、谁设置目标”“谁分配资金、谁审核目标”的原则，完成部门单位整体支出和项目支出绩效目标设置审核工作，按照绩效管理相关要求，及时开展5月、8月等重点月的项目绩效监控工作，对项目资金执行及绩效目标完成情况进行“双监控”，及时发现问题督促预算单位整改，提高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六、持续加强绩效信息亮化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严格按照《中华人民共和国预算法》和全面实施预算绩效管理的要求，大力推动预算绩效公开。按照法定程序，主动向同级人大报告预算绩效管理工作。将2020年度部门单位项目支出绩效自评报告、2021年度部门单位项目绩效目标全部随部门预决算同步向社会公开，自觉接受人大和社会各界的监督，增强财政资金使用的透明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七、进一步加强预算绩效管理的工作措施</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b/>
          <w:sz w:val="32"/>
          <w:szCs w:val="32"/>
        </w:rPr>
      </w:pPr>
      <w:r>
        <w:rPr>
          <w:rFonts w:hint="eastAsia" w:ascii="仿宋_GB2312" w:eastAsia="仿宋_GB2312"/>
          <w:b/>
          <w:sz w:val="32"/>
          <w:szCs w:val="32"/>
        </w:rPr>
        <w:t>（一）进一步提高政治站位，坚决树牢绩效理念。</w:t>
      </w:r>
      <w:r>
        <w:rPr>
          <w:rFonts w:hint="eastAsia" w:ascii="仿宋_GB2312" w:eastAsia="仿宋_GB2312"/>
          <w:sz w:val="32"/>
          <w:szCs w:val="32"/>
        </w:rPr>
        <w:t>持之以恒地把做好全面实施预算绩效管理工作作为一项重大的政治任务来抓，紧扣绩效关键节点，压实责任，具体盯办，创新工作方法，统一步调，扎实落实绩效管理的各项工作任务。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sz w:val="32"/>
          <w:szCs w:val="32"/>
        </w:rPr>
      </w:pPr>
      <w:r>
        <w:rPr>
          <w:rFonts w:hint="eastAsia" w:ascii="仿宋_GB2312" w:eastAsia="仿宋_GB2312"/>
          <w:b/>
          <w:sz w:val="32"/>
          <w:szCs w:val="32"/>
        </w:rPr>
        <w:t>（二）提升预算绩效管理水平。</w:t>
      </w:r>
      <w:r>
        <w:rPr>
          <w:rFonts w:hint="eastAsia" w:ascii="仿宋_GB2312" w:eastAsia="仿宋_GB2312"/>
          <w:sz w:val="32"/>
          <w:szCs w:val="32"/>
        </w:rPr>
        <w:t>进一步推进事前绩效评估，细化评估标准、硬化条件，全面强化绩效目标管理，科学合理设定定性、定量指标，做实绩效运行监控，及时发现和纠正绩效目标执行偏差和管理问题，提高执行有效性，推进绩效管理工作情况考核和结果应用，完善绩效约束和激励机制，促进预算绩效管理的高质量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sz w:val="32"/>
          <w:szCs w:val="32"/>
        </w:rPr>
      </w:pPr>
      <w:r>
        <w:rPr>
          <w:rFonts w:hint="eastAsia" w:ascii="仿宋_GB2312" w:eastAsia="仿宋_GB2312"/>
          <w:b/>
          <w:sz w:val="32"/>
          <w:szCs w:val="32"/>
        </w:rPr>
        <w:t>（三）完善预算绩效管理监督机制。</w:t>
      </w:r>
      <w:r>
        <w:rPr>
          <w:rFonts w:hint="eastAsia" w:ascii="仿宋_GB2312" w:eastAsia="仿宋_GB2312"/>
          <w:sz w:val="32"/>
          <w:szCs w:val="32"/>
        </w:rPr>
        <w:t>建立上下协调、部门联动、层层抓落实的工作机制，财政、审计等部门把重大政策实施成效、支出绩效和绩效责任作为财政监督和审计的重点，发现违纪、违法问题线索，及时移送纪检监察机关，做到“花钱必问效、无效必问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（四）加大绩效信息公开和政策培训与宣传。</w:t>
      </w:r>
      <w:r>
        <w:rPr>
          <w:rFonts w:hint="eastAsia" w:ascii="仿宋_GB2312" w:eastAsia="仿宋_GB2312"/>
          <w:sz w:val="32"/>
          <w:szCs w:val="32"/>
        </w:rPr>
        <w:t>持续加强绩效信息公开，搭建社会公众参与绩效管理的途径和平台，积极主动将绩效信息公开，接受社会监督，同时注重政策培训，适时组织开展培训，全面树立“花钱必问效、无效必追责</w:t>
      </w:r>
      <w:bookmarkStart w:id="0" w:name="_GoBack"/>
      <w:bookmarkEnd w:id="0"/>
      <w:r>
        <w:rPr>
          <w:rFonts w:hint="eastAsia" w:ascii="仿宋_GB2312" w:eastAsia="仿宋_GB2312"/>
          <w:sz w:val="32"/>
          <w:szCs w:val="32"/>
        </w:rPr>
        <w:t>”的绩效管理理念。</w:t>
      </w:r>
    </w:p>
    <w:p>
      <w:pPr>
        <w:spacing w:line="56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叶城县财政局</w:t>
      </w:r>
    </w:p>
    <w:p>
      <w:pPr>
        <w:spacing w:line="560" w:lineRule="exact"/>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2021年9月6日</w:t>
      </w: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3B04"/>
    <w:rsid w:val="000B08E4"/>
    <w:rsid w:val="001B6C39"/>
    <w:rsid w:val="00204ACC"/>
    <w:rsid w:val="0020768E"/>
    <w:rsid w:val="002332F7"/>
    <w:rsid w:val="00360FA5"/>
    <w:rsid w:val="00490FD8"/>
    <w:rsid w:val="004E3AAF"/>
    <w:rsid w:val="006739B4"/>
    <w:rsid w:val="007D424A"/>
    <w:rsid w:val="00813B04"/>
    <w:rsid w:val="00A8708B"/>
    <w:rsid w:val="00AA1557"/>
    <w:rsid w:val="00AA6BBE"/>
    <w:rsid w:val="00B64F19"/>
    <w:rsid w:val="00BC503D"/>
    <w:rsid w:val="00BF4822"/>
    <w:rsid w:val="00BF5A89"/>
    <w:rsid w:val="00DC2A4E"/>
    <w:rsid w:val="00DE0A1B"/>
    <w:rsid w:val="00DF1F8D"/>
    <w:rsid w:val="00E45964"/>
    <w:rsid w:val="00EA459D"/>
    <w:rsid w:val="00F371D0"/>
    <w:rsid w:val="00FE587C"/>
    <w:rsid w:val="036D14E3"/>
    <w:rsid w:val="472A5024"/>
    <w:rsid w:val="50632187"/>
    <w:rsid w:val="5CB917F5"/>
    <w:rsid w:val="7BAE28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p15"/>
    <w:basedOn w:val="1"/>
    <w:qFormat/>
    <w:uiPriority w:val="0"/>
    <w:pPr>
      <w:widowControl/>
    </w:pPr>
    <w:rPr>
      <w:rFonts w:ascii="Calibri" w:hAnsi="Calibri" w:eastAsia="宋体" w:cs="宋体"/>
      <w:kern w:val="0"/>
      <w:szCs w:val="21"/>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340</Words>
  <Characters>1943</Characters>
  <Lines>16</Lines>
  <Paragraphs>4</Paragraphs>
  <TotalTime>100</TotalTime>
  <ScaleCrop>false</ScaleCrop>
  <LinksUpToDate>false</LinksUpToDate>
  <CharactersWithSpaces>2279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2021-09-08T14:07:00Z</dcterms:created>
  <dc:creator>nhq</dc:creator>
  <cp:lastModifiedBy>Administrator</cp:lastModifiedBy>
  <cp:lastPrinted>2021-09-08T15:03:00Z</cp:lastPrinted>
  <dcterms:modified xsi:type="dcterms:W3CDTF">2021-09-11T11:06:55Z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