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hAnsi="宋体" w:eastAsia="方正小标宋简体" w:cs="仿宋_GB2312"/>
          <w:sz w:val="44"/>
          <w:szCs w:val="44"/>
        </w:rPr>
      </w:pPr>
    </w:p>
    <w:p>
      <w:pPr>
        <w:spacing w:line="600" w:lineRule="exact"/>
        <w:jc w:val="center"/>
        <w:rPr>
          <w:rFonts w:hint="eastAsia" w:ascii="方正小标宋简体" w:hAnsi="宋体" w:eastAsia="方正小标宋简体" w:cs="仿宋_GB2312"/>
          <w:sz w:val="44"/>
          <w:szCs w:val="44"/>
        </w:rPr>
      </w:pPr>
      <w:r>
        <w:rPr>
          <w:rFonts w:hint="eastAsia" w:ascii="方正小标宋简体" w:hAnsi="宋体" w:eastAsia="方正小标宋简体" w:cs="仿宋_GB2312"/>
          <w:sz w:val="44"/>
          <w:szCs w:val="44"/>
        </w:rPr>
        <w:t>叶城县</w:t>
      </w:r>
      <w:r>
        <w:rPr>
          <w:rFonts w:hint="eastAsia" w:ascii="方正小标宋简体" w:hAnsi="宋体" w:eastAsia="方正小标宋简体" w:cs="仿宋_GB2312"/>
          <w:sz w:val="44"/>
          <w:szCs w:val="44"/>
          <w:lang w:eastAsia="zh-CN"/>
        </w:rPr>
        <w:t>202</w:t>
      </w:r>
      <w:r>
        <w:rPr>
          <w:rFonts w:hint="eastAsia" w:ascii="方正小标宋简体" w:hAnsi="宋体" w:eastAsia="方正小标宋简体" w:cs="仿宋_GB2312"/>
          <w:sz w:val="44"/>
          <w:szCs w:val="44"/>
          <w:lang w:val="en-US" w:eastAsia="zh-CN"/>
        </w:rPr>
        <w:t>2</w:t>
      </w:r>
      <w:r>
        <w:rPr>
          <w:rFonts w:hint="eastAsia" w:ascii="方正小标宋简体" w:hAnsi="宋体" w:eastAsia="方正小标宋简体" w:cs="仿宋_GB2312"/>
          <w:sz w:val="44"/>
          <w:szCs w:val="44"/>
          <w:lang w:eastAsia="zh-CN"/>
        </w:rPr>
        <w:t>年</w:t>
      </w:r>
      <w:r>
        <w:rPr>
          <w:rFonts w:hint="eastAsia" w:ascii="方正小标宋简体" w:hAnsi="宋体" w:eastAsia="方正小标宋简体" w:cs="仿宋_GB2312"/>
          <w:sz w:val="44"/>
          <w:szCs w:val="44"/>
        </w:rPr>
        <w:t>度一般公共预算“三公”经费决算执行情况说明</w:t>
      </w:r>
    </w:p>
    <w:p>
      <w:pPr>
        <w:spacing w:line="600" w:lineRule="exact"/>
        <w:jc w:val="center"/>
        <w:rPr>
          <w:rFonts w:hint="eastAsia" w:ascii="方正小标宋简体" w:eastAsia="方正小标宋简体"/>
          <w:sz w:val="44"/>
          <w:szCs w:val="44"/>
        </w:rPr>
      </w:pPr>
    </w:p>
    <w:p>
      <w:pPr>
        <w:numPr>
          <w:ilvl w:val="0"/>
          <w:numId w:val="1"/>
        </w:numPr>
        <w:spacing w:line="600" w:lineRule="exact"/>
        <w:ind w:firstLine="700" w:firstLineChars="218"/>
        <w:rPr>
          <w:rFonts w:hint="eastAsia" w:ascii="仿宋_GB2312" w:hAnsi="宋体" w:eastAsia="仿宋_GB2312"/>
          <w:b/>
          <w:bCs/>
          <w:sz w:val="32"/>
          <w:szCs w:val="32"/>
          <w:lang w:eastAsia="zh-CN"/>
        </w:rPr>
      </w:pPr>
      <w:r>
        <w:rPr>
          <w:rFonts w:hint="eastAsia" w:ascii="仿宋_GB2312" w:hAnsi="宋体" w:eastAsia="仿宋_GB2312"/>
          <w:b/>
          <w:bCs/>
          <w:sz w:val="32"/>
          <w:szCs w:val="32"/>
          <w:lang w:eastAsia="zh-CN"/>
        </w:rPr>
        <w:t>叶城县预算单位、人员及车辆基本情况</w:t>
      </w:r>
    </w:p>
    <w:p>
      <w:pPr>
        <w:numPr>
          <w:ilvl w:val="0"/>
          <w:numId w:val="0"/>
        </w:numPr>
        <w:spacing w:line="600" w:lineRule="exact"/>
        <w:rPr>
          <w:rFonts w:hint="default" w:ascii="仿宋_GB2312" w:hAnsi="宋体" w:eastAsia="仿宋_GB2312"/>
          <w:b/>
          <w:bCs/>
          <w:sz w:val="32"/>
          <w:szCs w:val="32"/>
          <w:lang w:val="en-US" w:eastAsia="zh-CN"/>
        </w:rPr>
      </w:pPr>
      <w:r>
        <w:rPr>
          <w:rFonts w:hint="eastAsia" w:ascii="仿宋_GB2312" w:hAnsi="宋体" w:eastAsia="仿宋_GB2312"/>
          <w:b/>
          <w:bCs/>
          <w:sz w:val="32"/>
          <w:szCs w:val="32"/>
          <w:lang w:val="en-US" w:eastAsia="zh-CN"/>
        </w:rPr>
        <w:t xml:space="preserve">    2</w:t>
      </w:r>
      <w:r>
        <w:rPr>
          <w:rFonts w:hint="eastAsia" w:ascii="仿宋_GB2312" w:hAnsi="宋体" w:eastAsia="仿宋_GB2312" w:cs="Times New Roman"/>
          <w:sz w:val="32"/>
          <w:szCs w:val="32"/>
          <w:lang w:val="en-US" w:eastAsia="zh-CN"/>
        </w:rPr>
        <w:t>022年度,叶城县共95个一级预算部门，共有16865人，其中：在职人员16860人（其中：行政人员2738人，参公人员1016人，事业人员12828人,经费自理人员278人），离休人员5人。公务用车总数459辆（其中：机要通信用车1辆，应急保障用车7辆，执法执勤用车25辆，特种专业技术用车66辆，其他用车360辆）。</w:t>
      </w:r>
    </w:p>
    <w:p>
      <w:pPr>
        <w:spacing w:line="600" w:lineRule="exact"/>
        <w:ind w:firstLine="700" w:firstLineChars="218"/>
        <w:rPr>
          <w:rFonts w:hint="eastAsia" w:ascii="仿宋_GB2312" w:hAnsi="宋体" w:eastAsia="仿宋_GB2312"/>
          <w:b/>
          <w:bCs/>
          <w:sz w:val="32"/>
          <w:szCs w:val="32"/>
        </w:rPr>
      </w:pPr>
      <w:r>
        <w:rPr>
          <w:rFonts w:hint="eastAsia" w:ascii="仿宋_GB2312" w:hAnsi="宋体" w:eastAsia="仿宋_GB2312"/>
          <w:b/>
          <w:bCs/>
          <w:sz w:val="32"/>
          <w:szCs w:val="32"/>
          <w:lang w:eastAsia="zh-CN"/>
        </w:rPr>
        <w:t>二、</w:t>
      </w:r>
      <w:r>
        <w:rPr>
          <w:rFonts w:hint="eastAsia" w:ascii="仿宋_GB2312" w:hAnsi="宋体" w:eastAsia="仿宋_GB2312"/>
          <w:b/>
          <w:bCs/>
          <w:sz w:val="32"/>
          <w:szCs w:val="32"/>
        </w:rPr>
        <w:t>叶城县一般公共预算财政拨款“三公”经费支出总体情况</w:t>
      </w:r>
    </w:p>
    <w:p>
      <w:pPr>
        <w:spacing w:line="600" w:lineRule="exact"/>
        <w:ind w:firstLine="697" w:firstLineChars="218"/>
        <w:rPr>
          <w:rFonts w:hint="eastAsia" w:ascii="仿宋_GB2312" w:hAnsi="宋体" w:eastAsia="仿宋_GB2312"/>
          <w:sz w:val="32"/>
          <w:szCs w:val="32"/>
        </w:rPr>
      </w:pPr>
      <w:r>
        <w:rPr>
          <w:rFonts w:hint="eastAsia" w:ascii="仿宋_GB2312" w:hAnsi="宋体" w:eastAsia="仿宋_GB2312"/>
          <w:sz w:val="32"/>
          <w:szCs w:val="32"/>
        </w:rPr>
        <w:t>为认真贯彻落实中央八项规定、自治区十项规定，叶城县坚持厉行勤俭节约，反对铺张浪费，严格控制因公出国（境）费、公务接待费、公务用车购置及运行费等“三公”经费支出，降低行政成本，优化支出结构。</w:t>
      </w:r>
    </w:p>
    <w:p>
      <w:pPr>
        <w:spacing w:line="600" w:lineRule="exact"/>
        <w:ind w:firstLine="700" w:firstLineChars="218"/>
        <w:rPr>
          <w:rFonts w:hint="eastAsia" w:ascii="仿宋_GB2312" w:hAnsi="宋体" w:eastAsia="仿宋_GB2312"/>
          <w:sz w:val="32"/>
          <w:szCs w:val="32"/>
        </w:rPr>
      </w:pPr>
      <w:r>
        <w:rPr>
          <w:rFonts w:hint="eastAsia" w:ascii="仿宋_GB2312" w:hAnsi="宋体" w:eastAsia="仿宋_GB2312"/>
          <w:b/>
          <w:sz w:val="32"/>
          <w:szCs w:val="32"/>
        </w:rPr>
        <w:t>（一）</w:t>
      </w:r>
      <w:r>
        <w:rPr>
          <w:rFonts w:hint="eastAsia" w:ascii="仿宋_GB2312" w:eastAsia="仿宋_GB2312" w:cs="仿宋_GB2312"/>
          <w:b/>
          <w:sz w:val="32"/>
          <w:szCs w:val="32"/>
          <w:lang w:eastAsia="zh-CN"/>
        </w:rPr>
        <w:t>202</w:t>
      </w:r>
      <w:r>
        <w:rPr>
          <w:rFonts w:hint="eastAsia" w:ascii="仿宋_GB2312" w:eastAsia="仿宋_GB2312" w:cs="仿宋_GB2312"/>
          <w:b/>
          <w:sz w:val="32"/>
          <w:szCs w:val="32"/>
          <w:lang w:val="en-US" w:eastAsia="zh-CN"/>
        </w:rPr>
        <w:t>2</w:t>
      </w:r>
      <w:r>
        <w:rPr>
          <w:rFonts w:hint="eastAsia" w:ascii="仿宋_GB2312" w:eastAsia="仿宋_GB2312" w:cs="仿宋_GB2312"/>
          <w:b/>
          <w:sz w:val="32"/>
          <w:szCs w:val="32"/>
          <w:lang w:eastAsia="zh-CN"/>
        </w:rPr>
        <w:t>年</w:t>
      </w:r>
      <w:r>
        <w:rPr>
          <w:rFonts w:hint="eastAsia" w:ascii="仿宋_GB2312" w:eastAsia="仿宋_GB2312" w:cs="仿宋_GB2312"/>
          <w:b/>
          <w:sz w:val="32"/>
          <w:szCs w:val="32"/>
        </w:rPr>
        <w:t>度</w:t>
      </w:r>
      <w:r>
        <w:rPr>
          <w:rFonts w:hint="eastAsia" w:ascii="仿宋_GB2312" w:eastAsia="仿宋_GB2312" w:cs="仿宋_GB2312"/>
          <w:b/>
          <w:sz w:val="32"/>
          <w:szCs w:val="32"/>
          <w:lang w:eastAsia="zh-CN"/>
        </w:rPr>
        <w:t>“三公”经费</w:t>
      </w:r>
      <w:r>
        <w:rPr>
          <w:rFonts w:hint="eastAsia" w:ascii="仿宋_GB2312" w:eastAsia="仿宋_GB2312" w:cs="仿宋_GB2312"/>
          <w:b/>
          <w:sz w:val="32"/>
          <w:szCs w:val="32"/>
        </w:rPr>
        <w:t>决算情况、与上年对比情况</w:t>
      </w:r>
    </w:p>
    <w:p>
      <w:pPr>
        <w:spacing w:line="600" w:lineRule="exact"/>
        <w:ind w:firstLine="697" w:firstLineChars="218"/>
        <w:rPr>
          <w:rFonts w:hint="eastAsia" w:ascii="仿宋_GB2312" w:hAnsi="宋体" w:eastAsia="仿宋_GB2312"/>
          <w:sz w:val="32"/>
          <w:szCs w:val="32"/>
        </w:rPr>
      </w:pPr>
      <w:r>
        <w:rPr>
          <w:rFonts w:hint="eastAsia" w:ascii="仿宋_GB2312" w:hAnsi="宋体" w:eastAsia="仿宋_GB2312"/>
          <w:sz w:val="32"/>
          <w:szCs w:val="32"/>
          <w:lang w:eastAsia="zh-CN"/>
        </w:rPr>
        <w:t>202</w:t>
      </w:r>
      <w:r>
        <w:rPr>
          <w:rFonts w:hint="eastAsia" w:ascii="仿宋_GB2312" w:hAnsi="宋体" w:eastAsia="仿宋_GB2312"/>
          <w:sz w:val="32"/>
          <w:szCs w:val="32"/>
          <w:lang w:val="en-US" w:eastAsia="zh-CN"/>
        </w:rPr>
        <w:t>2</w:t>
      </w:r>
      <w:r>
        <w:rPr>
          <w:rFonts w:hint="eastAsia" w:ascii="仿宋_GB2312" w:hAnsi="宋体" w:eastAsia="仿宋_GB2312"/>
          <w:sz w:val="32"/>
          <w:szCs w:val="32"/>
          <w:lang w:eastAsia="zh-CN"/>
        </w:rPr>
        <w:t>年</w:t>
      </w:r>
      <w:r>
        <w:rPr>
          <w:rFonts w:hint="eastAsia" w:ascii="仿宋_GB2312" w:hAnsi="宋体" w:eastAsia="仿宋_GB2312"/>
          <w:sz w:val="32"/>
          <w:szCs w:val="32"/>
        </w:rPr>
        <w:t>叶城县“三公”经费共计支出</w:t>
      </w:r>
      <w:r>
        <w:rPr>
          <w:rFonts w:hint="eastAsia" w:ascii="仿宋_GB2312" w:hAnsi="宋体" w:eastAsia="仿宋_GB2312"/>
          <w:sz w:val="32"/>
          <w:szCs w:val="32"/>
          <w:lang w:val="en-US" w:eastAsia="zh-CN"/>
        </w:rPr>
        <w:t>175</w:t>
      </w:r>
      <w:r>
        <w:rPr>
          <w:rFonts w:hint="eastAsia" w:ascii="仿宋_GB2312" w:hAnsi="宋体" w:eastAsia="仿宋_GB2312"/>
          <w:sz w:val="32"/>
          <w:szCs w:val="32"/>
        </w:rPr>
        <w:t>万元，较20</w:t>
      </w:r>
      <w:r>
        <w:rPr>
          <w:rFonts w:hint="eastAsia" w:ascii="仿宋_GB2312" w:hAnsi="宋体" w:eastAsia="仿宋_GB2312"/>
          <w:sz w:val="32"/>
          <w:szCs w:val="32"/>
          <w:lang w:val="en-US" w:eastAsia="zh-CN"/>
        </w:rPr>
        <w:t>21</w:t>
      </w:r>
      <w:r>
        <w:rPr>
          <w:rFonts w:hint="eastAsia" w:ascii="仿宋_GB2312" w:hAnsi="宋体" w:eastAsia="仿宋_GB2312"/>
          <w:sz w:val="32"/>
          <w:szCs w:val="32"/>
        </w:rPr>
        <w:t>年“三公”经费</w:t>
      </w:r>
      <w:r>
        <w:rPr>
          <w:rFonts w:hint="eastAsia" w:ascii="仿宋_GB2312" w:hAnsi="宋体" w:eastAsia="仿宋_GB2312"/>
          <w:sz w:val="32"/>
          <w:szCs w:val="32"/>
          <w:lang w:eastAsia="zh-CN"/>
        </w:rPr>
        <w:t>减少</w:t>
      </w:r>
      <w:r>
        <w:rPr>
          <w:rFonts w:hint="eastAsia" w:ascii="仿宋_GB2312" w:hAnsi="宋体" w:eastAsia="仿宋_GB2312"/>
          <w:sz w:val="32"/>
          <w:szCs w:val="32"/>
          <w:lang w:val="en-US" w:eastAsia="zh-CN"/>
        </w:rPr>
        <w:t>73</w:t>
      </w:r>
      <w:r>
        <w:rPr>
          <w:rFonts w:hint="eastAsia" w:ascii="仿宋_GB2312" w:hAnsi="宋体" w:eastAsia="仿宋_GB2312"/>
          <w:sz w:val="32"/>
          <w:szCs w:val="32"/>
        </w:rPr>
        <w:t>万元，</w:t>
      </w:r>
      <w:r>
        <w:rPr>
          <w:rFonts w:hint="eastAsia" w:ascii="仿宋_GB2312" w:hAnsi="宋体" w:eastAsia="仿宋_GB2312"/>
          <w:sz w:val="32"/>
          <w:szCs w:val="32"/>
          <w:lang w:eastAsia="zh-CN"/>
        </w:rPr>
        <w:t>下降</w:t>
      </w:r>
      <w:r>
        <w:rPr>
          <w:rFonts w:hint="eastAsia" w:ascii="仿宋_GB2312" w:hAnsi="宋体" w:eastAsia="仿宋_GB2312"/>
          <w:sz w:val="32"/>
          <w:szCs w:val="32"/>
          <w:lang w:val="en-US" w:eastAsia="zh-CN"/>
        </w:rPr>
        <w:t>29.43</w:t>
      </w:r>
      <w:r>
        <w:rPr>
          <w:rFonts w:hint="eastAsia" w:ascii="仿宋_GB2312" w:hAnsi="宋体" w:eastAsia="仿宋_GB2312"/>
          <w:sz w:val="32"/>
          <w:szCs w:val="32"/>
        </w:rPr>
        <w:t>%。其中：</w:t>
      </w:r>
    </w:p>
    <w:p>
      <w:pPr>
        <w:spacing w:line="600" w:lineRule="exact"/>
        <w:ind w:firstLine="697" w:firstLineChars="218"/>
        <w:rPr>
          <w:rFonts w:hint="eastAsia" w:ascii="仿宋_GB2312" w:hAnsi="宋体" w:eastAsia="仿宋_GB2312"/>
          <w:sz w:val="32"/>
          <w:szCs w:val="32"/>
        </w:rPr>
      </w:pPr>
      <w:r>
        <w:rPr>
          <w:rFonts w:hint="eastAsia" w:ascii="仿宋_GB2312" w:hAnsi="宋体" w:eastAsia="仿宋_GB2312"/>
          <w:sz w:val="32"/>
          <w:szCs w:val="32"/>
        </w:rPr>
        <w:t>1、</w:t>
      </w:r>
      <w:r>
        <w:rPr>
          <w:rFonts w:hint="eastAsia" w:ascii="仿宋_GB2312" w:hAnsi="宋体" w:eastAsia="仿宋_GB2312"/>
          <w:sz w:val="32"/>
          <w:szCs w:val="32"/>
          <w:lang w:eastAsia="zh-CN"/>
        </w:rPr>
        <w:t>202</w:t>
      </w:r>
      <w:r>
        <w:rPr>
          <w:rFonts w:hint="eastAsia" w:ascii="仿宋_GB2312" w:hAnsi="宋体" w:eastAsia="仿宋_GB2312"/>
          <w:sz w:val="32"/>
          <w:szCs w:val="32"/>
          <w:lang w:val="en-US" w:eastAsia="zh-CN"/>
        </w:rPr>
        <w:t>2</w:t>
      </w:r>
      <w:r>
        <w:rPr>
          <w:rFonts w:hint="eastAsia" w:ascii="仿宋_GB2312" w:hAnsi="宋体" w:eastAsia="仿宋_GB2312"/>
          <w:sz w:val="32"/>
          <w:szCs w:val="32"/>
          <w:lang w:eastAsia="zh-CN"/>
        </w:rPr>
        <w:t>年</w:t>
      </w:r>
      <w:r>
        <w:rPr>
          <w:rFonts w:hint="eastAsia" w:ascii="仿宋_GB2312" w:hAnsi="宋体" w:eastAsia="仿宋_GB2312"/>
          <w:sz w:val="32"/>
          <w:szCs w:val="32"/>
        </w:rPr>
        <w:t>我县无因公出国（境）费，与上年一致。主要是我县各部门单位今年无出国考察、培训等安排。</w:t>
      </w:r>
    </w:p>
    <w:p>
      <w:pPr>
        <w:spacing w:line="600" w:lineRule="exact"/>
        <w:ind w:firstLine="697" w:firstLineChars="218"/>
        <w:rPr>
          <w:rFonts w:hint="eastAsia" w:ascii="仿宋_GB2312" w:hAnsi="宋体" w:eastAsia="仿宋_GB2312"/>
          <w:sz w:val="32"/>
          <w:szCs w:val="32"/>
          <w:lang w:val="en-US" w:eastAsia="zh-CN"/>
        </w:rPr>
      </w:pPr>
      <w:r>
        <w:rPr>
          <w:rFonts w:hint="eastAsia" w:ascii="仿宋_GB2312" w:hAnsi="宋体" w:eastAsia="仿宋_GB2312"/>
          <w:sz w:val="32"/>
          <w:szCs w:val="32"/>
        </w:rPr>
        <w:t>2、</w:t>
      </w:r>
      <w:r>
        <w:rPr>
          <w:rFonts w:hint="eastAsia" w:ascii="仿宋_GB2312" w:hAnsi="宋体" w:eastAsia="仿宋_GB2312"/>
          <w:sz w:val="32"/>
          <w:szCs w:val="32"/>
          <w:lang w:eastAsia="zh-CN"/>
        </w:rPr>
        <w:t>202</w:t>
      </w:r>
      <w:r>
        <w:rPr>
          <w:rFonts w:hint="eastAsia" w:ascii="仿宋_GB2312" w:hAnsi="宋体" w:eastAsia="仿宋_GB2312"/>
          <w:sz w:val="32"/>
          <w:szCs w:val="32"/>
          <w:lang w:val="en-US" w:eastAsia="zh-CN"/>
        </w:rPr>
        <w:t>2</w:t>
      </w:r>
      <w:r>
        <w:rPr>
          <w:rFonts w:hint="eastAsia" w:ascii="仿宋_GB2312" w:hAnsi="宋体" w:eastAsia="仿宋_GB2312"/>
          <w:sz w:val="32"/>
          <w:szCs w:val="32"/>
          <w:lang w:eastAsia="zh-CN"/>
        </w:rPr>
        <w:t>年</w:t>
      </w:r>
      <w:r>
        <w:rPr>
          <w:rFonts w:hint="eastAsia" w:ascii="仿宋_GB2312" w:hAnsi="宋体" w:eastAsia="仿宋_GB2312"/>
          <w:sz w:val="32"/>
          <w:szCs w:val="32"/>
        </w:rPr>
        <w:t>公务用车购置及运行维护费为</w:t>
      </w:r>
      <w:r>
        <w:rPr>
          <w:rFonts w:hint="eastAsia" w:ascii="仿宋_GB2312" w:hAnsi="宋体" w:eastAsia="仿宋_GB2312"/>
          <w:sz w:val="32"/>
          <w:szCs w:val="32"/>
          <w:lang w:val="en-US" w:eastAsia="zh-CN"/>
        </w:rPr>
        <w:t>175</w:t>
      </w:r>
      <w:r>
        <w:rPr>
          <w:rFonts w:hint="eastAsia" w:ascii="仿宋_GB2312" w:hAnsi="宋体" w:eastAsia="仿宋_GB2312"/>
          <w:sz w:val="32"/>
          <w:szCs w:val="32"/>
        </w:rPr>
        <w:t>万元，同比</w:t>
      </w:r>
      <w:r>
        <w:rPr>
          <w:rFonts w:hint="eastAsia" w:ascii="仿宋_GB2312" w:hAnsi="宋体" w:eastAsia="仿宋_GB2312"/>
          <w:sz w:val="32"/>
          <w:szCs w:val="32"/>
          <w:lang w:eastAsia="zh-CN"/>
        </w:rPr>
        <w:t>减少</w:t>
      </w:r>
      <w:r>
        <w:rPr>
          <w:rFonts w:hint="eastAsia" w:ascii="仿宋_GB2312" w:hAnsi="宋体" w:eastAsia="仿宋_GB2312"/>
          <w:sz w:val="32"/>
          <w:szCs w:val="32"/>
          <w:lang w:val="en-US" w:eastAsia="zh-CN"/>
        </w:rPr>
        <w:t>73</w:t>
      </w:r>
      <w:r>
        <w:rPr>
          <w:rFonts w:hint="eastAsia" w:ascii="仿宋_GB2312" w:hAnsi="宋体" w:eastAsia="仿宋_GB2312"/>
          <w:sz w:val="32"/>
          <w:szCs w:val="32"/>
        </w:rPr>
        <w:t>万元，</w:t>
      </w:r>
      <w:r>
        <w:rPr>
          <w:rFonts w:hint="eastAsia" w:ascii="仿宋_GB2312" w:hAnsi="宋体" w:eastAsia="仿宋_GB2312"/>
          <w:sz w:val="32"/>
          <w:szCs w:val="32"/>
          <w:lang w:eastAsia="zh-CN"/>
        </w:rPr>
        <w:t>下降</w:t>
      </w:r>
      <w:r>
        <w:rPr>
          <w:rFonts w:hint="eastAsia" w:ascii="仿宋_GB2312" w:hAnsi="宋体" w:eastAsia="仿宋_GB2312"/>
          <w:sz w:val="32"/>
          <w:szCs w:val="32"/>
          <w:lang w:val="en-US" w:eastAsia="zh-CN"/>
        </w:rPr>
        <w:t>29.43</w:t>
      </w:r>
      <w:r>
        <w:rPr>
          <w:rFonts w:hint="eastAsia" w:ascii="仿宋_GB2312" w:hAnsi="宋体" w:eastAsia="仿宋_GB2312"/>
          <w:sz w:val="32"/>
          <w:szCs w:val="32"/>
        </w:rPr>
        <w:t>%。其中：公务用车运行维护费</w:t>
      </w:r>
      <w:r>
        <w:rPr>
          <w:rFonts w:hint="eastAsia" w:ascii="仿宋_GB2312" w:hAnsi="宋体" w:eastAsia="仿宋_GB2312"/>
          <w:sz w:val="32"/>
          <w:szCs w:val="32"/>
          <w:lang w:val="en-US" w:eastAsia="zh-CN"/>
        </w:rPr>
        <w:t>175</w:t>
      </w:r>
      <w:r>
        <w:rPr>
          <w:rFonts w:hint="eastAsia" w:ascii="仿宋_GB2312" w:hAnsi="宋体" w:eastAsia="仿宋_GB2312"/>
          <w:sz w:val="32"/>
          <w:szCs w:val="32"/>
        </w:rPr>
        <w:t>万元，同比减少</w:t>
      </w:r>
      <w:r>
        <w:rPr>
          <w:rFonts w:hint="eastAsia" w:ascii="仿宋_GB2312" w:hAnsi="宋体" w:eastAsia="仿宋_GB2312"/>
          <w:sz w:val="32"/>
          <w:szCs w:val="32"/>
          <w:lang w:val="en-US" w:eastAsia="zh-CN"/>
        </w:rPr>
        <w:t>13</w:t>
      </w:r>
      <w:r>
        <w:rPr>
          <w:rFonts w:hint="eastAsia" w:ascii="仿宋_GB2312" w:hAnsi="宋体" w:eastAsia="仿宋_GB2312"/>
          <w:sz w:val="32"/>
          <w:szCs w:val="32"/>
        </w:rPr>
        <w:t>万元，降低</w:t>
      </w:r>
      <w:r>
        <w:rPr>
          <w:rFonts w:hint="eastAsia" w:ascii="仿宋_GB2312" w:hAnsi="宋体" w:eastAsia="仿宋_GB2312"/>
          <w:sz w:val="32"/>
          <w:szCs w:val="32"/>
          <w:lang w:val="en-US" w:eastAsia="zh-CN"/>
        </w:rPr>
        <w:t>6.91</w:t>
      </w:r>
      <w:r>
        <w:rPr>
          <w:rFonts w:hint="eastAsia" w:ascii="仿宋_GB2312" w:hAnsi="宋体" w:eastAsia="仿宋_GB2312"/>
          <w:sz w:val="32"/>
          <w:szCs w:val="32"/>
        </w:rPr>
        <w:t>%。主要是我县各部门单位严把车辆管控关，严格遵守公务车辆配置标准和管理制度，减少使用高耗油车辆，严禁公车私用。公务用车购置费</w:t>
      </w:r>
      <w:r>
        <w:rPr>
          <w:rFonts w:hint="eastAsia" w:ascii="仿宋_GB2312" w:hAnsi="宋体" w:eastAsia="仿宋_GB2312"/>
          <w:sz w:val="32"/>
          <w:szCs w:val="32"/>
          <w:lang w:val="en-US" w:eastAsia="zh-CN"/>
        </w:rPr>
        <w:t>0万元，</w:t>
      </w:r>
      <w:r>
        <w:rPr>
          <w:rFonts w:hint="eastAsia" w:ascii="仿宋_GB2312" w:hAnsi="宋体" w:eastAsia="仿宋_GB2312"/>
          <w:sz w:val="32"/>
          <w:szCs w:val="32"/>
        </w:rPr>
        <w:t>同比减少</w:t>
      </w:r>
      <w:r>
        <w:rPr>
          <w:rFonts w:hint="eastAsia" w:ascii="仿宋_GB2312" w:hAnsi="宋体" w:eastAsia="仿宋_GB2312"/>
          <w:sz w:val="32"/>
          <w:szCs w:val="32"/>
          <w:lang w:val="en-US" w:eastAsia="zh-CN"/>
        </w:rPr>
        <w:t>60</w:t>
      </w:r>
      <w:r>
        <w:rPr>
          <w:rFonts w:hint="eastAsia" w:ascii="仿宋_GB2312" w:hAnsi="宋体" w:eastAsia="仿宋_GB2312"/>
          <w:sz w:val="32"/>
          <w:szCs w:val="32"/>
        </w:rPr>
        <w:t>万元，降低</w:t>
      </w:r>
      <w:r>
        <w:rPr>
          <w:rFonts w:hint="eastAsia" w:ascii="仿宋_GB2312" w:hAnsi="宋体" w:eastAsia="仿宋_GB2312"/>
          <w:sz w:val="32"/>
          <w:szCs w:val="32"/>
          <w:lang w:val="en-US" w:eastAsia="zh-CN"/>
        </w:rPr>
        <w:t>100</w:t>
      </w:r>
      <w:r>
        <w:rPr>
          <w:rFonts w:hint="eastAsia" w:ascii="仿宋_GB2312" w:hAnsi="宋体" w:eastAsia="仿宋_GB2312"/>
          <w:sz w:val="32"/>
          <w:szCs w:val="32"/>
        </w:rPr>
        <w:t>%</w:t>
      </w:r>
      <w:r>
        <w:rPr>
          <w:rFonts w:hint="eastAsia" w:ascii="仿宋_GB2312" w:hAnsi="宋体" w:eastAsia="仿宋_GB2312"/>
          <w:sz w:val="32"/>
          <w:szCs w:val="32"/>
          <w:lang w:eastAsia="zh-CN"/>
        </w:rPr>
        <w:t>，主要是本年度无公务用车购置情况。</w:t>
      </w:r>
    </w:p>
    <w:p>
      <w:pPr>
        <w:spacing w:line="600" w:lineRule="exact"/>
        <w:ind w:firstLine="697" w:firstLineChars="218"/>
        <w:rPr>
          <w:rFonts w:hint="eastAsia" w:ascii="仿宋_GB2312" w:hAnsi="宋体" w:eastAsia="仿宋_GB2312"/>
          <w:sz w:val="32"/>
          <w:szCs w:val="32"/>
        </w:rPr>
      </w:pPr>
      <w:r>
        <w:rPr>
          <w:rFonts w:hint="eastAsia" w:ascii="仿宋_GB2312" w:hAnsi="宋体" w:eastAsia="仿宋_GB2312"/>
          <w:sz w:val="32"/>
          <w:szCs w:val="32"/>
        </w:rPr>
        <w:t>3、</w:t>
      </w:r>
      <w:r>
        <w:rPr>
          <w:rFonts w:hint="eastAsia" w:ascii="仿宋_GB2312" w:hAnsi="宋体" w:eastAsia="仿宋_GB2312"/>
          <w:sz w:val="32"/>
          <w:szCs w:val="32"/>
          <w:lang w:eastAsia="zh-CN"/>
        </w:rPr>
        <w:t>202</w:t>
      </w:r>
      <w:r>
        <w:rPr>
          <w:rFonts w:hint="eastAsia" w:ascii="仿宋_GB2312" w:hAnsi="宋体" w:eastAsia="仿宋_GB2312"/>
          <w:sz w:val="32"/>
          <w:szCs w:val="32"/>
          <w:lang w:val="en-US" w:eastAsia="zh-CN"/>
        </w:rPr>
        <w:t>2</w:t>
      </w:r>
      <w:r>
        <w:rPr>
          <w:rFonts w:hint="eastAsia" w:ascii="仿宋_GB2312" w:hAnsi="宋体" w:eastAsia="仿宋_GB2312"/>
          <w:sz w:val="32"/>
          <w:szCs w:val="32"/>
          <w:lang w:eastAsia="zh-CN"/>
        </w:rPr>
        <w:t>年</w:t>
      </w:r>
      <w:r>
        <w:rPr>
          <w:rFonts w:hint="eastAsia" w:ascii="仿宋_GB2312" w:hAnsi="宋体" w:eastAsia="仿宋_GB2312"/>
          <w:sz w:val="32"/>
          <w:szCs w:val="32"/>
        </w:rPr>
        <w:t>我县无公务接待费，与上年一致。主要是各部门单位严把监督检查关，对接待费严格控制，减少一切不必要的公务接待开支。</w:t>
      </w:r>
    </w:p>
    <w:p>
      <w:pPr>
        <w:spacing w:line="400" w:lineRule="exact"/>
        <w:ind w:firstLine="697" w:firstLineChars="218"/>
        <w:rPr>
          <w:rFonts w:hint="eastAsia" w:ascii="仿宋_GB2312" w:hAnsi="宋体" w:eastAsia="仿宋_GB2312"/>
          <w:sz w:val="32"/>
          <w:szCs w:val="32"/>
        </w:rPr>
      </w:pPr>
    </w:p>
    <w:p>
      <w:pPr>
        <w:pStyle w:val="2"/>
        <w:widowControl/>
        <w:spacing w:beforeAutospacing="0" w:afterAutospacing="0" w:line="400" w:lineRule="exact"/>
        <w:jc w:val="center"/>
        <w:rPr>
          <w:rFonts w:hint="eastAsia" w:ascii="仿宋_GB2312" w:eastAsia="仿宋_GB2312" w:cs="仿宋_GB2312"/>
          <w:b/>
          <w:sz w:val="32"/>
          <w:szCs w:val="32"/>
        </w:rPr>
      </w:pPr>
      <w:r>
        <w:rPr>
          <w:rFonts w:hint="eastAsia" w:ascii="仿宋_GB2312" w:eastAsia="仿宋_GB2312" w:cs="仿宋_GB2312"/>
          <w:b/>
          <w:sz w:val="32"/>
          <w:szCs w:val="32"/>
        </w:rPr>
        <w:t>叶城县20</w:t>
      </w:r>
      <w:r>
        <w:rPr>
          <w:rFonts w:hint="eastAsia" w:ascii="仿宋_GB2312" w:eastAsia="仿宋_GB2312" w:cs="仿宋_GB2312"/>
          <w:b/>
          <w:sz w:val="32"/>
          <w:szCs w:val="32"/>
          <w:lang w:val="en-US" w:eastAsia="zh-CN"/>
        </w:rPr>
        <w:t>21</w:t>
      </w:r>
      <w:r>
        <w:rPr>
          <w:rFonts w:hint="eastAsia" w:ascii="仿宋_GB2312" w:eastAsia="仿宋_GB2312" w:cs="仿宋_GB2312"/>
          <w:b/>
          <w:sz w:val="32"/>
          <w:szCs w:val="32"/>
        </w:rPr>
        <w:t>-</w:t>
      </w:r>
      <w:r>
        <w:rPr>
          <w:rFonts w:hint="eastAsia" w:ascii="仿宋_GB2312" w:eastAsia="仿宋_GB2312" w:cs="仿宋_GB2312"/>
          <w:b/>
          <w:sz w:val="32"/>
          <w:szCs w:val="32"/>
          <w:lang w:eastAsia="zh-CN"/>
        </w:rPr>
        <w:t>202</w:t>
      </w:r>
      <w:r>
        <w:rPr>
          <w:rFonts w:hint="eastAsia" w:ascii="仿宋_GB2312" w:eastAsia="仿宋_GB2312" w:cs="仿宋_GB2312"/>
          <w:b/>
          <w:sz w:val="32"/>
          <w:szCs w:val="32"/>
          <w:lang w:val="en-US" w:eastAsia="zh-CN"/>
        </w:rPr>
        <w:t>2</w:t>
      </w:r>
      <w:r>
        <w:rPr>
          <w:rFonts w:hint="eastAsia" w:ascii="仿宋_GB2312" w:eastAsia="仿宋_GB2312" w:cs="仿宋_GB2312"/>
          <w:b/>
          <w:sz w:val="32"/>
          <w:szCs w:val="32"/>
          <w:lang w:eastAsia="zh-CN"/>
        </w:rPr>
        <w:t>年</w:t>
      </w:r>
      <w:r>
        <w:rPr>
          <w:rFonts w:hint="eastAsia" w:ascii="仿宋_GB2312" w:eastAsia="仿宋_GB2312" w:cs="仿宋_GB2312"/>
          <w:b/>
          <w:sz w:val="32"/>
          <w:szCs w:val="32"/>
        </w:rPr>
        <w:t>度</w:t>
      </w:r>
      <w:r>
        <w:rPr>
          <w:rFonts w:hint="eastAsia" w:ascii="仿宋_GB2312" w:eastAsia="仿宋_GB2312" w:cs="仿宋_GB2312"/>
          <w:b/>
          <w:sz w:val="32"/>
          <w:szCs w:val="32"/>
          <w:lang w:eastAsia="zh-CN"/>
        </w:rPr>
        <w:t>“三公”经费</w:t>
      </w:r>
      <w:r>
        <w:rPr>
          <w:rFonts w:hint="eastAsia" w:ascii="仿宋_GB2312" w:eastAsia="仿宋_GB2312" w:cs="仿宋_GB2312"/>
          <w:b/>
          <w:sz w:val="32"/>
          <w:szCs w:val="32"/>
        </w:rPr>
        <w:t>情况（万元）</w:t>
      </w:r>
    </w:p>
    <w:p>
      <w:pPr>
        <w:pStyle w:val="2"/>
        <w:widowControl/>
        <w:spacing w:beforeAutospacing="0" w:afterAutospacing="0" w:line="400" w:lineRule="exact"/>
        <w:jc w:val="center"/>
        <w:rPr>
          <w:rFonts w:hint="eastAsia" w:ascii="仿宋_GB2312" w:eastAsia="仿宋_GB2312" w:cs="仿宋_GB2312"/>
          <w:b/>
          <w:sz w:val="32"/>
          <w:szCs w:val="32"/>
        </w:rPr>
      </w:pPr>
    </w:p>
    <w:tbl>
      <w:tblPr>
        <w:tblStyle w:val="3"/>
        <w:tblW w:w="4812"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92"/>
        <w:gridCol w:w="1247"/>
        <w:gridCol w:w="1170"/>
        <w:gridCol w:w="1147"/>
        <w:gridCol w:w="1147"/>
        <w:gridCol w:w="1147"/>
        <w:gridCol w:w="11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836" w:hRule="atLeast"/>
        </w:trPr>
        <w:tc>
          <w:tcPr>
            <w:tcW w:w="727" w:type="pct"/>
            <w:vMerge w:val="restart"/>
            <w:noWrap w:val="0"/>
            <w:vAlign w:val="center"/>
          </w:tcPr>
          <w:p>
            <w:pPr>
              <w:spacing w:line="400" w:lineRule="exact"/>
              <w:jc w:val="center"/>
              <w:rPr>
                <w:rFonts w:hint="eastAsia" w:ascii="仿宋_GB2312" w:hAnsi="黑体" w:eastAsia="仿宋_GB2312" w:cs="宋体"/>
                <w:b/>
                <w:color w:val="000000"/>
                <w:kern w:val="0"/>
                <w:sz w:val="24"/>
                <w:szCs w:val="24"/>
              </w:rPr>
            </w:pPr>
          </w:p>
          <w:p>
            <w:pPr>
              <w:spacing w:line="400" w:lineRule="exact"/>
              <w:ind w:firstLine="118" w:firstLineChars="49"/>
              <w:jc w:val="center"/>
              <w:rPr>
                <w:rFonts w:hint="eastAsia" w:ascii="仿宋_GB2312" w:hAnsi="黑体" w:eastAsia="仿宋_GB2312" w:cs="宋体"/>
                <w:b/>
                <w:color w:val="000000"/>
                <w:kern w:val="0"/>
                <w:sz w:val="24"/>
                <w:szCs w:val="24"/>
              </w:rPr>
            </w:pPr>
            <w:r>
              <w:rPr>
                <w:rFonts w:hint="eastAsia" w:ascii="仿宋_GB2312" w:hAnsi="黑体" w:eastAsia="仿宋_GB2312" w:cs="宋体"/>
                <w:b/>
                <w:color w:val="000000"/>
                <w:kern w:val="0"/>
                <w:sz w:val="24"/>
                <w:szCs w:val="24"/>
              </w:rPr>
              <w:t>年度</w:t>
            </w:r>
          </w:p>
        </w:tc>
        <w:tc>
          <w:tcPr>
            <w:tcW w:w="760" w:type="pct"/>
            <w:vMerge w:val="restart"/>
            <w:noWrap w:val="0"/>
            <w:vAlign w:val="center"/>
          </w:tcPr>
          <w:p>
            <w:pPr>
              <w:spacing w:line="400" w:lineRule="exact"/>
              <w:ind w:left="160" w:leftChars="76" w:firstLine="585" w:firstLineChars="243"/>
              <w:jc w:val="center"/>
              <w:rPr>
                <w:rFonts w:hint="eastAsia" w:ascii="仿宋_GB2312" w:eastAsia="仿宋_GB2312"/>
                <w:b/>
                <w:sz w:val="24"/>
                <w:szCs w:val="24"/>
              </w:rPr>
            </w:pPr>
          </w:p>
          <w:p>
            <w:pPr>
              <w:spacing w:line="400" w:lineRule="exact"/>
              <w:ind w:left="160" w:leftChars="76"/>
              <w:jc w:val="center"/>
              <w:rPr>
                <w:rFonts w:hint="eastAsia" w:ascii="仿宋_GB2312" w:eastAsia="仿宋_GB2312"/>
                <w:b/>
                <w:sz w:val="24"/>
                <w:szCs w:val="24"/>
              </w:rPr>
            </w:pPr>
            <w:r>
              <w:rPr>
                <w:rFonts w:hint="eastAsia" w:ascii="仿宋_GB2312" w:eastAsia="仿宋_GB2312"/>
                <w:b/>
                <w:sz w:val="24"/>
                <w:szCs w:val="24"/>
              </w:rPr>
              <w:t>合计</w:t>
            </w:r>
          </w:p>
        </w:tc>
        <w:tc>
          <w:tcPr>
            <w:tcW w:w="713" w:type="pct"/>
            <w:vMerge w:val="restart"/>
            <w:noWrap w:val="0"/>
            <w:vAlign w:val="center"/>
          </w:tcPr>
          <w:p>
            <w:pPr>
              <w:spacing w:line="400" w:lineRule="exact"/>
              <w:jc w:val="center"/>
              <w:rPr>
                <w:rFonts w:hint="eastAsia" w:ascii="仿宋_GB2312" w:hAnsi="黑体" w:eastAsia="仿宋_GB2312" w:cs="宋体"/>
                <w:b/>
                <w:color w:val="000000"/>
                <w:kern w:val="0"/>
                <w:sz w:val="24"/>
                <w:szCs w:val="24"/>
              </w:rPr>
            </w:pPr>
          </w:p>
          <w:p>
            <w:pPr>
              <w:spacing w:line="400" w:lineRule="exact"/>
              <w:jc w:val="center"/>
              <w:rPr>
                <w:rFonts w:hint="eastAsia" w:ascii="仿宋_GB2312" w:eastAsia="仿宋_GB2312"/>
                <w:b/>
                <w:sz w:val="24"/>
                <w:szCs w:val="24"/>
              </w:rPr>
            </w:pPr>
            <w:r>
              <w:rPr>
                <w:rFonts w:hint="eastAsia" w:ascii="仿宋_GB2312" w:hAnsi="黑体" w:eastAsia="仿宋_GB2312" w:cs="宋体"/>
                <w:b/>
                <w:color w:val="000000"/>
                <w:kern w:val="0"/>
                <w:sz w:val="24"/>
                <w:szCs w:val="24"/>
              </w:rPr>
              <w:t>因公出国（境）费用</w:t>
            </w:r>
          </w:p>
        </w:tc>
        <w:tc>
          <w:tcPr>
            <w:tcW w:w="699" w:type="pct"/>
            <w:vMerge w:val="restart"/>
            <w:noWrap w:val="0"/>
            <w:vAlign w:val="center"/>
          </w:tcPr>
          <w:p>
            <w:pPr>
              <w:spacing w:line="400" w:lineRule="exact"/>
              <w:jc w:val="center"/>
              <w:rPr>
                <w:rFonts w:hint="eastAsia" w:ascii="仿宋_GB2312" w:hAnsi="黑体" w:eastAsia="仿宋_GB2312" w:cs="宋体"/>
                <w:b/>
                <w:color w:val="000000"/>
                <w:kern w:val="0"/>
                <w:sz w:val="24"/>
                <w:szCs w:val="24"/>
              </w:rPr>
            </w:pPr>
          </w:p>
          <w:p>
            <w:pPr>
              <w:spacing w:line="400" w:lineRule="exact"/>
              <w:jc w:val="center"/>
              <w:rPr>
                <w:rFonts w:hint="eastAsia" w:ascii="仿宋_GB2312" w:eastAsia="仿宋_GB2312"/>
                <w:b/>
                <w:sz w:val="24"/>
                <w:szCs w:val="24"/>
              </w:rPr>
            </w:pPr>
            <w:r>
              <w:rPr>
                <w:rFonts w:hint="eastAsia" w:ascii="仿宋_GB2312" w:hAnsi="黑体" w:eastAsia="仿宋_GB2312" w:cs="宋体"/>
                <w:b/>
                <w:color w:val="000000"/>
                <w:kern w:val="0"/>
                <w:sz w:val="24"/>
                <w:szCs w:val="24"/>
              </w:rPr>
              <w:t>公务接待费</w:t>
            </w:r>
          </w:p>
        </w:tc>
        <w:tc>
          <w:tcPr>
            <w:tcW w:w="2100" w:type="pct"/>
            <w:gridSpan w:val="3"/>
            <w:noWrap w:val="0"/>
            <w:vAlign w:val="center"/>
          </w:tcPr>
          <w:p>
            <w:pPr>
              <w:widowControl/>
              <w:spacing w:line="440" w:lineRule="exact"/>
              <w:jc w:val="center"/>
              <w:rPr>
                <w:rFonts w:hint="eastAsia"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公务用车购置及运行费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78" w:hRule="atLeast"/>
        </w:trPr>
        <w:tc>
          <w:tcPr>
            <w:tcW w:w="727" w:type="pct"/>
            <w:vMerge w:val="continue"/>
            <w:noWrap w:val="0"/>
            <w:vAlign w:val="center"/>
          </w:tcPr>
          <w:p>
            <w:pPr>
              <w:spacing w:line="400" w:lineRule="exact"/>
              <w:jc w:val="center"/>
              <w:rPr>
                <w:rFonts w:hint="eastAsia" w:ascii="仿宋_GB2312" w:eastAsia="仿宋_GB2312"/>
                <w:b/>
                <w:sz w:val="24"/>
                <w:szCs w:val="24"/>
              </w:rPr>
            </w:pPr>
          </w:p>
        </w:tc>
        <w:tc>
          <w:tcPr>
            <w:tcW w:w="760" w:type="pct"/>
            <w:vMerge w:val="continue"/>
            <w:noWrap w:val="0"/>
            <w:vAlign w:val="center"/>
          </w:tcPr>
          <w:p>
            <w:pPr>
              <w:spacing w:line="400" w:lineRule="exact"/>
              <w:jc w:val="center"/>
              <w:rPr>
                <w:rFonts w:hint="eastAsia" w:ascii="仿宋_GB2312" w:eastAsia="仿宋_GB2312"/>
                <w:b/>
                <w:sz w:val="24"/>
                <w:szCs w:val="24"/>
              </w:rPr>
            </w:pPr>
          </w:p>
        </w:tc>
        <w:tc>
          <w:tcPr>
            <w:tcW w:w="713" w:type="pct"/>
            <w:vMerge w:val="continue"/>
            <w:noWrap w:val="0"/>
            <w:vAlign w:val="center"/>
          </w:tcPr>
          <w:p>
            <w:pPr>
              <w:spacing w:line="400" w:lineRule="exact"/>
              <w:jc w:val="center"/>
              <w:rPr>
                <w:rFonts w:hint="eastAsia" w:ascii="仿宋_GB2312" w:eastAsia="仿宋_GB2312"/>
                <w:b/>
                <w:sz w:val="24"/>
                <w:szCs w:val="24"/>
              </w:rPr>
            </w:pPr>
          </w:p>
        </w:tc>
        <w:tc>
          <w:tcPr>
            <w:tcW w:w="699" w:type="pct"/>
            <w:vMerge w:val="continue"/>
            <w:noWrap w:val="0"/>
            <w:vAlign w:val="center"/>
          </w:tcPr>
          <w:p>
            <w:pPr>
              <w:spacing w:line="400" w:lineRule="exact"/>
              <w:jc w:val="center"/>
              <w:rPr>
                <w:rFonts w:hint="eastAsia" w:ascii="仿宋_GB2312" w:eastAsia="仿宋_GB2312"/>
                <w:b/>
                <w:sz w:val="24"/>
                <w:szCs w:val="24"/>
              </w:rPr>
            </w:pPr>
          </w:p>
        </w:tc>
        <w:tc>
          <w:tcPr>
            <w:tcW w:w="699" w:type="pct"/>
            <w:noWrap w:val="0"/>
            <w:vAlign w:val="center"/>
          </w:tcPr>
          <w:p>
            <w:pPr>
              <w:spacing w:line="400" w:lineRule="exact"/>
              <w:jc w:val="center"/>
              <w:rPr>
                <w:rFonts w:hint="eastAsia" w:ascii="仿宋_GB2312" w:eastAsia="仿宋_GB2312"/>
                <w:b/>
                <w:sz w:val="24"/>
                <w:szCs w:val="24"/>
              </w:rPr>
            </w:pPr>
            <w:r>
              <w:rPr>
                <w:rFonts w:hint="eastAsia" w:ascii="仿宋_GB2312" w:eastAsia="仿宋_GB2312"/>
                <w:b/>
                <w:sz w:val="24"/>
                <w:szCs w:val="24"/>
              </w:rPr>
              <w:t>小计</w:t>
            </w:r>
          </w:p>
        </w:tc>
        <w:tc>
          <w:tcPr>
            <w:tcW w:w="699" w:type="pct"/>
            <w:noWrap w:val="0"/>
            <w:vAlign w:val="center"/>
          </w:tcPr>
          <w:p>
            <w:pPr>
              <w:spacing w:line="400" w:lineRule="exact"/>
              <w:jc w:val="center"/>
              <w:rPr>
                <w:rFonts w:hint="eastAsia" w:ascii="仿宋_GB2312" w:eastAsia="仿宋_GB2312"/>
                <w:b/>
                <w:sz w:val="24"/>
                <w:szCs w:val="24"/>
              </w:rPr>
            </w:pPr>
            <w:r>
              <w:rPr>
                <w:rFonts w:hint="eastAsia" w:ascii="仿宋_GB2312" w:hAnsi="黑体" w:eastAsia="仿宋_GB2312" w:cs="宋体"/>
                <w:color w:val="000000"/>
                <w:kern w:val="0"/>
                <w:sz w:val="24"/>
                <w:szCs w:val="24"/>
              </w:rPr>
              <w:t>公务用车运行维护费</w:t>
            </w:r>
          </w:p>
        </w:tc>
        <w:tc>
          <w:tcPr>
            <w:tcW w:w="701" w:type="pct"/>
            <w:noWrap w:val="0"/>
            <w:vAlign w:val="center"/>
          </w:tcPr>
          <w:p>
            <w:pPr>
              <w:spacing w:line="400" w:lineRule="exact"/>
              <w:jc w:val="center"/>
              <w:rPr>
                <w:rFonts w:hint="eastAsia" w:ascii="仿宋_GB2312" w:eastAsia="仿宋_GB2312"/>
                <w:b/>
                <w:sz w:val="24"/>
                <w:szCs w:val="24"/>
              </w:rPr>
            </w:pPr>
            <w:r>
              <w:rPr>
                <w:rFonts w:hint="eastAsia" w:ascii="仿宋_GB2312" w:hAnsi="黑体" w:eastAsia="仿宋_GB2312" w:cs="宋体"/>
                <w:color w:val="000000"/>
                <w:kern w:val="0"/>
                <w:sz w:val="24"/>
                <w:szCs w:val="24"/>
              </w:rPr>
              <w:t>公务用车购置费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8" w:hRule="atLeast"/>
        </w:trPr>
        <w:tc>
          <w:tcPr>
            <w:tcW w:w="727" w:type="pct"/>
            <w:noWrap w:val="0"/>
            <w:vAlign w:val="center"/>
          </w:tcPr>
          <w:p>
            <w:pPr>
              <w:spacing w:line="400" w:lineRule="exact"/>
              <w:jc w:val="center"/>
              <w:rPr>
                <w:rFonts w:hint="eastAsia" w:ascii="仿宋_GB2312" w:eastAsia="仿宋_GB2312"/>
                <w:sz w:val="24"/>
                <w:szCs w:val="24"/>
                <w:lang w:eastAsia="zh-CN"/>
              </w:rPr>
            </w:pPr>
            <w:r>
              <w:rPr>
                <w:rFonts w:hint="eastAsia" w:ascii="仿宋_GB2312" w:eastAsia="仿宋_GB2312"/>
                <w:sz w:val="24"/>
                <w:szCs w:val="24"/>
                <w:lang w:eastAsia="zh-CN"/>
              </w:rPr>
              <w:t>2021年</w:t>
            </w:r>
          </w:p>
        </w:tc>
        <w:tc>
          <w:tcPr>
            <w:tcW w:w="760" w:type="pct"/>
            <w:noWrap w:val="0"/>
            <w:vAlign w:val="center"/>
          </w:tcPr>
          <w:p>
            <w:pPr>
              <w:spacing w:line="400" w:lineRule="exact"/>
              <w:ind w:firstLine="120" w:firstLineChars="50"/>
              <w:rPr>
                <w:rFonts w:hint="default" w:ascii="仿宋_GB2312" w:eastAsia="仿宋_GB2312"/>
                <w:b/>
                <w:sz w:val="24"/>
                <w:szCs w:val="24"/>
                <w:lang w:val="en-US" w:eastAsia="zh-CN"/>
              </w:rPr>
            </w:pPr>
            <w:r>
              <w:rPr>
                <w:rFonts w:hint="eastAsia" w:ascii="仿宋_GB2312" w:eastAsia="仿宋_GB2312"/>
                <w:b/>
                <w:sz w:val="24"/>
                <w:szCs w:val="24"/>
                <w:lang w:val="en-US" w:eastAsia="zh-CN"/>
              </w:rPr>
              <w:t>248</w:t>
            </w:r>
          </w:p>
        </w:tc>
        <w:tc>
          <w:tcPr>
            <w:tcW w:w="713" w:type="pct"/>
            <w:noWrap w:val="0"/>
            <w:vAlign w:val="center"/>
          </w:tcPr>
          <w:p>
            <w:pPr>
              <w:spacing w:line="400" w:lineRule="exact"/>
              <w:jc w:val="center"/>
              <w:rPr>
                <w:rFonts w:hint="eastAsia" w:ascii="仿宋_GB2312" w:eastAsia="仿宋_GB2312"/>
                <w:sz w:val="24"/>
                <w:szCs w:val="24"/>
              </w:rPr>
            </w:pPr>
            <w:r>
              <w:rPr>
                <w:rFonts w:hint="eastAsia" w:ascii="仿宋_GB2312" w:eastAsia="仿宋_GB2312"/>
                <w:sz w:val="24"/>
                <w:szCs w:val="24"/>
              </w:rPr>
              <w:t>0</w:t>
            </w:r>
          </w:p>
        </w:tc>
        <w:tc>
          <w:tcPr>
            <w:tcW w:w="699" w:type="pct"/>
            <w:noWrap w:val="0"/>
            <w:vAlign w:val="center"/>
          </w:tcPr>
          <w:p>
            <w:pPr>
              <w:spacing w:line="400" w:lineRule="exact"/>
              <w:jc w:val="center"/>
              <w:rPr>
                <w:rFonts w:hint="eastAsia" w:ascii="仿宋_GB2312" w:eastAsia="仿宋_GB2312"/>
                <w:sz w:val="24"/>
                <w:szCs w:val="24"/>
              </w:rPr>
            </w:pPr>
            <w:r>
              <w:rPr>
                <w:rFonts w:hint="eastAsia" w:ascii="仿宋_GB2312" w:eastAsia="仿宋_GB2312"/>
                <w:sz w:val="24"/>
                <w:szCs w:val="24"/>
              </w:rPr>
              <w:t>0</w:t>
            </w:r>
          </w:p>
        </w:tc>
        <w:tc>
          <w:tcPr>
            <w:tcW w:w="699" w:type="pct"/>
            <w:noWrap w:val="0"/>
            <w:vAlign w:val="center"/>
          </w:tcPr>
          <w:p>
            <w:pPr>
              <w:spacing w:line="400" w:lineRule="exact"/>
              <w:jc w:val="center"/>
              <w:rPr>
                <w:rFonts w:hint="default" w:ascii="仿宋_GB2312" w:eastAsia="仿宋_GB2312"/>
                <w:b/>
                <w:sz w:val="24"/>
                <w:szCs w:val="24"/>
                <w:lang w:val="en-US" w:eastAsia="zh-CN"/>
              </w:rPr>
            </w:pPr>
            <w:r>
              <w:rPr>
                <w:rFonts w:hint="eastAsia" w:ascii="仿宋_GB2312" w:eastAsia="仿宋_GB2312"/>
                <w:b/>
                <w:sz w:val="24"/>
                <w:szCs w:val="24"/>
                <w:lang w:val="en-US" w:eastAsia="zh-CN"/>
              </w:rPr>
              <w:t>248</w:t>
            </w:r>
          </w:p>
        </w:tc>
        <w:tc>
          <w:tcPr>
            <w:tcW w:w="699" w:type="pct"/>
            <w:noWrap w:val="0"/>
            <w:vAlign w:val="center"/>
          </w:tcPr>
          <w:p>
            <w:pPr>
              <w:spacing w:line="400" w:lineRule="exact"/>
              <w:jc w:val="center"/>
              <w:rPr>
                <w:rFonts w:hint="default" w:ascii="仿宋_GB2312" w:eastAsia="仿宋_GB2312"/>
                <w:sz w:val="24"/>
                <w:szCs w:val="24"/>
                <w:lang w:val="en-US" w:eastAsia="zh-CN"/>
              </w:rPr>
            </w:pPr>
            <w:r>
              <w:rPr>
                <w:rFonts w:hint="eastAsia" w:ascii="仿宋_GB2312" w:eastAsia="仿宋_GB2312"/>
                <w:sz w:val="24"/>
                <w:szCs w:val="24"/>
                <w:lang w:val="en-US" w:eastAsia="zh-CN"/>
              </w:rPr>
              <w:t>188</w:t>
            </w:r>
          </w:p>
        </w:tc>
        <w:tc>
          <w:tcPr>
            <w:tcW w:w="701" w:type="pct"/>
            <w:noWrap w:val="0"/>
            <w:vAlign w:val="center"/>
          </w:tcPr>
          <w:p>
            <w:pPr>
              <w:spacing w:line="400" w:lineRule="exact"/>
              <w:jc w:val="center"/>
              <w:rPr>
                <w:rFonts w:hint="default" w:ascii="仿宋_GB2312" w:eastAsia="仿宋_GB2312"/>
                <w:sz w:val="24"/>
                <w:szCs w:val="24"/>
                <w:lang w:val="en-US" w:eastAsia="zh-CN"/>
              </w:rPr>
            </w:pPr>
            <w:r>
              <w:rPr>
                <w:rFonts w:hint="eastAsia" w:ascii="仿宋_GB2312" w:eastAsia="仿宋_GB2312"/>
                <w:sz w:val="24"/>
                <w:szCs w:val="24"/>
                <w:lang w:val="en-US" w:eastAsia="zh-CN"/>
              </w:rPr>
              <w:t>60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8" w:hRule="atLeast"/>
        </w:trPr>
        <w:tc>
          <w:tcPr>
            <w:tcW w:w="727" w:type="pct"/>
            <w:noWrap w:val="0"/>
            <w:vAlign w:val="center"/>
          </w:tcPr>
          <w:p>
            <w:pPr>
              <w:spacing w:line="400" w:lineRule="exact"/>
              <w:jc w:val="center"/>
              <w:rPr>
                <w:rFonts w:hint="default" w:ascii="仿宋_GB2312" w:eastAsia="仿宋_GB2312"/>
                <w:sz w:val="24"/>
                <w:szCs w:val="24"/>
                <w:lang w:val="en-US" w:eastAsia="zh-CN"/>
              </w:rPr>
            </w:pPr>
            <w:r>
              <w:rPr>
                <w:rFonts w:hint="eastAsia" w:ascii="仿宋_GB2312" w:eastAsia="仿宋_GB2312"/>
                <w:sz w:val="24"/>
                <w:szCs w:val="24"/>
                <w:lang w:val="en-US" w:eastAsia="zh-CN"/>
              </w:rPr>
              <w:t>2022年</w:t>
            </w:r>
          </w:p>
        </w:tc>
        <w:tc>
          <w:tcPr>
            <w:tcW w:w="760" w:type="pct"/>
            <w:noWrap w:val="0"/>
            <w:vAlign w:val="center"/>
          </w:tcPr>
          <w:p>
            <w:pPr>
              <w:spacing w:line="400" w:lineRule="exact"/>
              <w:ind w:firstLine="120" w:firstLineChars="50"/>
              <w:rPr>
                <w:rFonts w:hint="default" w:ascii="仿宋_GB2312" w:eastAsia="仿宋_GB2312"/>
                <w:b/>
                <w:sz w:val="24"/>
                <w:szCs w:val="24"/>
                <w:lang w:val="en-US" w:eastAsia="zh-CN"/>
              </w:rPr>
            </w:pPr>
            <w:r>
              <w:rPr>
                <w:rFonts w:hint="eastAsia" w:ascii="仿宋_GB2312" w:eastAsia="仿宋_GB2312"/>
                <w:b/>
                <w:sz w:val="24"/>
                <w:szCs w:val="24"/>
                <w:lang w:val="en-US" w:eastAsia="zh-CN"/>
              </w:rPr>
              <w:t>175</w:t>
            </w:r>
          </w:p>
        </w:tc>
        <w:tc>
          <w:tcPr>
            <w:tcW w:w="713" w:type="pct"/>
            <w:noWrap w:val="0"/>
            <w:vAlign w:val="center"/>
          </w:tcPr>
          <w:p>
            <w:pPr>
              <w:spacing w:line="400" w:lineRule="exact"/>
              <w:jc w:val="center"/>
              <w:rPr>
                <w:rFonts w:hint="default" w:ascii="仿宋_GB2312" w:eastAsia="仿宋_GB2312"/>
                <w:sz w:val="24"/>
                <w:szCs w:val="24"/>
                <w:lang w:val="en-US" w:eastAsia="zh-CN"/>
              </w:rPr>
            </w:pPr>
            <w:r>
              <w:rPr>
                <w:rFonts w:hint="eastAsia" w:ascii="仿宋_GB2312" w:eastAsia="仿宋_GB2312"/>
                <w:sz w:val="24"/>
                <w:szCs w:val="24"/>
                <w:lang w:val="en-US" w:eastAsia="zh-CN"/>
              </w:rPr>
              <w:t>0</w:t>
            </w:r>
          </w:p>
        </w:tc>
        <w:tc>
          <w:tcPr>
            <w:tcW w:w="699" w:type="pct"/>
            <w:noWrap w:val="0"/>
            <w:vAlign w:val="center"/>
          </w:tcPr>
          <w:p>
            <w:pPr>
              <w:spacing w:line="400" w:lineRule="exact"/>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0</w:t>
            </w:r>
          </w:p>
        </w:tc>
        <w:tc>
          <w:tcPr>
            <w:tcW w:w="699" w:type="pct"/>
            <w:noWrap w:val="0"/>
            <w:vAlign w:val="center"/>
          </w:tcPr>
          <w:p>
            <w:pPr>
              <w:spacing w:line="400" w:lineRule="exact"/>
              <w:jc w:val="center"/>
              <w:rPr>
                <w:rFonts w:hint="default" w:ascii="仿宋_GB2312" w:eastAsia="仿宋_GB2312"/>
                <w:b/>
                <w:sz w:val="24"/>
                <w:szCs w:val="24"/>
                <w:lang w:val="en-US" w:eastAsia="zh-CN"/>
              </w:rPr>
            </w:pPr>
            <w:r>
              <w:rPr>
                <w:rFonts w:hint="eastAsia" w:ascii="仿宋_GB2312" w:eastAsia="仿宋_GB2312"/>
                <w:b/>
                <w:sz w:val="24"/>
                <w:szCs w:val="24"/>
                <w:lang w:val="en-US" w:eastAsia="zh-CN"/>
              </w:rPr>
              <w:t>175</w:t>
            </w:r>
          </w:p>
        </w:tc>
        <w:tc>
          <w:tcPr>
            <w:tcW w:w="699" w:type="pct"/>
            <w:noWrap w:val="0"/>
            <w:vAlign w:val="center"/>
          </w:tcPr>
          <w:p>
            <w:pPr>
              <w:spacing w:line="400" w:lineRule="exact"/>
              <w:jc w:val="center"/>
              <w:rPr>
                <w:rFonts w:hint="default" w:ascii="仿宋_GB2312" w:eastAsia="仿宋_GB2312"/>
                <w:sz w:val="24"/>
                <w:szCs w:val="24"/>
                <w:lang w:val="en-US" w:eastAsia="zh-CN"/>
              </w:rPr>
            </w:pPr>
            <w:r>
              <w:rPr>
                <w:rFonts w:hint="eastAsia" w:ascii="仿宋_GB2312" w:eastAsia="仿宋_GB2312"/>
                <w:sz w:val="24"/>
                <w:szCs w:val="24"/>
                <w:lang w:val="en-US" w:eastAsia="zh-CN"/>
              </w:rPr>
              <w:t>175</w:t>
            </w:r>
          </w:p>
        </w:tc>
        <w:tc>
          <w:tcPr>
            <w:tcW w:w="701" w:type="pct"/>
            <w:noWrap w:val="0"/>
            <w:vAlign w:val="center"/>
          </w:tcPr>
          <w:p>
            <w:pPr>
              <w:spacing w:line="400" w:lineRule="exact"/>
              <w:jc w:val="center"/>
              <w:rPr>
                <w:rFonts w:hint="default" w:ascii="仿宋_GB2312" w:eastAsia="仿宋_GB2312"/>
                <w:sz w:val="24"/>
                <w:szCs w:val="24"/>
                <w:lang w:val="en-US" w:eastAsia="zh-CN"/>
              </w:rPr>
            </w:pPr>
            <w:r>
              <w:rPr>
                <w:rFonts w:hint="eastAsia" w:ascii="仿宋_GB2312" w:eastAsia="仿宋_GB2312"/>
                <w:sz w:val="24"/>
                <w:szCs w:val="24"/>
                <w:lang w:val="en-US" w:eastAsia="zh-CN"/>
              </w:rPr>
              <w:t>0</w:t>
            </w:r>
          </w:p>
        </w:tc>
      </w:tr>
    </w:tbl>
    <w:p>
      <w:pPr>
        <w:spacing w:line="560" w:lineRule="exact"/>
        <w:ind w:firstLine="697" w:firstLineChars="218"/>
        <w:rPr>
          <w:rFonts w:hint="eastAsia" w:ascii="仿宋_GB2312" w:hAnsi="宋体" w:eastAsia="仿宋_GB2312"/>
          <w:sz w:val="32"/>
          <w:szCs w:val="32"/>
        </w:rPr>
      </w:pPr>
      <w:r>
        <w:rPr>
          <w:rFonts w:hint="eastAsia" w:ascii="仿宋_GB2312" w:hAnsi="宋体" w:eastAsia="仿宋_GB2312"/>
          <w:sz w:val="32"/>
          <w:szCs w:val="32"/>
          <w:lang w:eastAsia="zh-CN"/>
        </w:rPr>
        <w:t>202</w:t>
      </w:r>
      <w:r>
        <w:rPr>
          <w:rFonts w:hint="eastAsia" w:ascii="仿宋_GB2312" w:hAnsi="宋体" w:eastAsia="仿宋_GB2312"/>
          <w:sz w:val="32"/>
          <w:szCs w:val="32"/>
          <w:lang w:val="en-US" w:eastAsia="zh-CN"/>
        </w:rPr>
        <w:t>2</w:t>
      </w:r>
      <w:r>
        <w:rPr>
          <w:rFonts w:hint="eastAsia" w:ascii="仿宋_GB2312" w:hAnsi="宋体" w:eastAsia="仿宋_GB2312"/>
          <w:sz w:val="32"/>
          <w:szCs w:val="32"/>
          <w:lang w:eastAsia="zh-CN"/>
        </w:rPr>
        <w:t>年</w:t>
      </w:r>
      <w:r>
        <w:rPr>
          <w:rFonts w:hint="eastAsia" w:ascii="仿宋_GB2312" w:hAnsi="宋体" w:eastAsia="仿宋_GB2312"/>
          <w:sz w:val="32"/>
          <w:szCs w:val="32"/>
        </w:rPr>
        <w:t>度，叶城县因公出国（境）0个团组，因公出国（境）0人次;公务用车购置</w:t>
      </w:r>
      <w:r>
        <w:rPr>
          <w:rFonts w:hint="eastAsia" w:ascii="仿宋_GB2312" w:hAnsi="宋体" w:eastAsia="仿宋_GB2312"/>
          <w:sz w:val="32"/>
          <w:szCs w:val="32"/>
          <w:lang w:val="en-US" w:eastAsia="zh-CN"/>
        </w:rPr>
        <w:t>0</w:t>
      </w:r>
      <w:r>
        <w:rPr>
          <w:rFonts w:hint="eastAsia" w:ascii="仿宋_GB2312" w:hAnsi="宋体" w:eastAsia="仿宋_GB2312"/>
          <w:sz w:val="32"/>
          <w:szCs w:val="32"/>
        </w:rPr>
        <w:t>辆；国内公务接待0批次，其中：外事接待0批次，国内公务接待0人次，其中：外事接待0人次；国外公务接待0批次；国外公务接待0人次。</w:t>
      </w:r>
    </w:p>
    <w:p>
      <w:pPr>
        <w:spacing w:line="600" w:lineRule="exact"/>
        <w:ind w:firstLine="700" w:firstLineChars="218"/>
        <w:rPr>
          <w:rFonts w:hint="eastAsia" w:ascii="仿宋_GB2312" w:hAnsi="宋体" w:eastAsia="仿宋_GB2312"/>
          <w:sz w:val="32"/>
          <w:szCs w:val="32"/>
        </w:rPr>
      </w:pPr>
      <w:r>
        <w:rPr>
          <w:rFonts w:hint="eastAsia" w:ascii="仿宋_GB2312" w:hAnsi="宋体" w:eastAsia="仿宋_GB2312"/>
          <w:b/>
          <w:sz w:val="32"/>
          <w:szCs w:val="32"/>
        </w:rPr>
        <w:t>（二）</w:t>
      </w:r>
      <w:r>
        <w:rPr>
          <w:rFonts w:hint="eastAsia" w:ascii="仿宋_GB2312" w:eastAsia="仿宋_GB2312" w:cs="仿宋_GB2312"/>
          <w:b/>
          <w:sz w:val="32"/>
          <w:szCs w:val="32"/>
          <w:lang w:eastAsia="zh-CN"/>
        </w:rPr>
        <w:t>202</w:t>
      </w:r>
      <w:r>
        <w:rPr>
          <w:rFonts w:hint="eastAsia" w:ascii="仿宋_GB2312" w:eastAsia="仿宋_GB2312" w:cs="仿宋_GB2312"/>
          <w:b/>
          <w:sz w:val="32"/>
          <w:szCs w:val="32"/>
          <w:lang w:val="en-US" w:eastAsia="zh-CN"/>
        </w:rPr>
        <w:t>2</w:t>
      </w:r>
      <w:r>
        <w:rPr>
          <w:rFonts w:hint="eastAsia" w:ascii="仿宋_GB2312" w:eastAsia="仿宋_GB2312" w:cs="仿宋_GB2312"/>
          <w:b/>
          <w:sz w:val="32"/>
          <w:szCs w:val="32"/>
          <w:lang w:eastAsia="zh-CN"/>
        </w:rPr>
        <w:t>年</w:t>
      </w:r>
      <w:r>
        <w:rPr>
          <w:rFonts w:hint="eastAsia" w:ascii="仿宋_GB2312" w:eastAsia="仿宋_GB2312" w:cs="仿宋_GB2312"/>
          <w:b/>
          <w:sz w:val="32"/>
          <w:szCs w:val="32"/>
        </w:rPr>
        <w:t>度</w:t>
      </w:r>
      <w:r>
        <w:rPr>
          <w:rFonts w:hint="eastAsia" w:ascii="仿宋_GB2312" w:eastAsia="仿宋_GB2312" w:cs="仿宋_GB2312"/>
          <w:b/>
          <w:sz w:val="32"/>
          <w:szCs w:val="32"/>
          <w:lang w:eastAsia="zh-CN"/>
        </w:rPr>
        <w:t>“三公”经费</w:t>
      </w:r>
      <w:r>
        <w:rPr>
          <w:rFonts w:hint="eastAsia" w:ascii="仿宋_GB2312" w:eastAsia="仿宋_GB2312" w:cs="仿宋_GB2312"/>
          <w:b/>
          <w:sz w:val="32"/>
          <w:szCs w:val="32"/>
        </w:rPr>
        <w:t>预决算对比情况</w:t>
      </w:r>
    </w:p>
    <w:p>
      <w:pPr>
        <w:spacing w:line="600" w:lineRule="exact"/>
        <w:ind w:firstLine="697" w:firstLineChars="218"/>
        <w:rPr>
          <w:rFonts w:hint="eastAsia" w:ascii="仿宋_GB2312" w:hAnsi="宋体" w:eastAsia="仿宋_GB2312"/>
          <w:sz w:val="32"/>
          <w:szCs w:val="32"/>
        </w:rPr>
      </w:pPr>
      <w:bookmarkStart w:id="0" w:name="OLE_LINK1"/>
      <w:r>
        <w:rPr>
          <w:rFonts w:hint="eastAsia" w:ascii="仿宋_GB2312" w:hAnsi="宋体" w:eastAsia="仿宋_GB2312"/>
          <w:sz w:val="32"/>
          <w:szCs w:val="32"/>
          <w:lang w:eastAsia="zh-CN"/>
        </w:rPr>
        <w:t>202</w:t>
      </w:r>
      <w:r>
        <w:rPr>
          <w:rFonts w:hint="eastAsia" w:ascii="仿宋_GB2312" w:hAnsi="宋体" w:eastAsia="仿宋_GB2312"/>
          <w:sz w:val="32"/>
          <w:szCs w:val="32"/>
          <w:lang w:val="en-US" w:eastAsia="zh-CN"/>
        </w:rPr>
        <w:t>2</w:t>
      </w:r>
      <w:r>
        <w:rPr>
          <w:rFonts w:hint="eastAsia" w:ascii="仿宋_GB2312" w:hAnsi="宋体" w:eastAsia="仿宋_GB2312"/>
          <w:sz w:val="32"/>
          <w:szCs w:val="32"/>
          <w:lang w:eastAsia="zh-CN"/>
        </w:rPr>
        <w:t>年</w:t>
      </w:r>
      <w:r>
        <w:rPr>
          <w:rFonts w:hint="eastAsia" w:ascii="仿宋_GB2312" w:hAnsi="宋体" w:eastAsia="仿宋_GB2312"/>
          <w:sz w:val="32"/>
          <w:szCs w:val="32"/>
        </w:rPr>
        <w:t>度，叶城县一般公共预算财政拨款“三公”经费支出合计预算数</w:t>
      </w:r>
      <w:r>
        <w:rPr>
          <w:rFonts w:hint="eastAsia" w:ascii="仿宋_GB2312" w:hAnsi="宋体" w:eastAsia="仿宋_GB2312"/>
          <w:sz w:val="32"/>
          <w:szCs w:val="32"/>
          <w:lang w:val="en-US" w:eastAsia="zh-CN"/>
        </w:rPr>
        <w:t>256.80</w:t>
      </w:r>
      <w:r>
        <w:rPr>
          <w:rFonts w:hint="eastAsia" w:ascii="仿宋_GB2312" w:hAnsi="宋体" w:eastAsia="仿宋_GB2312"/>
          <w:sz w:val="32"/>
          <w:szCs w:val="32"/>
        </w:rPr>
        <w:t>万元，</w:t>
      </w:r>
      <w:r>
        <w:rPr>
          <w:rFonts w:hint="eastAsia" w:ascii="仿宋_GB2312" w:hAnsi="宋体" w:eastAsia="仿宋_GB2312"/>
          <w:sz w:val="32"/>
          <w:szCs w:val="32"/>
          <w:lang w:eastAsia="zh-CN"/>
        </w:rPr>
        <w:t>决算数</w:t>
      </w:r>
      <w:r>
        <w:rPr>
          <w:rFonts w:hint="eastAsia" w:ascii="仿宋_GB2312" w:hAnsi="宋体" w:eastAsia="仿宋_GB2312"/>
          <w:sz w:val="32"/>
          <w:szCs w:val="32"/>
          <w:lang w:val="en-US" w:eastAsia="zh-CN"/>
        </w:rPr>
        <w:t>175.07万元，</w:t>
      </w:r>
      <w:r>
        <w:rPr>
          <w:rFonts w:hint="eastAsia" w:ascii="仿宋_GB2312" w:hAnsi="宋体" w:eastAsia="仿宋_GB2312"/>
          <w:sz w:val="32"/>
          <w:szCs w:val="32"/>
        </w:rPr>
        <w:t>预决算差异率</w:t>
      </w:r>
      <w:r>
        <w:rPr>
          <w:rFonts w:hint="eastAsia" w:ascii="仿宋_GB2312" w:hAnsi="宋体" w:eastAsia="仿宋_GB2312"/>
          <w:sz w:val="32"/>
          <w:szCs w:val="32"/>
          <w:lang w:val="en-US" w:eastAsia="zh-CN"/>
        </w:rPr>
        <w:t>-31.64</w:t>
      </w:r>
      <w:r>
        <w:rPr>
          <w:rFonts w:hint="eastAsia" w:ascii="仿宋_GB2312" w:hAnsi="宋体" w:eastAsia="仿宋_GB2312"/>
          <w:sz w:val="32"/>
          <w:szCs w:val="32"/>
        </w:rPr>
        <w:t>%</w:t>
      </w:r>
      <w:r>
        <w:rPr>
          <w:rFonts w:hint="eastAsia" w:ascii="仿宋_GB2312" w:hAnsi="宋体" w:eastAsia="仿宋_GB2312"/>
          <w:sz w:val="32"/>
          <w:szCs w:val="32"/>
          <w:lang w:eastAsia="zh-CN"/>
        </w:rPr>
        <w:t>，原因是</w:t>
      </w:r>
      <w:r>
        <w:rPr>
          <w:rFonts w:hint="eastAsia" w:ascii="仿宋_GB2312" w:hAnsi="宋体" w:eastAsia="仿宋_GB2312"/>
          <w:sz w:val="32"/>
          <w:szCs w:val="32"/>
        </w:rPr>
        <w:t>各部门单位认真贯彻落实中央和自治区厉行节约的各项规定，严格控制和降低行政运行成本，大力压缩</w:t>
      </w:r>
      <w:r>
        <w:rPr>
          <w:rFonts w:hint="eastAsia" w:ascii="仿宋_GB2312" w:hAnsi="宋体" w:eastAsia="仿宋_GB2312"/>
          <w:sz w:val="32"/>
          <w:szCs w:val="32"/>
          <w:lang w:eastAsia="zh-CN"/>
        </w:rPr>
        <w:t>“三公”经费</w:t>
      </w:r>
      <w:r>
        <w:rPr>
          <w:rFonts w:hint="eastAsia" w:ascii="仿宋_GB2312" w:hAnsi="宋体" w:eastAsia="仿宋_GB2312"/>
          <w:sz w:val="32"/>
          <w:szCs w:val="32"/>
        </w:rPr>
        <w:t>支出规模。其中：因公出国（境）费预算数0万元，预决算数无差异；公务用车购置费预算数0万元，预决算数无差异</w:t>
      </w:r>
      <w:r>
        <w:rPr>
          <w:rFonts w:hint="eastAsia" w:ascii="仿宋_GB2312" w:hAnsi="宋体" w:eastAsia="仿宋_GB2312"/>
          <w:sz w:val="32"/>
          <w:szCs w:val="32"/>
          <w:lang w:eastAsia="zh-CN"/>
        </w:rPr>
        <w:t>；</w:t>
      </w:r>
      <w:r>
        <w:rPr>
          <w:rFonts w:hint="eastAsia" w:ascii="仿宋_GB2312" w:hAnsi="宋体" w:eastAsia="仿宋_GB2312"/>
          <w:sz w:val="32"/>
          <w:szCs w:val="32"/>
        </w:rPr>
        <w:t>公务用车运行维护费预算数</w:t>
      </w:r>
      <w:r>
        <w:rPr>
          <w:rFonts w:hint="eastAsia" w:ascii="仿宋_GB2312" w:hAnsi="宋体" w:eastAsia="仿宋_GB2312"/>
          <w:sz w:val="32"/>
          <w:szCs w:val="32"/>
          <w:lang w:val="en-US" w:eastAsia="zh-CN"/>
        </w:rPr>
        <w:t>256.80</w:t>
      </w:r>
      <w:r>
        <w:rPr>
          <w:rFonts w:hint="eastAsia" w:ascii="仿宋_GB2312" w:hAnsi="宋体" w:eastAsia="仿宋_GB2312"/>
          <w:sz w:val="32"/>
          <w:szCs w:val="32"/>
        </w:rPr>
        <w:t>万元，</w:t>
      </w:r>
      <w:r>
        <w:rPr>
          <w:rFonts w:hint="eastAsia" w:ascii="仿宋_GB2312" w:hAnsi="宋体" w:eastAsia="仿宋_GB2312"/>
          <w:sz w:val="32"/>
          <w:szCs w:val="32"/>
          <w:lang w:eastAsia="zh-CN"/>
        </w:rPr>
        <w:t>决算数</w:t>
      </w:r>
      <w:r>
        <w:rPr>
          <w:rFonts w:hint="eastAsia" w:ascii="仿宋_GB2312" w:hAnsi="宋体" w:eastAsia="仿宋_GB2312"/>
          <w:sz w:val="32"/>
          <w:szCs w:val="32"/>
          <w:lang w:val="en-US" w:eastAsia="zh-CN"/>
        </w:rPr>
        <w:t>175.07万元，</w:t>
      </w:r>
      <w:r>
        <w:rPr>
          <w:rFonts w:hint="eastAsia" w:ascii="仿宋_GB2312" w:hAnsi="宋体" w:eastAsia="仿宋_GB2312"/>
          <w:sz w:val="32"/>
          <w:szCs w:val="32"/>
        </w:rPr>
        <w:t>预决算差异率</w:t>
      </w:r>
      <w:r>
        <w:rPr>
          <w:rFonts w:hint="eastAsia" w:ascii="仿宋_GB2312" w:hAnsi="宋体" w:eastAsia="仿宋_GB2312"/>
          <w:sz w:val="32"/>
          <w:szCs w:val="32"/>
          <w:lang w:val="en-US" w:eastAsia="zh-CN"/>
        </w:rPr>
        <w:t>-31.64</w:t>
      </w:r>
      <w:r>
        <w:rPr>
          <w:rFonts w:hint="eastAsia" w:ascii="仿宋_GB2312" w:hAnsi="宋体" w:eastAsia="仿宋_GB2312"/>
          <w:sz w:val="32"/>
          <w:szCs w:val="32"/>
        </w:rPr>
        <w:t>%</w:t>
      </w:r>
      <w:r>
        <w:rPr>
          <w:rFonts w:hint="eastAsia" w:ascii="仿宋_GB2312" w:hAnsi="宋体" w:eastAsia="仿宋_GB2312"/>
          <w:sz w:val="32"/>
          <w:szCs w:val="32"/>
          <w:lang w:eastAsia="zh-CN"/>
        </w:rPr>
        <w:t>，主要原因是</w:t>
      </w:r>
      <w:r>
        <w:rPr>
          <w:rFonts w:hint="eastAsia" w:ascii="仿宋_GB2312" w:hAnsi="宋体" w:eastAsia="仿宋_GB2312"/>
          <w:sz w:val="32"/>
          <w:szCs w:val="32"/>
        </w:rPr>
        <w:t>各部门单位认真贯彻落实中央和自治区厉行节约的各项规定，严格控制和降低</w:t>
      </w:r>
      <w:r>
        <w:rPr>
          <w:rFonts w:hint="eastAsia" w:ascii="仿宋_GB2312" w:hAnsi="宋体" w:eastAsia="仿宋_GB2312"/>
          <w:sz w:val="32"/>
          <w:szCs w:val="32"/>
          <w:lang w:eastAsia="zh-CN"/>
        </w:rPr>
        <w:t>公务用车</w:t>
      </w:r>
      <w:r>
        <w:rPr>
          <w:rFonts w:hint="eastAsia" w:ascii="仿宋_GB2312" w:hAnsi="宋体" w:eastAsia="仿宋_GB2312"/>
          <w:sz w:val="32"/>
          <w:szCs w:val="32"/>
        </w:rPr>
        <w:t>运行成本，大力压缩公务用车运行维护费支出规模；公务接待费预算数0万元，预决算数无差异（国内接待费预算数0万元，预决算数无差异，其中：外事接待费预算数0万元，预决算数无差异；国外接待费预算数0万元，预决算数无差异）。</w:t>
      </w:r>
    </w:p>
    <w:bookmarkEnd w:id="0"/>
    <w:p>
      <w:pPr>
        <w:spacing w:line="600" w:lineRule="exact"/>
        <w:ind w:firstLine="697" w:firstLineChars="218"/>
        <w:rPr>
          <w:rFonts w:hint="eastAsia" w:ascii="仿宋_GB2312" w:hAnsi="宋体" w:eastAsia="仿宋_GB2312"/>
          <w:sz w:val="32"/>
          <w:szCs w:val="32"/>
        </w:rPr>
      </w:pPr>
    </w:p>
    <w:p>
      <w:pPr>
        <w:spacing w:line="440" w:lineRule="exact"/>
        <w:ind w:firstLine="700" w:firstLineChars="218"/>
        <w:rPr>
          <w:rFonts w:hint="eastAsia" w:ascii="仿宋_GB2312" w:eastAsia="仿宋_GB2312" w:cs="仿宋_GB2312"/>
          <w:b/>
          <w:sz w:val="32"/>
          <w:szCs w:val="32"/>
        </w:rPr>
      </w:pPr>
      <w:r>
        <w:rPr>
          <w:rFonts w:hint="eastAsia" w:ascii="仿宋_GB2312" w:eastAsia="仿宋_GB2312" w:cs="仿宋_GB2312"/>
          <w:b/>
          <w:sz w:val="32"/>
          <w:szCs w:val="32"/>
        </w:rPr>
        <w:t>叶城县</w:t>
      </w:r>
      <w:r>
        <w:rPr>
          <w:rFonts w:hint="eastAsia" w:ascii="仿宋_GB2312" w:eastAsia="仿宋_GB2312" w:cs="仿宋_GB2312"/>
          <w:b/>
          <w:sz w:val="32"/>
          <w:szCs w:val="32"/>
          <w:lang w:eastAsia="zh-CN"/>
        </w:rPr>
        <w:t>202</w:t>
      </w:r>
      <w:r>
        <w:rPr>
          <w:rFonts w:hint="eastAsia" w:ascii="仿宋_GB2312" w:eastAsia="仿宋_GB2312" w:cs="仿宋_GB2312"/>
          <w:b/>
          <w:sz w:val="32"/>
          <w:szCs w:val="32"/>
          <w:lang w:val="en-US" w:eastAsia="zh-CN"/>
        </w:rPr>
        <w:t>2</w:t>
      </w:r>
      <w:r>
        <w:rPr>
          <w:rFonts w:hint="eastAsia" w:ascii="仿宋_GB2312" w:eastAsia="仿宋_GB2312" w:cs="仿宋_GB2312"/>
          <w:b/>
          <w:sz w:val="32"/>
          <w:szCs w:val="32"/>
          <w:lang w:eastAsia="zh-CN"/>
        </w:rPr>
        <w:t>年</w:t>
      </w:r>
      <w:r>
        <w:rPr>
          <w:rFonts w:hint="eastAsia" w:ascii="仿宋_GB2312" w:eastAsia="仿宋_GB2312" w:cs="仿宋_GB2312"/>
          <w:b/>
          <w:sz w:val="32"/>
          <w:szCs w:val="32"/>
        </w:rPr>
        <w:t>度</w:t>
      </w:r>
      <w:r>
        <w:rPr>
          <w:rFonts w:hint="eastAsia" w:ascii="仿宋_GB2312" w:eastAsia="仿宋_GB2312" w:cs="仿宋_GB2312"/>
          <w:b/>
          <w:sz w:val="32"/>
          <w:szCs w:val="32"/>
          <w:lang w:eastAsia="zh-CN"/>
        </w:rPr>
        <w:t>“三公”经费</w:t>
      </w:r>
      <w:bookmarkStart w:id="1" w:name="_GoBack"/>
      <w:bookmarkEnd w:id="1"/>
      <w:r>
        <w:rPr>
          <w:rFonts w:hint="eastAsia" w:ascii="仿宋_GB2312" w:eastAsia="仿宋_GB2312" w:cs="仿宋_GB2312"/>
          <w:b/>
          <w:sz w:val="32"/>
          <w:szCs w:val="32"/>
        </w:rPr>
        <w:t>预决算对比情况</w:t>
      </w:r>
    </w:p>
    <w:p>
      <w:pPr>
        <w:spacing w:line="440" w:lineRule="exact"/>
        <w:ind w:firstLine="700" w:firstLineChars="218"/>
        <w:rPr>
          <w:rFonts w:hint="eastAsia" w:ascii="仿宋_GB2312" w:eastAsia="仿宋_GB2312" w:cs="仿宋_GB2312"/>
          <w:b/>
          <w:sz w:val="32"/>
          <w:szCs w:val="32"/>
        </w:rPr>
      </w:pPr>
    </w:p>
    <w:tbl>
      <w:tblPr>
        <w:tblStyle w:val="3"/>
        <w:tblW w:w="8232" w:type="dxa"/>
        <w:tblInd w:w="108" w:type="dxa"/>
        <w:tblLayout w:type="fixed"/>
        <w:tblCellMar>
          <w:top w:w="0" w:type="dxa"/>
          <w:left w:w="108" w:type="dxa"/>
          <w:bottom w:w="0" w:type="dxa"/>
          <w:right w:w="108" w:type="dxa"/>
        </w:tblCellMar>
      </w:tblPr>
      <w:tblGrid>
        <w:gridCol w:w="1836"/>
        <w:gridCol w:w="1164"/>
        <w:gridCol w:w="969"/>
        <w:gridCol w:w="993"/>
        <w:gridCol w:w="992"/>
        <w:gridCol w:w="1091"/>
        <w:gridCol w:w="1187"/>
      </w:tblGrid>
      <w:tr>
        <w:tblPrEx>
          <w:tblCellMar>
            <w:top w:w="0" w:type="dxa"/>
            <w:left w:w="108" w:type="dxa"/>
            <w:bottom w:w="0" w:type="dxa"/>
            <w:right w:w="108" w:type="dxa"/>
          </w:tblCellMar>
        </w:tblPrEx>
        <w:trPr>
          <w:trHeight w:val="674" w:hRule="atLeast"/>
        </w:trPr>
        <w:tc>
          <w:tcPr>
            <w:tcW w:w="1836"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center"/>
              <w:rPr>
                <w:rFonts w:hint="eastAsia"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项目</w:t>
            </w:r>
          </w:p>
        </w:tc>
        <w:tc>
          <w:tcPr>
            <w:tcW w:w="116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center"/>
              <w:rPr>
                <w:rFonts w:hint="eastAsia"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合计</w:t>
            </w:r>
          </w:p>
        </w:tc>
        <w:tc>
          <w:tcPr>
            <w:tcW w:w="969"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center"/>
              <w:rPr>
                <w:rFonts w:hint="eastAsia"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因公出国费用</w:t>
            </w:r>
          </w:p>
        </w:tc>
        <w:tc>
          <w:tcPr>
            <w:tcW w:w="993"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center"/>
              <w:rPr>
                <w:rFonts w:hint="eastAsia"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公务接待费</w:t>
            </w:r>
          </w:p>
        </w:tc>
        <w:tc>
          <w:tcPr>
            <w:tcW w:w="3270" w:type="dxa"/>
            <w:gridSpan w:val="3"/>
            <w:tcBorders>
              <w:top w:val="single" w:color="auto" w:sz="4" w:space="0"/>
              <w:left w:val="nil"/>
              <w:bottom w:val="single" w:color="auto" w:sz="4" w:space="0"/>
              <w:right w:val="single" w:color="auto" w:sz="4" w:space="0"/>
            </w:tcBorders>
            <w:noWrap w:val="0"/>
            <w:vAlign w:val="center"/>
          </w:tcPr>
          <w:p>
            <w:pPr>
              <w:widowControl/>
              <w:spacing w:line="440" w:lineRule="exact"/>
              <w:jc w:val="center"/>
              <w:rPr>
                <w:rFonts w:hint="eastAsia"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公务用车购置及运行费</w:t>
            </w:r>
          </w:p>
        </w:tc>
      </w:tr>
      <w:tr>
        <w:tblPrEx>
          <w:tblCellMar>
            <w:top w:w="0" w:type="dxa"/>
            <w:left w:w="108" w:type="dxa"/>
            <w:bottom w:w="0" w:type="dxa"/>
            <w:right w:w="108" w:type="dxa"/>
          </w:tblCellMar>
        </w:tblPrEx>
        <w:trPr>
          <w:trHeight w:val="1057" w:hRule="atLeast"/>
        </w:trPr>
        <w:tc>
          <w:tcPr>
            <w:tcW w:w="183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center"/>
              <w:rPr>
                <w:rFonts w:hint="eastAsia" w:ascii="仿宋_GB2312" w:hAnsi="宋体" w:eastAsia="仿宋_GB2312" w:cs="宋体"/>
                <w:b/>
                <w:bCs/>
                <w:color w:val="000000"/>
                <w:kern w:val="0"/>
                <w:sz w:val="24"/>
                <w:szCs w:val="24"/>
              </w:rPr>
            </w:pPr>
          </w:p>
        </w:tc>
        <w:tc>
          <w:tcPr>
            <w:tcW w:w="116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center"/>
              <w:rPr>
                <w:rFonts w:hint="eastAsia" w:ascii="仿宋_GB2312" w:hAnsi="宋体" w:eastAsia="仿宋_GB2312" w:cs="宋体"/>
                <w:b/>
                <w:bCs/>
                <w:color w:val="000000"/>
                <w:kern w:val="0"/>
                <w:sz w:val="24"/>
                <w:szCs w:val="24"/>
              </w:rPr>
            </w:pPr>
          </w:p>
        </w:tc>
        <w:tc>
          <w:tcPr>
            <w:tcW w:w="9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center"/>
              <w:rPr>
                <w:rFonts w:hint="eastAsia" w:ascii="仿宋_GB2312" w:hAnsi="宋体" w:eastAsia="仿宋_GB2312" w:cs="宋体"/>
                <w:b/>
                <w:bCs/>
                <w:color w:val="000000"/>
                <w:kern w:val="0"/>
                <w:sz w:val="24"/>
                <w:szCs w:val="24"/>
              </w:rPr>
            </w:pPr>
          </w:p>
        </w:tc>
        <w:tc>
          <w:tcPr>
            <w:tcW w:w="99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center"/>
              <w:rPr>
                <w:rFonts w:hint="eastAsia" w:ascii="仿宋_GB2312" w:hAnsi="宋体" w:eastAsia="仿宋_GB2312" w:cs="宋体"/>
                <w:b/>
                <w:bCs/>
                <w:color w:val="000000"/>
                <w:kern w:val="0"/>
                <w:sz w:val="24"/>
                <w:szCs w:val="24"/>
              </w:rPr>
            </w:pPr>
          </w:p>
        </w:tc>
        <w:tc>
          <w:tcPr>
            <w:tcW w:w="992" w:type="dxa"/>
            <w:tcBorders>
              <w:top w:val="nil"/>
              <w:left w:val="nil"/>
              <w:bottom w:val="single" w:color="auto" w:sz="4" w:space="0"/>
              <w:right w:val="single" w:color="auto" w:sz="4" w:space="0"/>
            </w:tcBorders>
            <w:noWrap w:val="0"/>
            <w:vAlign w:val="center"/>
          </w:tcPr>
          <w:p>
            <w:pPr>
              <w:widowControl/>
              <w:spacing w:line="440" w:lineRule="exact"/>
              <w:jc w:val="center"/>
              <w:rPr>
                <w:rFonts w:hint="eastAsia"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小计</w:t>
            </w:r>
          </w:p>
        </w:tc>
        <w:tc>
          <w:tcPr>
            <w:tcW w:w="1091" w:type="dxa"/>
            <w:tcBorders>
              <w:top w:val="nil"/>
              <w:left w:val="nil"/>
              <w:bottom w:val="single" w:color="auto" w:sz="4" w:space="0"/>
              <w:right w:val="single" w:color="auto" w:sz="4" w:space="0"/>
            </w:tcBorders>
            <w:noWrap w:val="0"/>
            <w:vAlign w:val="center"/>
          </w:tcPr>
          <w:p>
            <w:pPr>
              <w:widowControl/>
              <w:spacing w:line="440" w:lineRule="exact"/>
              <w:jc w:val="center"/>
              <w:rPr>
                <w:rFonts w:hint="eastAsia"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公务用车运行维护费</w:t>
            </w:r>
          </w:p>
        </w:tc>
        <w:tc>
          <w:tcPr>
            <w:tcW w:w="1187" w:type="dxa"/>
            <w:tcBorders>
              <w:top w:val="nil"/>
              <w:left w:val="nil"/>
              <w:bottom w:val="single" w:color="auto" w:sz="4" w:space="0"/>
              <w:right w:val="single" w:color="auto" w:sz="4" w:space="0"/>
            </w:tcBorders>
            <w:noWrap w:val="0"/>
            <w:vAlign w:val="center"/>
          </w:tcPr>
          <w:p>
            <w:pPr>
              <w:widowControl/>
              <w:spacing w:line="440" w:lineRule="exact"/>
              <w:jc w:val="center"/>
              <w:rPr>
                <w:rFonts w:hint="eastAsia"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公务用车购置费</w:t>
            </w:r>
          </w:p>
        </w:tc>
      </w:tr>
      <w:tr>
        <w:tblPrEx>
          <w:tblCellMar>
            <w:top w:w="0" w:type="dxa"/>
            <w:left w:w="108" w:type="dxa"/>
            <w:bottom w:w="0" w:type="dxa"/>
            <w:right w:w="108" w:type="dxa"/>
          </w:tblCellMar>
        </w:tblPrEx>
        <w:trPr>
          <w:trHeight w:val="783" w:hRule="atLeast"/>
        </w:trPr>
        <w:tc>
          <w:tcPr>
            <w:tcW w:w="1836" w:type="dxa"/>
            <w:tcBorders>
              <w:top w:val="nil"/>
              <w:left w:val="single" w:color="auto" w:sz="4" w:space="0"/>
              <w:bottom w:val="single" w:color="auto" w:sz="4" w:space="0"/>
              <w:right w:val="single" w:color="auto" w:sz="4" w:space="0"/>
            </w:tcBorders>
            <w:noWrap w:val="0"/>
            <w:vAlign w:val="center"/>
          </w:tcPr>
          <w:p>
            <w:pPr>
              <w:widowControl/>
              <w:spacing w:line="440" w:lineRule="exact"/>
              <w:jc w:val="center"/>
              <w:rPr>
                <w:rFonts w:hint="eastAsia"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lang w:eastAsia="zh-CN"/>
              </w:rPr>
              <w:t>202</w:t>
            </w:r>
            <w:r>
              <w:rPr>
                <w:rFonts w:hint="eastAsia" w:ascii="仿宋_GB2312" w:hAnsi="宋体" w:eastAsia="仿宋_GB2312" w:cs="宋体"/>
                <w:color w:val="000000"/>
                <w:kern w:val="0"/>
                <w:sz w:val="24"/>
                <w:szCs w:val="24"/>
                <w:lang w:val="en-US" w:eastAsia="zh-CN"/>
              </w:rPr>
              <w:t>2</w:t>
            </w:r>
            <w:r>
              <w:rPr>
                <w:rFonts w:hint="eastAsia" w:ascii="仿宋_GB2312" w:hAnsi="宋体" w:eastAsia="仿宋_GB2312" w:cs="宋体"/>
                <w:color w:val="000000"/>
                <w:kern w:val="0"/>
                <w:sz w:val="24"/>
                <w:szCs w:val="24"/>
                <w:lang w:eastAsia="zh-CN"/>
              </w:rPr>
              <w:t>年</w:t>
            </w:r>
            <w:r>
              <w:rPr>
                <w:rFonts w:hint="eastAsia" w:ascii="仿宋_GB2312" w:hAnsi="宋体" w:eastAsia="仿宋_GB2312" w:cs="宋体"/>
                <w:color w:val="000000"/>
                <w:kern w:val="0"/>
                <w:sz w:val="24"/>
                <w:szCs w:val="24"/>
              </w:rPr>
              <w:t>预算数</w:t>
            </w:r>
          </w:p>
        </w:tc>
        <w:tc>
          <w:tcPr>
            <w:tcW w:w="1164" w:type="dxa"/>
            <w:tcBorders>
              <w:top w:val="nil"/>
              <w:left w:val="nil"/>
              <w:bottom w:val="single" w:color="auto" w:sz="4" w:space="0"/>
              <w:right w:val="single" w:color="auto" w:sz="4" w:space="0"/>
            </w:tcBorders>
            <w:noWrap w:val="0"/>
            <w:vAlign w:val="center"/>
          </w:tcPr>
          <w:p>
            <w:pPr>
              <w:widowControl/>
              <w:spacing w:line="440" w:lineRule="exact"/>
              <w:jc w:val="center"/>
              <w:rPr>
                <w:rFonts w:hint="default" w:ascii="仿宋_GB2312" w:hAnsi="宋体" w:eastAsia="仿宋_GB2312" w:cs="宋体"/>
                <w:b/>
                <w:color w:val="000000"/>
                <w:kern w:val="0"/>
                <w:sz w:val="24"/>
                <w:szCs w:val="24"/>
                <w:lang w:val="en-US"/>
              </w:rPr>
            </w:pPr>
            <w:r>
              <w:rPr>
                <w:rFonts w:hint="eastAsia" w:ascii="仿宋_GB2312" w:hAnsi="宋体" w:eastAsia="仿宋_GB2312" w:cs="宋体"/>
                <w:b/>
                <w:bCs/>
                <w:color w:val="000000"/>
                <w:kern w:val="0"/>
                <w:sz w:val="24"/>
                <w:szCs w:val="24"/>
                <w:lang w:val="en-US" w:eastAsia="zh-CN"/>
              </w:rPr>
              <w:t>256.80</w:t>
            </w:r>
          </w:p>
        </w:tc>
        <w:tc>
          <w:tcPr>
            <w:tcW w:w="969" w:type="dxa"/>
            <w:tcBorders>
              <w:top w:val="nil"/>
              <w:left w:val="nil"/>
              <w:bottom w:val="single" w:color="auto" w:sz="4" w:space="0"/>
              <w:right w:val="single" w:color="auto" w:sz="4" w:space="0"/>
            </w:tcBorders>
            <w:noWrap w:val="0"/>
            <w:vAlign w:val="center"/>
          </w:tcPr>
          <w:p>
            <w:pPr>
              <w:widowControl/>
              <w:spacing w:line="440" w:lineRule="exact"/>
              <w:jc w:val="center"/>
              <w:rPr>
                <w:rFonts w:hint="eastAsia"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0</w:t>
            </w:r>
          </w:p>
        </w:tc>
        <w:tc>
          <w:tcPr>
            <w:tcW w:w="993" w:type="dxa"/>
            <w:tcBorders>
              <w:top w:val="nil"/>
              <w:left w:val="nil"/>
              <w:bottom w:val="single" w:color="auto" w:sz="4" w:space="0"/>
              <w:right w:val="single" w:color="auto" w:sz="4" w:space="0"/>
            </w:tcBorders>
            <w:noWrap w:val="0"/>
            <w:vAlign w:val="center"/>
          </w:tcPr>
          <w:p>
            <w:pPr>
              <w:widowControl/>
              <w:spacing w:line="440" w:lineRule="exact"/>
              <w:jc w:val="center"/>
              <w:rPr>
                <w:rFonts w:hint="eastAsia"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0</w:t>
            </w:r>
          </w:p>
        </w:tc>
        <w:tc>
          <w:tcPr>
            <w:tcW w:w="992" w:type="dxa"/>
            <w:tcBorders>
              <w:top w:val="nil"/>
              <w:left w:val="nil"/>
              <w:bottom w:val="single" w:color="auto" w:sz="4" w:space="0"/>
              <w:right w:val="single" w:color="auto" w:sz="4" w:space="0"/>
            </w:tcBorders>
            <w:noWrap w:val="0"/>
            <w:vAlign w:val="center"/>
          </w:tcPr>
          <w:p>
            <w:pPr>
              <w:widowControl/>
              <w:spacing w:line="440" w:lineRule="exact"/>
              <w:jc w:val="center"/>
              <w:rPr>
                <w:rFonts w:hint="default" w:ascii="仿宋_GB2312" w:hAnsi="宋体" w:eastAsia="仿宋_GB2312" w:cs="宋体"/>
                <w:color w:val="000000"/>
                <w:kern w:val="0"/>
                <w:sz w:val="24"/>
                <w:szCs w:val="24"/>
                <w:lang w:val="en-US"/>
              </w:rPr>
            </w:pPr>
            <w:r>
              <w:rPr>
                <w:rFonts w:hint="eastAsia" w:ascii="仿宋_GB2312" w:hAnsi="宋体" w:eastAsia="仿宋_GB2312" w:cs="宋体"/>
                <w:color w:val="000000"/>
                <w:kern w:val="0"/>
                <w:sz w:val="24"/>
                <w:szCs w:val="24"/>
                <w:lang w:val="en-US" w:eastAsia="zh-CN"/>
              </w:rPr>
              <w:t>256.80</w:t>
            </w:r>
          </w:p>
        </w:tc>
        <w:tc>
          <w:tcPr>
            <w:tcW w:w="1091" w:type="dxa"/>
            <w:tcBorders>
              <w:top w:val="nil"/>
              <w:left w:val="nil"/>
              <w:bottom w:val="single" w:color="auto" w:sz="4" w:space="0"/>
              <w:right w:val="single" w:color="auto" w:sz="4" w:space="0"/>
            </w:tcBorders>
            <w:noWrap w:val="0"/>
            <w:vAlign w:val="center"/>
          </w:tcPr>
          <w:p>
            <w:pPr>
              <w:widowControl/>
              <w:spacing w:line="440" w:lineRule="exact"/>
              <w:jc w:val="center"/>
              <w:rPr>
                <w:rFonts w:hint="default"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256.80</w:t>
            </w:r>
          </w:p>
        </w:tc>
        <w:tc>
          <w:tcPr>
            <w:tcW w:w="1187" w:type="dxa"/>
            <w:tcBorders>
              <w:top w:val="nil"/>
              <w:left w:val="nil"/>
              <w:bottom w:val="single" w:color="auto" w:sz="4" w:space="0"/>
              <w:right w:val="single" w:color="auto" w:sz="4" w:space="0"/>
            </w:tcBorders>
            <w:noWrap w:val="0"/>
            <w:vAlign w:val="center"/>
          </w:tcPr>
          <w:p>
            <w:pPr>
              <w:widowControl/>
              <w:spacing w:line="440" w:lineRule="exact"/>
              <w:jc w:val="center"/>
              <w:rPr>
                <w:rFonts w:hint="eastAsia"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0</w:t>
            </w:r>
          </w:p>
        </w:tc>
      </w:tr>
      <w:tr>
        <w:tblPrEx>
          <w:tblCellMar>
            <w:top w:w="0" w:type="dxa"/>
            <w:left w:w="108" w:type="dxa"/>
            <w:bottom w:w="0" w:type="dxa"/>
            <w:right w:w="108" w:type="dxa"/>
          </w:tblCellMar>
        </w:tblPrEx>
        <w:trPr>
          <w:trHeight w:val="762" w:hRule="atLeast"/>
        </w:trPr>
        <w:tc>
          <w:tcPr>
            <w:tcW w:w="1836" w:type="dxa"/>
            <w:tcBorders>
              <w:top w:val="nil"/>
              <w:left w:val="single" w:color="auto" w:sz="4" w:space="0"/>
              <w:bottom w:val="single" w:color="auto" w:sz="4" w:space="0"/>
              <w:right w:val="single" w:color="auto" w:sz="4" w:space="0"/>
            </w:tcBorders>
            <w:noWrap w:val="0"/>
            <w:vAlign w:val="center"/>
          </w:tcPr>
          <w:p>
            <w:pPr>
              <w:widowControl/>
              <w:spacing w:line="440" w:lineRule="exact"/>
              <w:jc w:val="center"/>
              <w:rPr>
                <w:rFonts w:hint="eastAsia"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lang w:eastAsia="zh-CN"/>
              </w:rPr>
              <w:t>202</w:t>
            </w:r>
            <w:r>
              <w:rPr>
                <w:rFonts w:hint="eastAsia" w:ascii="仿宋_GB2312" w:hAnsi="宋体" w:eastAsia="仿宋_GB2312" w:cs="宋体"/>
                <w:color w:val="000000"/>
                <w:kern w:val="0"/>
                <w:sz w:val="24"/>
                <w:szCs w:val="24"/>
                <w:lang w:val="en-US" w:eastAsia="zh-CN"/>
              </w:rPr>
              <w:t>2</w:t>
            </w:r>
            <w:r>
              <w:rPr>
                <w:rFonts w:hint="eastAsia" w:ascii="仿宋_GB2312" w:hAnsi="宋体" w:eastAsia="仿宋_GB2312" w:cs="宋体"/>
                <w:color w:val="000000"/>
                <w:kern w:val="0"/>
                <w:sz w:val="24"/>
                <w:szCs w:val="24"/>
                <w:lang w:eastAsia="zh-CN"/>
              </w:rPr>
              <w:t>年</w:t>
            </w:r>
            <w:r>
              <w:rPr>
                <w:rFonts w:hint="eastAsia" w:ascii="仿宋_GB2312" w:hAnsi="宋体" w:eastAsia="仿宋_GB2312" w:cs="宋体"/>
                <w:color w:val="000000"/>
                <w:kern w:val="0"/>
                <w:sz w:val="24"/>
                <w:szCs w:val="24"/>
              </w:rPr>
              <w:t>决算数</w:t>
            </w:r>
          </w:p>
        </w:tc>
        <w:tc>
          <w:tcPr>
            <w:tcW w:w="1164" w:type="dxa"/>
            <w:tcBorders>
              <w:top w:val="nil"/>
              <w:left w:val="nil"/>
              <w:bottom w:val="single" w:color="auto" w:sz="4" w:space="0"/>
              <w:right w:val="single" w:color="auto" w:sz="4" w:space="0"/>
            </w:tcBorders>
            <w:noWrap w:val="0"/>
            <w:vAlign w:val="center"/>
          </w:tcPr>
          <w:p>
            <w:pPr>
              <w:widowControl/>
              <w:spacing w:line="440" w:lineRule="exact"/>
              <w:jc w:val="center"/>
              <w:rPr>
                <w:rFonts w:hint="default" w:ascii="仿宋_GB2312" w:hAnsi="宋体" w:eastAsia="仿宋_GB2312" w:cs="宋体"/>
                <w:b/>
                <w:color w:val="000000"/>
                <w:kern w:val="0"/>
                <w:sz w:val="24"/>
                <w:szCs w:val="24"/>
                <w:lang w:val="en-US" w:eastAsia="zh-CN"/>
              </w:rPr>
            </w:pPr>
            <w:r>
              <w:rPr>
                <w:rFonts w:hint="eastAsia" w:ascii="仿宋_GB2312" w:hAnsi="宋体" w:eastAsia="仿宋_GB2312" w:cs="宋体"/>
                <w:b/>
                <w:color w:val="000000"/>
                <w:kern w:val="0"/>
                <w:sz w:val="24"/>
                <w:szCs w:val="24"/>
                <w:lang w:val="en-US" w:eastAsia="zh-CN"/>
              </w:rPr>
              <w:t>175.07</w:t>
            </w:r>
          </w:p>
        </w:tc>
        <w:tc>
          <w:tcPr>
            <w:tcW w:w="969" w:type="dxa"/>
            <w:tcBorders>
              <w:top w:val="nil"/>
              <w:left w:val="nil"/>
              <w:bottom w:val="single" w:color="auto" w:sz="4" w:space="0"/>
              <w:right w:val="single" w:color="auto" w:sz="4" w:space="0"/>
            </w:tcBorders>
            <w:noWrap w:val="0"/>
            <w:vAlign w:val="center"/>
          </w:tcPr>
          <w:p>
            <w:pPr>
              <w:widowControl/>
              <w:spacing w:line="440" w:lineRule="exact"/>
              <w:jc w:val="center"/>
              <w:rPr>
                <w:rFonts w:hint="eastAsia"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0</w:t>
            </w:r>
          </w:p>
        </w:tc>
        <w:tc>
          <w:tcPr>
            <w:tcW w:w="993" w:type="dxa"/>
            <w:tcBorders>
              <w:top w:val="nil"/>
              <w:left w:val="nil"/>
              <w:bottom w:val="single" w:color="auto" w:sz="4" w:space="0"/>
              <w:right w:val="single" w:color="auto" w:sz="4" w:space="0"/>
            </w:tcBorders>
            <w:noWrap w:val="0"/>
            <w:vAlign w:val="center"/>
          </w:tcPr>
          <w:p>
            <w:pPr>
              <w:widowControl/>
              <w:spacing w:line="440" w:lineRule="exact"/>
              <w:jc w:val="center"/>
              <w:rPr>
                <w:rFonts w:hint="eastAsia"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0</w:t>
            </w:r>
          </w:p>
        </w:tc>
        <w:tc>
          <w:tcPr>
            <w:tcW w:w="992" w:type="dxa"/>
            <w:tcBorders>
              <w:top w:val="nil"/>
              <w:left w:val="nil"/>
              <w:bottom w:val="single" w:color="auto" w:sz="4" w:space="0"/>
              <w:right w:val="single" w:color="auto" w:sz="4" w:space="0"/>
            </w:tcBorders>
            <w:noWrap w:val="0"/>
            <w:vAlign w:val="center"/>
          </w:tcPr>
          <w:p>
            <w:pPr>
              <w:widowControl/>
              <w:spacing w:line="440" w:lineRule="exact"/>
              <w:jc w:val="center"/>
              <w:rPr>
                <w:rFonts w:hint="default"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175.07</w:t>
            </w:r>
          </w:p>
        </w:tc>
        <w:tc>
          <w:tcPr>
            <w:tcW w:w="1091" w:type="dxa"/>
            <w:tcBorders>
              <w:top w:val="nil"/>
              <w:left w:val="nil"/>
              <w:bottom w:val="single" w:color="auto" w:sz="4" w:space="0"/>
              <w:right w:val="single" w:color="auto" w:sz="4" w:space="0"/>
            </w:tcBorders>
            <w:noWrap w:val="0"/>
            <w:vAlign w:val="center"/>
          </w:tcPr>
          <w:p>
            <w:pPr>
              <w:widowControl/>
              <w:spacing w:line="440" w:lineRule="exact"/>
              <w:jc w:val="center"/>
              <w:rPr>
                <w:rFonts w:hint="default"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175.07</w:t>
            </w:r>
          </w:p>
        </w:tc>
        <w:tc>
          <w:tcPr>
            <w:tcW w:w="1187" w:type="dxa"/>
            <w:tcBorders>
              <w:top w:val="nil"/>
              <w:left w:val="nil"/>
              <w:bottom w:val="single" w:color="auto" w:sz="4" w:space="0"/>
              <w:right w:val="single" w:color="auto" w:sz="4" w:space="0"/>
            </w:tcBorders>
            <w:noWrap w:val="0"/>
            <w:vAlign w:val="center"/>
          </w:tcPr>
          <w:p>
            <w:pPr>
              <w:widowControl/>
              <w:spacing w:line="440" w:lineRule="exact"/>
              <w:jc w:val="center"/>
              <w:rPr>
                <w:rFonts w:hint="default"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0</w:t>
            </w:r>
          </w:p>
        </w:tc>
      </w:tr>
      <w:tr>
        <w:tblPrEx>
          <w:tblCellMar>
            <w:top w:w="0" w:type="dxa"/>
            <w:left w:w="108" w:type="dxa"/>
            <w:bottom w:w="0" w:type="dxa"/>
            <w:right w:w="108" w:type="dxa"/>
          </w:tblCellMar>
        </w:tblPrEx>
        <w:trPr>
          <w:trHeight w:val="757" w:hRule="atLeast"/>
        </w:trPr>
        <w:tc>
          <w:tcPr>
            <w:tcW w:w="1836" w:type="dxa"/>
            <w:tcBorders>
              <w:top w:val="nil"/>
              <w:left w:val="single" w:color="auto" w:sz="4" w:space="0"/>
              <w:bottom w:val="single" w:color="auto" w:sz="4" w:space="0"/>
              <w:right w:val="single" w:color="auto" w:sz="4" w:space="0"/>
            </w:tcBorders>
            <w:noWrap w:val="0"/>
            <w:vAlign w:val="center"/>
          </w:tcPr>
          <w:p>
            <w:pPr>
              <w:widowControl/>
              <w:spacing w:line="440" w:lineRule="exact"/>
              <w:jc w:val="center"/>
              <w:rPr>
                <w:rFonts w:hint="eastAsia"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预决算差异率</w:t>
            </w:r>
          </w:p>
        </w:tc>
        <w:tc>
          <w:tcPr>
            <w:tcW w:w="1164" w:type="dxa"/>
            <w:tcBorders>
              <w:top w:val="nil"/>
              <w:left w:val="nil"/>
              <w:bottom w:val="single" w:color="auto" w:sz="4" w:space="0"/>
              <w:right w:val="single" w:color="auto" w:sz="4" w:space="0"/>
            </w:tcBorders>
            <w:noWrap w:val="0"/>
            <w:vAlign w:val="center"/>
          </w:tcPr>
          <w:p>
            <w:pPr>
              <w:widowControl/>
              <w:spacing w:line="440" w:lineRule="exact"/>
              <w:jc w:val="center"/>
              <w:rPr>
                <w:rFonts w:hint="eastAsia" w:ascii="仿宋_GB2312" w:hAnsi="宋体" w:eastAsia="仿宋_GB2312" w:cs="宋体"/>
                <w:b/>
                <w:color w:val="000000"/>
                <w:kern w:val="0"/>
                <w:sz w:val="24"/>
                <w:szCs w:val="24"/>
              </w:rPr>
            </w:pPr>
            <w:r>
              <w:rPr>
                <w:rFonts w:hint="eastAsia" w:ascii="仿宋_GB2312" w:hAnsi="宋体" w:eastAsia="仿宋_GB2312" w:cs="宋体"/>
                <w:b/>
                <w:color w:val="000000"/>
                <w:kern w:val="0"/>
                <w:sz w:val="24"/>
                <w:szCs w:val="24"/>
                <w:lang w:val="en-US" w:eastAsia="zh-CN"/>
              </w:rPr>
              <w:t>31.64</w:t>
            </w:r>
            <w:r>
              <w:rPr>
                <w:rFonts w:hint="eastAsia" w:ascii="仿宋_GB2312" w:hAnsi="宋体" w:eastAsia="仿宋_GB2312" w:cs="宋体"/>
                <w:b/>
                <w:color w:val="000000"/>
                <w:kern w:val="0"/>
                <w:sz w:val="24"/>
                <w:szCs w:val="24"/>
              </w:rPr>
              <w:t>%</w:t>
            </w:r>
          </w:p>
        </w:tc>
        <w:tc>
          <w:tcPr>
            <w:tcW w:w="969" w:type="dxa"/>
            <w:tcBorders>
              <w:top w:val="nil"/>
              <w:left w:val="nil"/>
              <w:bottom w:val="single" w:color="auto" w:sz="4" w:space="0"/>
              <w:right w:val="single" w:color="auto" w:sz="4" w:space="0"/>
            </w:tcBorders>
            <w:noWrap w:val="0"/>
            <w:vAlign w:val="center"/>
          </w:tcPr>
          <w:p>
            <w:pPr>
              <w:widowControl/>
              <w:spacing w:line="440" w:lineRule="exact"/>
              <w:jc w:val="center"/>
              <w:rPr>
                <w:rFonts w:hint="eastAsia"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0</w:t>
            </w:r>
          </w:p>
        </w:tc>
        <w:tc>
          <w:tcPr>
            <w:tcW w:w="993" w:type="dxa"/>
            <w:tcBorders>
              <w:top w:val="nil"/>
              <w:left w:val="nil"/>
              <w:bottom w:val="single" w:color="auto" w:sz="4" w:space="0"/>
              <w:right w:val="single" w:color="auto" w:sz="4" w:space="0"/>
            </w:tcBorders>
            <w:noWrap w:val="0"/>
            <w:vAlign w:val="center"/>
          </w:tcPr>
          <w:p>
            <w:pPr>
              <w:widowControl/>
              <w:spacing w:line="440" w:lineRule="exact"/>
              <w:jc w:val="center"/>
              <w:rPr>
                <w:rFonts w:hint="eastAsia"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0</w:t>
            </w:r>
          </w:p>
        </w:tc>
        <w:tc>
          <w:tcPr>
            <w:tcW w:w="992" w:type="dxa"/>
            <w:tcBorders>
              <w:top w:val="nil"/>
              <w:left w:val="nil"/>
              <w:bottom w:val="single" w:color="auto" w:sz="4" w:space="0"/>
              <w:right w:val="single" w:color="auto" w:sz="4" w:space="0"/>
            </w:tcBorders>
            <w:noWrap w:val="0"/>
            <w:vAlign w:val="center"/>
          </w:tcPr>
          <w:p>
            <w:pPr>
              <w:widowControl/>
              <w:spacing w:line="440" w:lineRule="exact"/>
              <w:jc w:val="center"/>
              <w:rPr>
                <w:rFonts w:hint="eastAsia"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lang w:val="en-US" w:eastAsia="zh-CN"/>
              </w:rPr>
              <w:t>31.64</w:t>
            </w:r>
            <w:r>
              <w:rPr>
                <w:rFonts w:hint="eastAsia" w:ascii="仿宋_GB2312" w:hAnsi="宋体" w:eastAsia="仿宋_GB2312" w:cs="宋体"/>
                <w:color w:val="000000"/>
                <w:kern w:val="0"/>
                <w:sz w:val="24"/>
                <w:szCs w:val="24"/>
              </w:rPr>
              <w:t>%</w:t>
            </w:r>
          </w:p>
        </w:tc>
        <w:tc>
          <w:tcPr>
            <w:tcW w:w="1091" w:type="dxa"/>
            <w:tcBorders>
              <w:top w:val="nil"/>
              <w:left w:val="nil"/>
              <w:bottom w:val="single" w:color="auto" w:sz="4" w:space="0"/>
              <w:right w:val="single" w:color="auto" w:sz="4" w:space="0"/>
            </w:tcBorders>
            <w:noWrap w:val="0"/>
            <w:vAlign w:val="center"/>
          </w:tcPr>
          <w:p>
            <w:pPr>
              <w:widowControl/>
              <w:spacing w:line="440" w:lineRule="exact"/>
              <w:jc w:val="center"/>
              <w:rPr>
                <w:rFonts w:hint="eastAsia"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lang w:val="en-US" w:eastAsia="zh-CN"/>
              </w:rPr>
              <w:t>31.64</w:t>
            </w:r>
            <w:r>
              <w:rPr>
                <w:rFonts w:hint="eastAsia" w:ascii="仿宋_GB2312" w:hAnsi="宋体" w:eastAsia="仿宋_GB2312" w:cs="宋体"/>
                <w:color w:val="000000"/>
                <w:kern w:val="0"/>
                <w:sz w:val="24"/>
                <w:szCs w:val="24"/>
              </w:rPr>
              <w:t>%</w:t>
            </w:r>
          </w:p>
        </w:tc>
        <w:tc>
          <w:tcPr>
            <w:tcW w:w="1187" w:type="dxa"/>
            <w:tcBorders>
              <w:top w:val="nil"/>
              <w:left w:val="nil"/>
              <w:bottom w:val="single" w:color="auto" w:sz="4" w:space="0"/>
              <w:right w:val="single" w:color="auto" w:sz="4" w:space="0"/>
            </w:tcBorders>
            <w:noWrap w:val="0"/>
            <w:vAlign w:val="center"/>
          </w:tcPr>
          <w:p>
            <w:pPr>
              <w:widowControl/>
              <w:spacing w:line="440" w:lineRule="exact"/>
              <w:jc w:val="center"/>
              <w:rPr>
                <w:rFonts w:hint="default"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0%</w:t>
            </w:r>
          </w:p>
        </w:tc>
      </w:tr>
    </w:tbl>
    <w:p>
      <w:pPr>
        <w:spacing w:line="500" w:lineRule="exact"/>
        <w:ind w:firstLine="700" w:firstLineChars="218"/>
        <w:rPr>
          <w:rFonts w:hint="eastAsia" w:ascii="仿宋_GB2312" w:hAnsi="宋体" w:eastAsia="仿宋_GB2312"/>
          <w:sz w:val="32"/>
          <w:szCs w:val="32"/>
        </w:rPr>
      </w:pPr>
      <w:r>
        <w:rPr>
          <w:rFonts w:hint="eastAsia" w:ascii="仿宋_GB2312" w:hAnsi="宋体" w:eastAsia="仿宋_GB2312" w:cs="仿宋_GB2312"/>
          <w:b/>
          <w:sz w:val="32"/>
          <w:szCs w:val="32"/>
          <w:lang w:eastAsia="zh-CN"/>
        </w:rPr>
        <w:t>三</w:t>
      </w:r>
      <w:r>
        <w:rPr>
          <w:rFonts w:hint="eastAsia" w:ascii="仿宋_GB2312" w:hAnsi="宋体" w:eastAsia="仿宋_GB2312" w:cs="仿宋_GB2312"/>
          <w:b/>
          <w:sz w:val="32"/>
          <w:szCs w:val="32"/>
        </w:rPr>
        <w:t>、名词解释</w:t>
      </w:r>
    </w:p>
    <w:p>
      <w:pPr>
        <w:spacing w:line="600" w:lineRule="exact"/>
        <w:ind w:firstLine="697" w:firstLineChars="218"/>
        <w:rPr>
          <w:rFonts w:hint="eastAsia" w:ascii="仿宋_GB2312" w:hAnsi="宋体" w:eastAsia="仿宋_GB2312"/>
          <w:sz w:val="32"/>
          <w:szCs w:val="32"/>
        </w:rPr>
      </w:pPr>
      <w:r>
        <w:rPr>
          <w:rFonts w:hint="eastAsia" w:ascii="仿宋_GB2312" w:hAnsi="宋体" w:eastAsia="仿宋_GB2312" w:cs="仿宋_GB2312"/>
          <w:sz w:val="32"/>
          <w:szCs w:val="32"/>
        </w:rPr>
        <w:t>“三公”经费决算数是指各部门（含下属单位）使用本级财政一般公共预算拨款形成的本年因公出国费、公务用车购置及运行费、公务接待费支出，包括年初预算安排财政拨款支出数、年中财政追加预算安排支出数、以前年度财政拨款结余资金安排支出数。</w:t>
      </w:r>
    </w:p>
    <w:p>
      <w:pPr>
        <w:spacing w:line="600" w:lineRule="exact"/>
        <w:ind w:firstLine="697" w:firstLineChars="218"/>
        <w:rPr>
          <w:rFonts w:hint="eastAsia" w:ascii="仿宋_GB2312" w:hAnsi="宋体" w:eastAsia="仿宋_GB2312"/>
          <w:sz w:val="32"/>
          <w:szCs w:val="32"/>
        </w:rPr>
      </w:pPr>
      <w:r>
        <w:rPr>
          <w:rFonts w:hint="eastAsia" w:ascii="仿宋_GB2312" w:hAnsi="宋体" w:eastAsia="仿宋_GB2312"/>
          <w:sz w:val="32"/>
          <w:szCs w:val="32"/>
        </w:rPr>
        <w:t>因公出国（境）费用：反映行政事业单位工作人员公务出国（境）的住宿费、旅费、伙食补助费、杂费、培训费等支出。</w:t>
      </w:r>
    </w:p>
    <w:p>
      <w:pPr>
        <w:spacing w:line="600" w:lineRule="exact"/>
        <w:ind w:firstLine="697" w:firstLineChars="218"/>
        <w:rPr>
          <w:rFonts w:hint="eastAsia" w:ascii="仿宋_GB2312" w:hAnsi="宋体" w:eastAsia="仿宋_GB2312"/>
          <w:sz w:val="32"/>
          <w:szCs w:val="32"/>
        </w:rPr>
      </w:pPr>
      <w:r>
        <w:rPr>
          <w:rFonts w:hint="eastAsia" w:ascii="仿宋_GB2312" w:hAnsi="宋体" w:eastAsia="仿宋_GB2312"/>
          <w:sz w:val="32"/>
          <w:szCs w:val="32"/>
        </w:rPr>
        <w:t>公务接待费：反映行政事业单位按规定开支的各类公务接待费用。</w:t>
      </w:r>
    </w:p>
    <w:p>
      <w:pPr>
        <w:spacing w:line="600" w:lineRule="exact"/>
        <w:ind w:firstLine="697" w:firstLineChars="218"/>
        <w:rPr>
          <w:rFonts w:hint="eastAsia" w:ascii="仿宋_GB2312" w:hAnsi="宋体" w:eastAsia="仿宋_GB2312"/>
          <w:sz w:val="32"/>
          <w:szCs w:val="32"/>
        </w:rPr>
      </w:pPr>
      <w:r>
        <w:rPr>
          <w:rFonts w:hint="eastAsia" w:ascii="仿宋_GB2312" w:hAnsi="宋体" w:eastAsia="仿宋_GB2312"/>
          <w:sz w:val="32"/>
          <w:szCs w:val="32"/>
        </w:rPr>
        <w:t>公务用车购置及运行维护费：反映我县行政事业单位公务用车购置费及公务用车日常使用过程中发生的公务用车租用费、燃料费、维修费、保险费等支出。</w:t>
      </w:r>
    </w:p>
    <w:p>
      <w:pPr>
        <w:snapToGrid w:val="0"/>
        <w:spacing w:line="600" w:lineRule="exact"/>
        <w:ind w:firstLine="640" w:firstLineChars="200"/>
        <w:rPr>
          <w:rFonts w:hint="eastAsia" w:ascii="仿宋_GB2312" w:hAnsi="宋体" w:eastAsia="仿宋_GB2312" w:cs="仿宋_GB2312"/>
          <w:sz w:val="32"/>
          <w:szCs w:val="32"/>
        </w:rPr>
      </w:pPr>
    </w:p>
    <w:p>
      <w:pPr>
        <w:snapToGrid w:val="0"/>
        <w:spacing w:line="600" w:lineRule="exact"/>
        <w:ind w:firstLine="600" w:firstLineChars="200"/>
        <w:rPr>
          <w:rFonts w:hint="eastAsia" w:ascii="仿宋_GB2312" w:hAnsi="宋体" w:eastAsia="仿宋_GB2312" w:cs="仿宋_GB2312"/>
          <w:sz w:val="30"/>
          <w:szCs w:val="30"/>
        </w:rPr>
      </w:pPr>
    </w:p>
    <w:p>
      <w:pPr>
        <w:snapToGrid w:val="0"/>
        <w:spacing w:line="600" w:lineRule="exact"/>
        <w:ind w:firstLine="600" w:firstLineChars="200"/>
        <w:rPr>
          <w:rFonts w:hint="eastAsia" w:ascii="仿宋_GB2312" w:hAnsi="宋体" w:eastAsia="仿宋_GB2312" w:cs="仿宋_GB2312"/>
          <w:sz w:val="30"/>
          <w:szCs w:val="30"/>
        </w:rPr>
      </w:pPr>
    </w:p>
    <w:p>
      <w:pPr>
        <w:snapToGrid w:val="0"/>
        <w:spacing w:line="600" w:lineRule="exact"/>
        <w:ind w:firstLine="600" w:firstLineChars="200"/>
        <w:rPr>
          <w:rFonts w:hint="eastAsia" w:ascii="仿宋_GB2312" w:hAnsi="宋体" w:eastAsia="仿宋_GB2312" w:cs="仿宋_GB2312"/>
          <w:sz w:val="30"/>
          <w:szCs w:val="30"/>
        </w:rPr>
      </w:pPr>
    </w:p>
    <w:p>
      <w:pPr>
        <w:snapToGrid w:val="0"/>
        <w:spacing w:line="600" w:lineRule="exact"/>
        <w:ind w:firstLine="600" w:firstLineChars="200"/>
        <w:rPr>
          <w:rFonts w:hint="eastAsia" w:ascii="仿宋_GB2312" w:hAnsi="宋体" w:eastAsia="仿宋_GB2312" w:cs="仿宋_GB2312"/>
          <w:sz w:val="30"/>
          <w:szCs w:val="30"/>
        </w:rPr>
      </w:pPr>
    </w:p>
    <w:p>
      <w:pPr>
        <w:spacing w:line="600" w:lineRule="exact"/>
        <w:jc w:val="center"/>
        <w:rPr>
          <w:rFonts w:ascii="仿宋_GB2312" w:hAnsi="宋体" w:eastAsia="仿宋_GB2312"/>
          <w:sz w:val="32"/>
          <w:szCs w:val="32"/>
        </w:rPr>
      </w:pPr>
      <w:r>
        <w:rPr>
          <w:rFonts w:hint="eastAsia" w:ascii="仿宋_GB2312" w:hAnsi="宋体" w:eastAsia="仿宋_GB2312"/>
          <w:sz w:val="32"/>
          <w:szCs w:val="32"/>
        </w:rPr>
        <w:t xml:space="preserve">                 叶城县财政局</w:t>
      </w:r>
    </w:p>
    <w:p>
      <w:pPr>
        <w:tabs>
          <w:tab w:val="left" w:pos="4360"/>
        </w:tabs>
        <w:spacing w:line="600" w:lineRule="exact"/>
        <w:rPr>
          <w:rFonts w:ascii="仿宋_GB2312" w:hAnsi="宋体" w:eastAsia="仿宋_GB2312"/>
          <w:sz w:val="32"/>
          <w:szCs w:val="32"/>
        </w:rPr>
      </w:pPr>
      <w:r>
        <w:rPr>
          <w:rFonts w:ascii="仿宋_GB2312" w:hAnsi="宋体" w:eastAsia="仿宋_GB2312"/>
          <w:sz w:val="32"/>
          <w:szCs w:val="32"/>
        </w:rPr>
        <w:tab/>
      </w:r>
      <w:r>
        <w:rPr>
          <w:rFonts w:hint="eastAsia" w:ascii="仿宋_GB2312" w:hAnsi="宋体" w:eastAsia="仿宋_GB2312"/>
          <w:sz w:val="32"/>
          <w:szCs w:val="32"/>
        </w:rPr>
        <w:t>202</w:t>
      </w:r>
      <w:r>
        <w:rPr>
          <w:rFonts w:hint="eastAsia" w:ascii="仿宋_GB2312" w:hAnsi="宋体" w:eastAsia="仿宋_GB2312"/>
          <w:sz w:val="32"/>
          <w:szCs w:val="32"/>
          <w:lang w:val="en-US" w:eastAsia="zh-CN"/>
        </w:rPr>
        <w:t>3</w:t>
      </w:r>
      <w:r>
        <w:rPr>
          <w:rFonts w:hint="eastAsia" w:ascii="仿宋_GB2312" w:hAnsi="宋体" w:eastAsia="仿宋_GB2312"/>
          <w:sz w:val="32"/>
          <w:szCs w:val="32"/>
        </w:rPr>
        <w:t>年</w:t>
      </w:r>
      <w:r>
        <w:rPr>
          <w:rFonts w:hint="eastAsia" w:ascii="仿宋_GB2312" w:hAnsi="宋体" w:eastAsia="仿宋_GB2312"/>
          <w:sz w:val="32"/>
          <w:szCs w:val="32"/>
          <w:lang w:val="en-US" w:eastAsia="zh-CN"/>
        </w:rPr>
        <w:t>10</w:t>
      </w:r>
      <w:r>
        <w:rPr>
          <w:rFonts w:hint="eastAsia" w:ascii="仿宋_GB2312" w:hAnsi="宋体" w:eastAsia="仿宋_GB2312"/>
          <w:sz w:val="32"/>
          <w:szCs w:val="32"/>
        </w:rPr>
        <w:t>月</w:t>
      </w:r>
      <w:r>
        <w:rPr>
          <w:rFonts w:hint="eastAsia" w:ascii="仿宋_GB2312" w:hAnsi="宋体" w:eastAsia="仿宋_GB2312"/>
          <w:sz w:val="32"/>
          <w:szCs w:val="32"/>
          <w:lang w:val="en-US" w:eastAsia="zh-CN"/>
        </w:rPr>
        <w:t>3</w:t>
      </w:r>
      <w:r>
        <w:rPr>
          <w:rFonts w:hint="eastAsia" w:ascii="仿宋_GB2312" w:hAnsi="宋体" w:eastAsia="仿宋_GB2312"/>
          <w:sz w:val="32"/>
          <w:szCs w:val="32"/>
        </w:rPr>
        <w:t>日</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7F4C94"/>
    <w:multiLevelType w:val="singleLevel"/>
    <w:tmpl w:val="987F4C9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546E13"/>
    <w:rsid w:val="0D295186"/>
    <w:rsid w:val="73546E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ascii="Calibri" w:hAnsi="Calibri" w:eastAsia="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2024-08-06T08:48:00Z</dcterms:created>
  <dc:creator>Administrator</dc:creator>
  <cp:lastModifiedBy>Administrator</cp:lastModifiedBy>
  <dcterms:modified xsi:type="dcterms:W3CDTF">2024-12-12T09:10:44Z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