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大黑简体" w:hAnsi="方正大黑简体" w:eastAsia="方正大黑简体" w:cs="方正大黑简体"/>
          <w:kern w:val="0"/>
          <w:sz w:val="44"/>
          <w:szCs w:val="44"/>
        </w:rPr>
      </w:pP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叶城县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eastAsia="zh-CN"/>
        </w:rPr>
        <w:t>202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eastAsia="zh-CN"/>
        </w:rPr>
        <w:t>年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国有资本经营决算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eastAsia="zh-CN"/>
        </w:rPr>
        <w:t>情况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按照《中华人民共和国预算法》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自治区人民政府关于试行国有资本经营预算的意见》(新政发〔2008〕90号)、《新疆维吾尔自治区本级国有资本经营预算管理办法》(新财企〔2014〕53号)、《自治区财政厅关于转发&lt;财政部关于印发&lt;地方预决算公开操作规程&gt;的通知》(新财预〔2016〕129号)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规定要求，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年叶城县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国有资本经营决算情况说明如下：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一、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叶城县国有资本经营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决算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（一）2022年叶城县国有资本经营预算收入情况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收入完成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5243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其中：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5235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,国有资本经营预算上年结余收入5万元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为年初预算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487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1074.95%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，比20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4540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645.80%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（二）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年叶城县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国有资本经营预算支出情况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5243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国有资本经营预算调出资金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1577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万元，国有资本经营预算支出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3666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为年初预算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1128%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，比20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651.15%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  <w:bookmarkStart w:id="0" w:name="_GoBack"/>
      <w:bookmarkEnd w:id="0"/>
    </w:p>
    <w:p>
      <w:pPr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（三）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年叶城县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国有资本经营预算结余情况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国有资本经营预算收入总计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5243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万元（其中：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5235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万元，国有资本经营预算上级补助收入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，国有资本经营预算上年结余收入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），国有资本经营预算支出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5243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万元（其中：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3666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万元，国有资本经营预算调出资金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1577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）。收支相抵，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结余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结转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、强化国有资本经营预(决)算管理的主要措施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（一）加强国有资本经营预算收入管理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今年对国有企业数量、运行和盈利状况进行摸底调查，将各类应缴企业尽快纳入预算管理，做到应收尽收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（二）完善国有资本经营预算收支与绩效管理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jc w:val="both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叶城县财政局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2023年10月3日</w:t>
      </w:r>
    </w:p>
    <w:sectPr>
      <w:pgSz w:w="11906" w:h="16838"/>
      <w:pgMar w:top="1701" w:right="1701" w:bottom="1701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0710A"/>
    <w:rsid w:val="00026A25"/>
    <w:rsid w:val="000F4E6B"/>
    <w:rsid w:val="00180249"/>
    <w:rsid w:val="001A2774"/>
    <w:rsid w:val="002979C2"/>
    <w:rsid w:val="00300EE1"/>
    <w:rsid w:val="0037098C"/>
    <w:rsid w:val="00457244"/>
    <w:rsid w:val="00512156"/>
    <w:rsid w:val="00592A0F"/>
    <w:rsid w:val="005C6D5B"/>
    <w:rsid w:val="006E57B5"/>
    <w:rsid w:val="007B030D"/>
    <w:rsid w:val="007C132A"/>
    <w:rsid w:val="007C571E"/>
    <w:rsid w:val="00844C11"/>
    <w:rsid w:val="008A1956"/>
    <w:rsid w:val="009A3AFA"/>
    <w:rsid w:val="00A36ACD"/>
    <w:rsid w:val="00A61BD5"/>
    <w:rsid w:val="00AA2276"/>
    <w:rsid w:val="00AD2E7B"/>
    <w:rsid w:val="00B3492B"/>
    <w:rsid w:val="00CE4D6A"/>
    <w:rsid w:val="00CE747C"/>
    <w:rsid w:val="00D862A2"/>
    <w:rsid w:val="00E03D06"/>
    <w:rsid w:val="00EC12E2"/>
    <w:rsid w:val="00F53EA3"/>
    <w:rsid w:val="00FA1810"/>
    <w:rsid w:val="00FB196A"/>
    <w:rsid w:val="022419BF"/>
    <w:rsid w:val="02776C3B"/>
    <w:rsid w:val="03071823"/>
    <w:rsid w:val="032F24D4"/>
    <w:rsid w:val="05037FD8"/>
    <w:rsid w:val="06753E8B"/>
    <w:rsid w:val="07C767B7"/>
    <w:rsid w:val="092F1CD7"/>
    <w:rsid w:val="096D4619"/>
    <w:rsid w:val="0B234A62"/>
    <w:rsid w:val="0DE35F09"/>
    <w:rsid w:val="0F5A2BA0"/>
    <w:rsid w:val="1030710A"/>
    <w:rsid w:val="126D5C6F"/>
    <w:rsid w:val="127D549C"/>
    <w:rsid w:val="18E55BC1"/>
    <w:rsid w:val="197C0848"/>
    <w:rsid w:val="1AEE2634"/>
    <w:rsid w:val="1E642D6C"/>
    <w:rsid w:val="20653D9C"/>
    <w:rsid w:val="25D329B8"/>
    <w:rsid w:val="29AD4526"/>
    <w:rsid w:val="2A90632C"/>
    <w:rsid w:val="2DF13EB2"/>
    <w:rsid w:val="2E13607F"/>
    <w:rsid w:val="2EBE0328"/>
    <w:rsid w:val="305E2A04"/>
    <w:rsid w:val="34285091"/>
    <w:rsid w:val="344D330E"/>
    <w:rsid w:val="3E8472F3"/>
    <w:rsid w:val="3FBA7618"/>
    <w:rsid w:val="41D966D8"/>
    <w:rsid w:val="42AE47F3"/>
    <w:rsid w:val="445B08E0"/>
    <w:rsid w:val="4466016F"/>
    <w:rsid w:val="45B35F9D"/>
    <w:rsid w:val="45F93FD6"/>
    <w:rsid w:val="471B7727"/>
    <w:rsid w:val="48375507"/>
    <w:rsid w:val="49A806BB"/>
    <w:rsid w:val="4D0B6370"/>
    <w:rsid w:val="4D3C4926"/>
    <w:rsid w:val="4D9345C3"/>
    <w:rsid w:val="4FD84C28"/>
    <w:rsid w:val="4FDB688E"/>
    <w:rsid w:val="51F81D44"/>
    <w:rsid w:val="54833912"/>
    <w:rsid w:val="57037D6E"/>
    <w:rsid w:val="57624525"/>
    <w:rsid w:val="5B8D0419"/>
    <w:rsid w:val="5BD749EB"/>
    <w:rsid w:val="5CAF6EEF"/>
    <w:rsid w:val="5DB2232E"/>
    <w:rsid w:val="5DBD705C"/>
    <w:rsid w:val="5DD75452"/>
    <w:rsid w:val="60E12B21"/>
    <w:rsid w:val="640212E2"/>
    <w:rsid w:val="647829AC"/>
    <w:rsid w:val="65FA40D4"/>
    <w:rsid w:val="682C77D5"/>
    <w:rsid w:val="68893E91"/>
    <w:rsid w:val="69E043BF"/>
    <w:rsid w:val="6CFD134F"/>
    <w:rsid w:val="6D535020"/>
    <w:rsid w:val="6DB358A5"/>
    <w:rsid w:val="6DDC4920"/>
    <w:rsid w:val="6E9F2168"/>
    <w:rsid w:val="7010618D"/>
    <w:rsid w:val="719C192E"/>
    <w:rsid w:val="73193B24"/>
    <w:rsid w:val="749130AB"/>
    <w:rsid w:val="74E462B9"/>
    <w:rsid w:val="772A5B7E"/>
    <w:rsid w:val="79946994"/>
    <w:rsid w:val="79C52A74"/>
    <w:rsid w:val="7ADB571B"/>
    <w:rsid w:val="7DA57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微软中国</Company>
  <Pages>6</Pages>
  <Words>509</Words>
  <Characters>2903</Characters>
  <Lines>24</Lines>
  <Paragraphs>6</Paragraphs>
  <TotalTime>73</TotalTime>
  <ScaleCrop>false</ScaleCrop>
  <LinksUpToDate>false</LinksUpToDate>
  <CharactersWithSpaces>3406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2018-05-21T04:44:00Z</dcterms:created>
  <dc:creator>151090146</dc:creator>
  <cp:lastModifiedBy>Administrator</cp:lastModifiedBy>
  <cp:lastPrinted>2020-09-29T05:45:00Z</cp:lastPrinted>
  <dcterms:modified xsi:type="dcterms:W3CDTF">2023-10-27T05:57:35Z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KSORubyTemplateID" linkTarget="0">
    <vt:lpwstr>6</vt:lpwstr>
  </property>
</Properties>
</file>