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hd w:val="clear" w:color="auto" w:fill="FFFFFF"/>
        <w:spacing w:before="0" w:after="0" w:line="560" w:lineRule="exact"/>
        <w:jc w:val="center"/>
        <w:rPr>
          <w:rFonts w:ascii="方正小标宋简体" w:hAnsi="Arial" w:eastAsia="方正小标宋简体" w:cs="Arial"/>
          <w:sz w:val="44"/>
          <w:szCs w:val="44"/>
        </w:rPr>
      </w:pPr>
      <w:r>
        <w:rPr>
          <w:rFonts w:hint="eastAsia" w:ascii="方正小标宋简体" w:hAnsi="Arial" w:eastAsia="方正小标宋简体" w:cs="Arial"/>
          <w:sz w:val="44"/>
          <w:szCs w:val="44"/>
          <w:lang w:eastAsia="zh-CN"/>
        </w:rPr>
        <w:t>喀什地区</w:t>
      </w:r>
      <w:r>
        <w:rPr>
          <w:rFonts w:hint="eastAsia" w:ascii="方正小标宋简体" w:hAnsi="Arial" w:eastAsia="方正小标宋简体" w:cs="Arial"/>
          <w:sz w:val="44"/>
          <w:szCs w:val="44"/>
        </w:rPr>
        <w:t>叶城县柯克亚乡人民政府2016年部门预算及“三公”经费信息公开报告</w:t>
      </w:r>
    </w:p>
    <w:p>
      <w:pPr>
        <w:pStyle w:val="5"/>
        <w:shd w:val="clear" w:color="auto" w:fill="FFFFFF"/>
        <w:spacing w:before="0" w:beforeAutospacing="0" w:after="0" w:line="560" w:lineRule="exact"/>
        <w:rPr>
          <w:rFonts w:ascii="Arial" w:hAnsi="Arial" w:cs="Arial"/>
          <w:sz w:val="32"/>
          <w:szCs w:val="32"/>
        </w:rPr>
      </w:pPr>
    </w:p>
    <w:p>
      <w:pPr>
        <w:pStyle w:val="5"/>
        <w:shd w:val="clear" w:color="auto" w:fill="FFFFFF"/>
        <w:spacing w:before="0" w:beforeAutospacing="0" w:after="0" w:line="560" w:lineRule="exact"/>
        <w:ind w:firstLine="640" w:firstLineChars="200"/>
        <w:rPr>
          <w:rFonts w:ascii="仿宋_GB2312" w:hAnsi="Arial" w:eastAsia="仿宋_GB2312" w:cs="Arial"/>
          <w:sz w:val="32"/>
          <w:szCs w:val="32"/>
        </w:rPr>
      </w:pPr>
      <w:r>
        <w:rPr>
          <w:rFonts w:hint="eastAsia" w:ascii="仿宋_GB2312" w:hAnsi="Times New Roman" w:eastAsia="仿宋_GB2312" w:cs="Times New Roman"/>
          <w:color w:val="333333"/>
          <w:sz w:val="32"/>
          <w:szCs w:val="32"/>
        </w:rPr>
        <w:t>为进一步增强政府预算透明度，提升预算管理水平，更好地保障公民的知情权、参与权和监督权</w:t>
      </w:r>
      <w:r>
        <w:rPr>
          <w:rFonts w:hint="eastAsia" w:ascii="仿宋_GB2312" w:hAnsi="Arial" w:eastAsia="仿宋_GB2312" w:cs="Arial"/>
          <w:sz w:val="32"/>
          <w:szCs w:val="32"/>
        </w:rPr>
        <w:t>，</w:t>
      </w:r>
      <w:r>
        <w:rPr>
          <w:rFonts w:hint="eastAsia" w:ascii="仿宋_GB2312" w:eastAsia="仿宋_GB2312"/>
          <w:color w:val="000000"/>
          <w:sz w:val="32"/>
          <w:szCs w:val="32"/>
        </w:rPr>
        <w:t>提高资金使用效益，</w:t>
      </w:r>
      <w:r>
        <w:rPr>
          <w:rFonts w:hint="eastAsia" w:ascii="仿宋_GB2312" w:hAnsi="Arial" w:eastAsia="仿宋_GB2312" w:cs="Arial"/>
          <w:sz w:val="32"/>
          <w:szCs w:val="32"/>
        </w:rPr>
        <w:t>现将叶城县柯克亚乡2016年部门预算及“三公”经费信息公开如下：</w:t>
      </w:r>
    </w:p>
    <w:p>
      <w:pPr>
        <w:pStyle w:val="5"/>
        <w:shd w:val="clear" w:color="auto" w:fill="FFFFFF"/>
        <w:spacing w:before="0" w:beforeAutospacing="0" w:after="0" w:line="560" w:lineRule="exact"/>
        <w:ind w:firstLine="643" w:firstLineChars="200"/>
        <w:rPr>
          <w:rFonts w:ascii="黑体" w:hAnsi="Arial" w:eastAsia="黑体" w:cs="Arial"/>
          <w:b/>
          <w:sz w:val="32"/>
          <w:szCs w:val="32"/>
        </w:rPr>
      </w:pPr>
      <w:r>
        <w:rPr>
          <w:rFonts w:hint="eastAsia" w:ascii="黑体" w:hAnsi="Arial" w:eastAsia="黑体" w:cs="Arial"/>
          <w:b/>
          <w:sz w:val="32"/>
          <w:szCs w:val="32"/>
        </w:rPr>
        <w:t>一、部门基本情况</w:t>
      </w:r>
    </w:p>
    <w:p>
      <w:pPr>
        <w:pStyle w:val="5"/>
        <w:shd w:val="clear" w:color="auto" w:fill="FFFFFF"/>
        <w:spacing w:before="0" w:beforeAutospacing="0" w:after="0" w:line="560" w:lineRule="exact"/>
        <w:ind w:firstLine="643" w:firstLineChars="200"/>
        <w:rPr>
          <w:rFonts w:ascii="楷体_GB2312" w:hAnsi="Arial" w:eastAsia="楷体_GB2312" w:cs="Arial"/>
          <w:b/>
          <w:sz w:val="32"/>
          <w:szCs w:val="32"/>
        </w:rPr>
      </w:pPr>
      <w:r>
        <w:rPr>
          <w:rFonts w:hint="eastAsia" w:ascii="楷体_GB2312" w:hAnsi="Arial" w:eastAsia="楷体_GB2312" w:cs="Arial"/>
          <w:b/>
          <w:sz w:val="32"/>
          <w:szCs w:val="32"/>
        </w:rPr>
        <w:t>（一）单位职责</w:t>
      </w:r>
    </w:p>
    <w:p>
      <w:pPr>
        <w:widowControl/>
        <w:shd w:val="clear" w:color="auto" w:fill="FFFFFF"/>
        <w:spacing w:line="500" w:lineRule="exact"/>
        <w:ind w:firstLine="707" w:firstLineChars="221"/>
        <w:jc w:val="left"/>
        <w:rPr>
          <w:rFonts w:ascii="仿宋_GB2312" w:hAnsi="Arial" w:eastAsia="仿宋_GB2312"/>
          <w:kern w:val="0"/>
          <w:sz w:val="32"/>
          <w:szCs w:val="32"/>
        </w:rPr>
      </w:pPr>
      <w:r>
        <w:rPr>
          <w:rFonts w:hint="eastAsia" w:ascii="仿宋_GB2312" w:hAnsi="Arial" w:eastAsia="仿宋_GB2312"/>
          <w:kern w:val="0"/>
          <w:sz w:val="32"/>
          <w:szCs w:val="32"/>
        </w:rPr>
        <w:t>叶城县柯克亚乡属党政机关行政部门，乡科级行政单位，辖17个行政村；全乡共有农牧民15910多人，农户3850户，全乡维吾尔族占99.8%，主要以种植杏子、小麦、玉米为主，是叶城县比较贫困的山区乡。</w:t>
      </w:r>
    </w:p>
    <w:p>
      <w:pPr>
        <w:widowControl/>
        <w:shd w:val="clear" w:color="auto" w:fill="FFFFFF"/>
        <w:spacing w:line="500" w:lineRule="exact"/>
        <w:ind w:firstLine="707" w:firstLineChars="221"/>
        <w:jc w:val="left"/>
        <w:rPr>
          <w:rFonts w:ascii="仿宋_GB2312" w:hAnsi="Arial" w:eastAsia="仿宋_GB2312"/>
          <w:kern w:val="0"/>
          <w:sz w:val="32"/>
          <w:szCs w:val="32"/>
        </w:rPr>
      </w:pPr>
      <w:r>
        <w:rPr>
          <w:rFonts w:hint="eastAsia" w:ascii="仿宋_GB2312" w:hAnsi="Arial" w:eastAsia="仿宋_GB2312"/>
          <w:kern w:val="0"/>
          <w:sz w:val="32"/>
          <w:szCs w:val="32"/>
        </w:rPr>
        <w:t>主要职能：负责全乡党政行政管理事务。以贯彻落实党的十八届四中全会精神、科学发展观为指导，坚决贯彻执行党中央、国务院、自治区、地区及县委、县人民政府的有关方面政策指示，把党的各项优惠政策落实到实处，负责全乡经济社会发展、社会事务管理、基层组织建设等全面工作。以全面建设社会主义新农村为根本出发点，不断深化美丽乡村建设为总目标，不断铸牢全乡经济社会发展基础，为全乡广大人民群众提供社会服务。</w:t>
      </w:r>
    </w:p>
    <w:p>
      <w:pPr>
        <w:pStyle w:val="5"/>
        <w:shd w:val="clear" w:color="auto" w:fill="FFFFFF"/>
        <w:spacing w:before="0" w:beforeAutospacing="0" w:after="0" w:line="560" w:lineRule="exact"/>
        <w:ind w:firstLine="643" w:firstLineChars="200"/>
        <w:rPr>
          <w:rFonts w:ascii="楷体_GB2312" w:hAnsi="Arial" w:eastAsia="楷体_GB2312" w:cs="Arial"/>
          <w:b/>
          <w:sz w:val="32"/>
          <w:szCs w:val="32"/>
        </w:rPr>
      </w:pPr>
      <w:r>
        <w:rPr>
          <w:rFonts w:hint="eastAsia" w:ascii="楷体_GB2312" w:hAnsi="Arial" w:eastAsia="楷体_GB2312" w:cs="Arial"/>
          <w:b/>
          <w:sz w:val="32"/>
          <w:szCs w:val="32"/>
        </w:rPr>
        <w:t>（二）机构设置</w:t>
      </w:r>
    </w:p>
    <w:p>
      <w:pPr>
        <w:pStyle w:val="5"/>
        <w:shd w:val="clear" w:color="auto" w:fill="FFFFFF"/>
        <w:spacing w:before="0" w:beforeAutospacing="0" w:after="0" w:line="560" w:lineRule="exact"/>
        <w:ind w:firstLine="640" w:firstLineChars="200"/>
        <w:rPr>
          <w:rFonts w:ascii="仿宋_GB2312" w:hAnsi="Arial" w:eastAsia="仿宋_GB2312" w:cs="Times New Roman"/>
          <w:sz w:val="32"/>
          <w:szCs w:val="32"/>
        </w:rPr>
      </w:pPr>
      <w:r>
        <w:rPr>
          <w:rFonts w:hint="eastAsia" w:ascii="仿宋_GB2312" w:hAnsi="Arial" w:eastAsia="仿宋_GB2312" w:cs="Times New Roman"/>
          <w:sz w:val="32"/>
          <w:szCs w:val="32"/>
        </w:rPr>
        <w:t>根据职责，单位纳入2016年部门预算编制范围的有叶城县柯克亚人民政府。</w:t>
      </w:r>
    </w:p>
    <w:p>
      <w:pPr>
        <w:pStyle w:val="5"/>
        <w:shd w:val="clear" w:color="auto" w:fill="FFFFFF"/>
        <w:spacing w:before="0" w:beforeAutospacing="0" w:after="0" w:line="560" w:lineRule="exact"/>
        <w:ind w:firstLine="640" w:firstLineChars="200"/>
        <w:rPr>
          <w:rFonts w:ascii="仿宋_GB2312" w:hAnsi="Arial" w:eastAsia="仿宋_GB2312" w:cs="Times New Roman"/>
          <w:sz w:val="32"/>
          <w:szCs w:val="32"/>
        </w:rPr>
      </w:pPr>
      <w:r>
        <w:rPr>
          <w:rFonts w:hint="eastAsia" w:ascii="仿宋_GB2312" w:hAnsi="Arial" w:eastAsia="仿宋_GB2312"/>
          <w:sz w:val="32"/>
          <w:szCs w:val="32"/>
        </w:rPr>
        <w:t>柯克亚乡人民政府为</w:t>
      </w:r>
      <w:r>
        <w:rPr>
          <w:rFonts w:hint="eastAsia" w:ascii="仿宋_GB2312" w:eastAsia="仿宋_GB2312"/>
          <w:sz w:val="30"/>
          <w:szCs w:val="30"/>
        </w:rPr>
        <w:t>乡级党政机关，编制党委、政府机构，根据县要求，于</w:t>
      </w:r>
      <w:r>
        <w:rPr>
          <w:rFonts w:hint="eastAsia" w:ascii="仿宋_GB2312" w:eastAsia="仿宋_GB2312"/>
          <w:sz w:val="30"/>
          <w:szCs w:val="30"/>
          <w:lang w:eastAsia="zh-CN"/>
        </w:rPr>
        <w:t>上年</w:t>
      </w:r>
      <w:r>
        <w:rPr>
          <w:rFonts w:hint="eastAsia" w:ascii="仿宋_GB2312" w:eastAsia="仿宋_GB2312"/>
          <w:sz w:val="30"/>
          <w:szCs w:val="30"/>
        </w:rPr>
        <w:t>10月，把七站八所划归乡镇，共设有叶城县柯克亚乡劳保所、叶城县柯克亚乡土管所、叶城县柯克亚乡文化站、叶城县柯克亚乡农牧机械管理站、叶城县柯克亚乡农业农村经济办、党建办、社会事务办、财政所、民政所、等机构。</w:t>
      </w:r>
    </w:p>
    <w:p>
      <w:pPr>
        <w:pStyle w:val="5"/>
        <w:shd w:val="clear" w:color="auto" w:fill="FFFFFF"/>
        <w:spacing w:before="0" w:beforeAutospacing="0" w:after="0" w:line="560" w:lineRule="exact"/>
        <w:ind w:firstLine="643" w:firstLineChars="200"/>
        <w:rPr>
          <w:rFonts w:ascii="楷体_GB2312" w:hAnsi="Arial" w:eastAsia="楷体_GB2312" w:cs="Arial"/>
          <w:b/>
          <w:sz w:val="32"/>
          <w:szCs w:val="32"/>
        </w:rPr>
      </w:pPr>
      <w:r>
        <w:rPr>
          <w:rFonts w:hint="eastAsia" w:ascii="楷体_GB2312" w:hAnsi="Arial" w:eastAsia="楷体_GB2312" w:cs="Arial"/>
          <w:b/>
          <w:sz w:val="32"/>
          <w:szCs w:val="32"/>
        </w:rPr>
        <w:t>（三）编制及实有人数</w:t>
      </w:r>
    </w:p>
    <w:p>
      <w:pPr>
        <w:pStyle w:val="5"/>
        <w:shd w:val="clear" w:color="auto" w:fill="FFFFFF"/>
        <w:spacing w:before="0" w:beforeAutospacing="0" w:after="0" w:line="560" w:lineRule="exact"/>
        <w:ind w:firstLine="640" w:firstLineChars="200"/>
        <w:rPr>
          <w:rFonts w:ascii="仿宋_GB2312" w:eastAsia="仿宋_GB2312"/>
          <w:kern w:val="0"/>
          <w:sz w:val="30"/>
          <w:szCs w:val="30"/>
        </w:rPr>
      </w:pPr>
      <w:r>
        <w:rPr>
          <w:rFonts w:hint="eastAsia" w:ascii="仿宋_GB2312" w:hAnsi="Times New Roman" w:eastAsia="仿宋_GB2312" w:cs="Times New Roman"/>
          <w:bCs/>
          <w:sz w:val="32"/>
          <w:szCs w:val="32"/>
        </w:rPr>
        <w:t>编制人数</w:t>
      </w:r>
      <w:r>
        <w:rPr>
          <w:rFonts w:hint="eastAsia" w:ascii="仿宋_GB2312" w:hAnsi="Times New Roman" w:eastAsia="仿宋_GB2312" w:cs="Times New Roman"/>
          <w:bCs/>
          <w:sz w:val="32"/>
          <w:szCs w:val="32"/>
          <w:lang w:val="en-US" w:eastAsia="zh-CN"/>
        </w:rPr>
        <w:t>69</w:t>
      </w:r>
      <w:r>
        <w:rPr>
          <w:rFonts w:hint="eastAsia" w:ascii="仿宋_GB2312" w:hAnsi="Times New Roman" w:eastAsia="仿宋_GB2312" w:cs="Times New Roman"/>
          <w:bCs/>
          <w:sz w:val="32"/>
          <w:szCs w:val="32"/>
        </w:rPr>
        <w:t>人，其中：行政人员编制</w:t>
      </w:r>
      <w:r>
        <w:rPr>
          <w:rFonts w:hint="eastAsia" w:ascii="仿宋_GB2312" w:hAnsi="Times New Roman" w:eastAsia="仿宋_GB2312" w:cs="Times New Roman"/>
          <w:bCs/>
          <w:sz w:val="32"/>
          <w:szCs w:val="32"/>
          <w:lang w:val="en-US" w:eastAsia="zh-CN"/>
        </w:rPr>
        <w:t>59</w:t>
      </w:r>
      <w:r>
        <w:rPr>
          <w:rFonts w:hint="eastAsia" w:ascii="仿宋_GB2312" w:hAnsi="Times New Roman" w:eastAsia="仿宋_GB2312" w:cs="Times New Roman"/>
          <w:bCs/>
          <w:sz w:val="32"/>
          <w:szCs w:val="32"/>
        </w:rPr>
        <w:t>人，参照公务员管理的事业单位人员编制</w:t>
      </w:r>
      <w:r>
        <w:rPr>
          <w:rFonts w:hint="eastAsia" w:ascii="仿宋_GB2312" w:hAnsi="Times New Roman" w:eastAsia="仿宋_GB2312" w:cs="Times New Roman"/>
          <w:bCs/>
          <w:sz w:val="32"/>
          <w:szCs w:val="32"/>
          <w:lang w:val="en-US" w:eastAsia="zh-CN"/>
        </w:rPr>
        <w:t>1</w:t>
      </w:r>
      <w:r>
        <w:rPr>
          <w:rFonts w:hint="eastAsia" w:ascii="仿宋_GB2312" w:hAnsi="Times New Roman" w:eastAsia="仿宋_GB2312" w:cs="Times New Roman"/>
          <w:bCs/>
          <w:sz w:val="32"/>
          <w:szCs w:val="32"/>
        </w:rPr>
        <w:t>人，全额拨款事业单位人员编制</w:t>
      </w:r>
      <w:r>
        <w:rPr>
          <w:rFonts w:hint="eastAsia" w:ascii="仿宋_GB2312" w:hAnsi="Times New Roman" w:eastAsia="仿宋_GB2312" w:cs="Times New Roman"/>
          <w:bCs/>
          <w:sz w:val="32"/>
          <w:szCs w:val="32"/>
          <w:lang w:val="en-US" w:eastAsia="zh-CN"/>
        </w:rPr>
        <w:t>6</w:t>
      </w:r>
      <w:r>
        <w:rPr>
          <w:rFonts w:hint="eastAsia" w:ascii="仿宋_GB2312" w:hAnsi="Times New Roman" w:eastAsia="仿宋_GB2312" w:cs="Times New Roman"/>
          <w:bCs/>
          <w:sz w:val="32"/>
          <w:szCs w:val="32"/>
        </w:rPr>
        <w:t>人</w:t>
      </w:r>
      <w:r>
        <w:rPr>
          <w:rFonts w:hint="eastAsia" w:ascii="仿宋_GB2312" w:hAnsi="Times New Roman" w:eastAsia="仿宋_GB2312" w:cs="Times New Roman"/>
          <w:bCs/>
          <w:sz w:val="32"/>
          <w:szCs w:val="32"/>
          <w:lang w:eastAsia="zh-CN"/>
        </w:rPr>
        <w:t>，工勤编制</w:t>
      </w:r>
      <w:r>
        <w:rPr>
          <w:rFonts w:hint="eastAsia" w:ascii="仿宋_GB2312" w:hAnsi="Times New Roman" w:eastAsia="仿宋_GB2312" w:cs="Times New Roman"/>
          <w:bCs/>
          <w:sz w:val="32"/>
          <w:szCs w:val="32"/>
          <w:lang w:val="en-US" w:eastAsia="zh-CN"/>
        </w:rPr>
        <w:t>3人</w:t>
      </w:r>
      <w:r>
        <w:rPr>
          <w:rFonts w:hint="eastAsia" w:ascii="仿宋_GB2312" w:hAnsi="Times New Roman" w:eastAsia="仿宋_GB2312" w:cs="Times New Roman"/>
          <w:bCs/>
          <w:sz w:val="32"/>
          <w:szCs w:val="32"/>
        </w:rPr>
        <w:t>。实有在职人数</w:t>
      </w:r>
      <w:r>
        <w:rPr>
          <w:rFonts w:hint="eastAsia" w:ascii="仿宋_GB2312" w:hAnsi="Times New Roman" w:eastAsia="仿宋_GB2312" w:cs="Times New Roman"/>
          <w:bCs/>
          <w:sz w:val="32"/>
          <w:szCs w:val="32"/>
          <w:lang w:val="en-US" w:eastAsia="zh-CN"/>
        </w:rPr>
        <w:t>74</w:t>
      </w:r>
      <w:r>
        <w:rPr>
          <w:rFonts w:hint="eastAsia" w:ascii="仿宋_GB2312" w:hAnsi="Times New Roman" w:eastAsia="仿宋_GB2312" w:cs="Times New Roman"/>
          <w:bCs/>
          <w:sz w:val="32"/>
          <w:szCs w:val="32"/>
        </w:rPr>
        <w:t>人，其中：行政在职</w:t>
      </w:r>
      <w:r>
        <w:rPr>
          <w:rFonts w:hint="eastAsia" w:ascii="仿宋_GB2312" w:hAnsi="Times New Roman" w:eastAsia="仿宋_GB2312" w:cs="Times New Roman"/>
          <w:bCs/>
          <w:sz w:val="32"/>
          <w:szCs w:val="32"/>
          <w:lang w:val="en-US" w:eastAsia="zh-CN"/>
        </w:rPr>
        <w:t>53</w:t>
      </w:r>
      <w:r>
        <w:rPr>
          <w:rFonts w:hint="eastAsia" w:ascii="仿宋_GB2312" w:hAnsi="Times New Roman" w:eastAsia="仿宋_GB2312" w:cs="Times New Roman"/>
          <w:bCs/>
          <w:sz w:val="32"/>
          <w:szCs w:val="32"/>
        </w:rPr>
        <w:t>人，参照公务员管理的事业单位人员</w:t>
      </w:r>
      <w:r>
        <w:rPr>
          <w:rFonts w:hint="eastAsia" w:ascii="仿宋_GB2312" w:hAnsi="Times New Roman" w:eastAsia="仿宋_GB2312" w:cs="Times New Roman"/>
          <w:bCs/>
          <w:sz w:val="32"/>
          <w:szCs w:val="32"/>
          <w:lang w:val="en-US" w:eastAsia="zh-CN"/>
        </w:rPr>
        <w:t>2</w:t>
      </w:r>
      <w:r>
        <w:rPr>
          <w:rFonts w:hint="eastAsia" w:ascii="仿宋_GB2312" w:hAnsi="Times New Roman" w:eastAsia="仿宋_GB2312" w:cs="Times New Roman"/>
          <w:bCs/>
          <w:sz w:val="32"/>
          <w:szCs w:val="32"/>
        </w:rPr>
        <w:t>人，</w:t>
      </w:r>
      <w:r>
        <w:rPr>
          <w:rFonts w:hint="eastAsia" w:ascii="仿宋_GB2312" w:hAnsi="Times New Roman" w:eastAsia="仿宋_GB2312" w:cs="Times New Roman"/>
          <w:bCs/>
          <w:sz w:val="32"/>
          <w:szCs w:val="32"/>
          <w:lang w:eastAsia="zh-CN"/>
        </w:rPr>
        <w:t>全额拨款</w:t>
      </w:r>
      <w:r>
        <w:rPr>
          <w:rFonts w:hint="eastAsia" w:ascii="仿宋_GB2312" w:hAnsi="Times New Roman" w:eastAsia="仿宋_GB2312" w:cs="Times New Roman"/>
          <w:bCs/>
          <w:sz w:val="32"/>
          <w:szCs w:val="32"/>
        </w:rPr>
        <w:t>事业在职</w:t>
      </w:r>
      <w:r>
        <w:rPr>
          <w:rFonts w:hint="eastAsia" w:ascii="仿宋_GB2312" w:hAnsi="Times New Roman" w:eastAsia="仿宋_GB2312" w:cs="Times New Roman"/>
          <w:bCs/>
          <w:sz w:val="32"/>
          <w:szCs w:val="32"/>
          <w:lang w:val="en-US" w:eastAsia="zh-CN"/>
        </w:rPr>
        <w:t>10</w:t>
      </w:r>
      <w:r>
        <w:rPr>
          <w:rFonts w:hint="eastAsia" w:ascii="仿宋_GB2312" w:hAnsi="Times New Roman" w:eastAsia="仿宋_GB2312" w:cs="Times New Roman"/>
          <w:bCs/>
          <w:sz w:val="32"/>
          <w:szCs w:val="32"/>
        </w:rPr>
        <w:t>人，工勤在职人数</w:t>
      </w:r>
      <w:r>
        <w:rPr>
          <w:rFonts w:hint="eastAsia" w:ascii="仿宋_GB2312" w:hAnsi="Times New Roman" w:eastAsia="仿宋_GB2312" w:cs="Times New Roman"/>
          <w:bCs/>
          <w:sz w:val="32"/>
          <w:szCs w:val="32"/>
          <w:lang w:val="en-US" w:eastAsia="zh-CN"/>
        </w:rPr>
        <w:t>9</w:t>
      </w:r>
      <w:r>
        <w:rPr>
          <w:rFonts w:hint="eastAsia" w:ascii="仿宋_GB2312" w:hAnsi="Times New Roman" w:eastAsia="仿宋_GB2312" w:cs="Times New Roman"/>
          <w:bCs/>
          <w:sz w:val="32"/>
          <w:szCs w:val="32"/>
        </w:rPr>
        <w:t>人。离退休人员</w:t>
      </w:r>
      <w:r>
        <w:rPr>
          <w:rFonts w:hint="eastAsia" w:ascii="仿宋_GB2312" w:hAnsi="Times New Roman" w:eastAsia="仿宋_GB2312" w:cs="Times New Roman"/>
          <w:bCs/>
          <w:sz w:val="32"/>
          <w:szCs w:val="32"/>
          <w:lang w:val="en-US" w:eastAsia="zh-CN"/>
        </w:rPr>
        <w:t>11</w:t>
      </w:r>
      <w:r>
        <w:rPr>
          <w:rFonts w:hint="eastAsia" w:ascii="仿宋_GB2312" w:hAnsi="Times New Roman" w:eastAsia="仿宋_GB2312" w:cs="Times New Roman"/>
          <w:bCs/>
          <w:sz w:val="32"/>
          <w:szCs w:val="32"/>
        </w:rPr>
        <w:t>人，其中：离休人员</w:t>
      </w:r>
      <w:r>
        <w:rPr>
          <w:rFonts w:hint="eastAsia" w:ascii="仿宋_GB2312" w:hAnsi="Times New Roman" w:eastAsia="仿宋_GB2312" w:cs="Times New Roman"/>
          <w:bCs/>
          <w:sz w:val="32"/>
          <w:szCs w:val="32"/>
          <w:lang w:val="en-US" w:eastAsia="zh-CN"/>
        </w:rPr>
        <w:t>0</w:t>
      </w:r>
      <w:r>
        <w:rPr>
          <w:rFonts w:hint="eastAsia" w:ascii="仿宋_GB2312" w:hAnsi="Times New Roman" w:eastAsia="仿宋_GB2312" w:cs="Times New Roman"/>
          <w:bCs/>
          <w:sz w:val="32"/>
          <w:szCs w:val="32"/>
        </w:rPr>
        <w:t>人，退休人员</w:t>
      </w:r>
      <w:r>
        <w:rPr>
          <w:rFonts w:hint="eastAsia" w:ascii="仿宋_GB2312" w:hAnsi="Times New Roman" w:eastAsia="仿宋_GB2312" w:cs="Times New Roman"/>
          <w:bCs/>
          <w:sz w:val="32"/>
          <w:szCs w:val="32"/>
          <w:lang w:val="en-US" w:eastAsia="zh-CN"/>
        </w:rPr>
        <w:t>11</w:t>
      </w:r>
      <w:r>
        <w:rPr>
          <w:rFonts w:hint="eastAsia" w:ascii="仿宋_GB2312" w:hAnsi="Times New Roman" w:eastAsia="仿宋_GB2312" w:cs="Times New Roman"/>
          <w:bCs/>
          <w:sz w:val="32"/>
          <w:szCs w:val="32"/>
        </w:rPr>
        <w:t>人。</w:t>
      </w:r>
    </w:p>
    <w:p>
      <w:pPr>
        <w:spacing w:line="480" w:lineRule="exact"/>
        <w:ind w:firstLine="640" w:firstLineChars="200"/>
        <w:rPr>
          <w:rFonts w:ascii="仿宋_GB2312" w:eastAsia="仿宋_GB2312"/>
          <w:kern w:val="0"/>
          <w:sz w:val="30"/>
          <w:szCs w:val="30"/>
        </w:rPr>
      </w:pPr>
      <w:r>
        <w:rPr>
          <w:rFonts w:hint="eastAsia" w:ascii="仿宋_GB2312" w:hAnsi="Times New Roman" w:eastAsia="仿宋_GB2312" w:cs="Times New Roman"/>
          <w:bCs/>
          <w:kern w:val="0"/>
          <w:sz w:val="32"/>
          <w:szCs w:val="32"/>
          <w:lang w:val="en-US" w:eastAsia="zh-CN" w:bidi="ar-SA"/>
        </w:rPr>
        <w:t>乡机关实有在职人数74人，其中党委实有人数12人，政府实有在职人数43人（其中工人4人），劳动保障所实有在职人员3人，土管所实有在职工人1人，司法所实有在职人员1人，广播站实有在职工人1人，文化站实有在职人员1人，财政所实有在职人员3人（其中工人1人），农经农技管理站实有在职人员2人（其中工人1人），林业管理站实有在职人员2人（其中工人1人），畜牧兽医站实有在职人员5人（其中工人2人）。行政退休人员11人，遗属供养人员17人。</w:t>
      </w:r>
    </w:p>
    <w:p>
      <w:pPr>
        <w:pStyle w:val="5"/>
        <w:shd w:val="clear" w:color="auto" w:fill="FFFFFF"/>
        <w:spacing w:before="0" w:beforeAutospacing="0" w:after="0" w:line="560" w:lineRule="exact"/>
        <w:ind w:firstLine="643" w:firstLineChars="200"/>
        <w:rPr>
          <w:rFonts w:ascii="楷体_GB2312" w:hAnsi="Arial" w:eastAsia="楷体_GB2312" w:cs="Arial"/>
          <w:b/>
          <w:sz w:val="32"/>
          <w:szCs w:val="32"/>
        </w:rPr>
      </w:pPr>
      <w:r>
        <w:rPr>
          <w:rFonts w:hint="eastAsia" w:ascii="楷体_GB2312" w:hAnsi="Arial" w:eastAsia="楷体_GB2312" w:cs="Arial"/>
          <w:b/>
          <w:sz w:val="32"/>
          <w:szCs w:val="32"/>
        </w:rPr>
        <w:t>（四）资产情况</w:t>
      </w:r>
    </w:p>
    <w:p>
      <w:pPr>
        <w:pStyle w:val="5"/>
        <w:shd w:val="clear" w:color="auto" w:fill="FFFFFF"/>
        <w:spacing w:before="0" w:beforeAutospacing="0" w:after="0" w:line="560" w:lineRule="exact"/>
        <w:ind w:firstLine="640" w:firstLineChars="200"/>
        <w:rPr>
          <w:rFonts w:hint="eastAsia" w:ascii="仿宋_GB2312" w:hAnsi="Arial" w:eastAsia="仿宋_GB2312" w:cs="Arial"/>
          <w:color w:val="000000" w:themeColor="text1"/>
          <w:sz w:val="32"/>
          <w:szCs w:val="32"/>
          <w:lang w:val="en-US" w:eastAsia="zh-CN"/>
        </w:rPr>
      </w:pPr>
      <w:r>
        <w:rPr>
          <w:rFonts w:hint="eastAsia" w:ascii="仿宋_GB2312" w:hAnsi="Arial" w:eastAsia="仿宋_GB2312" w:cs="Arial"/>
          <w:sz w:val="32"/>
          <w:szCs w:val="32"/>
        </w:rPr>
        <w:t>2016年单位占有使用国有资产440.04万元，其中：流动资产9.24万元，固定资产430.80万元，长期投资0万元，在建工程0万元，无形资产0万元，其他资产0万元。拥有房屋</w:t>
      </w:r>
      <w:r>
        <w:rPr>
          <w:rFonts w:hint="eastAsia" w:ascii="仿宋_GB2312" w:hAnsi="Arial" w:eastAsia="仿宋_GB2312" w:cs="Arial"/>
          <w:sz w:val="32"/>
          <w:szCs w:val="32"/>
          <w:lang w:val="en-US" w:eastAsia="zh-CN"/>
        </w:rPr>
        <w:t>5937.90</w:t>
      </w:r>
      <w:r>
        <w:rPr>
          <w:rFonts w:hint="eastAsia" w:ascii="仿宋_GB2312" w:hAnsi="Arial" w:eastAsia="仿宋_GB2312" w:cs="Arial"/>
          <w:sz w:val="32"/>
          <w:szCs w:val="32"/>
        </w:rPr>
        <w:t>平方米。汽车4辆。单价在20万元以上的设备</w:t>
      </w:r>
      <w:r>
        <w:rPr>
          <w:rFonts w:hint="eastAsia" w:ascii="仿宋_GB2312" w:hAnsi="Arial" w:eastAsia="仿宋_GB2312" w:cs="Arial"/>
          <w:sz w:val="32"/>
          <w:szCs w:val="32"/>
          <w:lang w:val="en-US" w:eastAsia="zh-CN"/>
        </w:rPr>
        <w:t>1</w:t>
      </w:r>
      <w:r>
        <w:rPr>
          <w:rFonts w:hint="eastAsia" w:ascii="仿宋_GB2312" w:hAnsi="Arial" w:eastAsia="仿宋_GB2312" w:cs="Arial"/>
          <w:sz w:val="32"/>
          <w:szCs w:val="32"/>
        </w:rPr>
        <w:t>台</w:t>
      </w:r>
      <w:r>
        <w:rPr>
          <w:rFonts w:hint="eastAsia" w:ascii="仿宋_GB2312" w:hAnsi="Arial" w:eastAsia="仿宋_GB2312" w:cs="Arial"/>
          <w:color w:val="000000" w:themeColor="text1"/>
          <w:sz w:val="32"/>
          <w:szCs w:val="32"/>
        </w:rPr>
        <w:t>。与</w:t>
      </w:r>
      <w:r>
        <w:rPr>
          <w:rFonts w:hint="eastAsia" w:ascii="仿宋_GB2312" w:hAnsi="Arial" w:eastAsia="仿宋_GB2312" w:cs="Arial"/>
          <w:color w:val="000000" w:themeColor="text1"/>
          <w:sz w:val="32"/>
          <w:szCs w:val="32"/>
          <w:lang w:eastAsia="zh-CN"/>
        </w:rPr>
        <w:t>上年</w:t>
      </w:r>
      <w:r>
        <w:rPr>
          <w:rFonts w:hint="eastAsia" w:ascii="仿宋_GB2312" w:hAnsi="Arial" w:eastAsia="仿宋_GB2312" w:cs="Arial"/>
          <w:color w:val="000000" w:themeColor="text1"/>
          <w:sz w:val="32"/>
          <w:szCs w:val="32"/>
        </w:rPr>
        <w:t>相比</w:t>
      </w:r>
      <w:r>
        <w:rPr>
          <w:rFonts w:hint="eastAsia" w:ascii="仿宋_GB2312" w:hAnsi="Arial" w:eastAsia="仿宋_GB2312" w:cs="Arial"/>
          <w:color w:val="000000" w:themeColor="text1"/>
          <w:sz w:val="32"/>
          <w:szCs w:val="32"/>
          <w:lang w:eastAsia="zh-CN"/>
        </w:rPr>
        <w:t>增加</w:t>
      </w:r>
      <w:r>
        <w:rPr>
          <w:rFonts w:hint="eastAsia" w:ascii="仿宋_GB2312" w:hAnsi="Arial" w:eastAsia="仿宋_GB2312" w:cs="Arial"/>
          <w:color w:val="000000" w:themeColor="text1"/>
          <w:sz w:val="32"/>
          <w:szCs w:val="32"/>
          <w:lang w:val="en-US" w:eastAsia="zh-CN"/>
        </w:rPr>
        <w:t>201.70万元，主要原因是固定资产增加。</w:t>
      </w:r>
    </w:p>
    <w:p>
      <w:pPr>
        <w:pStyle w:val="5"/>
        <w:shd w:val="clear" w:color="auto" w:fill="FFFFFF"/>
        <w:spacing w:before="0" w:beforeAutospacing="0" w:after="0" w:line="560" w:lineRule="exact"/>
        <w:ind w:firstLine="643" w:firstLineChars="200"/>
        <w:rPr>
          <w:rFonts w:ascii="黑体" w:hAnsi="Arial" w:eastAsia="黑体" w:cs="Arial"/>
          <w:b/>
          <w:sz w:val="32"/>
          <w:szCs w:val="32"/>
        </w:rPr>
      </w:pPr>
      <w:r>
        <w:rPr>
          <w:rFonts w:hint="eastAsia" w:ascii="黑体" w:hAnsi="Arial" w:eastAsia="黑体" w:cs="Arial"/>
          <w:b/>
          <w:sz w:val="32"/>
          <w:szCs w:val="32"/>
        </w:rPr>
        <w:t>二、2016年部门预算公开</w:t>
      </w:r>
    </w:p>
    <w:p>
      <w:pPr>
        <w:pStyle w:val="5"/>
        <w:shd w:val="clear" w:color="auto" w:fill="FFFFFF"/>
        <w:spacing w:before="0" w:beforeAutospacing="0" w:after="0" w:line="560" w:lineRule="exact"/>
        <w:ind w:firstLine="643" w:firstLineChars="200"/>
        <w:rPr>
          <w:rFonts w:ascii="楷体_GB2312" w:hAnsi="Arial" w:eastAsia="楷体_GB2312" w:cs="Arial"/>
          <w:b/>
          <w:sz w:val="32"/>
          <w:szCs w:val="32"/>
        </w:rPr>
      </w:pPr>
      <w:r>
        <w:rPr>
          <w:rFonts w:hint="eastAsia" w:ascii="楷体_GB2312" w:hAnsi="Arial" w:eastAsia="楷体_GB2312" w:cs="Arial"/>
          <w:b/>
          <w:sz w:val="32"/>
          <w:szCs w:val="32"/>
        </w:rPr>
        <w:t>（一）收支总体情况</w:t>
      </w:r>
    </w:p>
    <w:p>
      <w:pPr>
        <w:pStyle w:val="5"/>
        <w:shd w:val="clear" w:color="auto" w:fill="FFFFFF"/>
        <w:spacing w:before="0" w:beforeAutospacing="0" w:after="0"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收入预算</w:t>
      </w:r>
      <w:r>
        <w:rPr>
          <w:rFonts w:hint="eastAsia" w:ascii="仿宋_GB2312" w:hAnsi="Arial" w:eastAsia="仿宋_GB2312" w:cs="Arial"/>
          <w:sz w:val="32"/>
          <w:szCs w:val="32"/>
          <w:lang w:val="en-US" w:eastAsia="zh-CN"/>
        </w:rPr>
        <w:t>1233.29</w:t>
      </w:r>
      <w:r>
        <w:rPr>
          <w:rFonts w:hint="eastAsia" w:ascii="仿宋_GB2312" w:hAnsi="Arial" w:eastAsia="仿宋_GB2312" w:cs="Arial"/>
          <w:sz w:val="32"/>
          <w:szCs w:val="32"/>
        </w:rPr>
        <w:t>万元，其中： 一般公共预算收入</w:t>
      </w:r>
      <w:r>
        <w:rPr>
          <w:rFonts w:hint="eastAsia" w:ascii="仿宋_GB2312" w:hAnsi="Arial" w:eastAsia="仿宋_GB2312" w:cs="Arial"/>
          <w:sz w:val="32"/>
          <w:szCs w:val="32"/>
          <w:lang w:val="en-US" w:eastAsia="zh-CN"/>
        </w:rPr>
        <w:t>1233.29</w:t>
      </w:r>
      <w:r>
        <w:rPr>
          <w:rFonts w:hint="eastAsia" w:ascii="仿宋_GB2312" w:hAnsi="Arial" w:eastAsia="仿宋_GB2312" w:cs="Arial"/>
          <w:sz w:val="32"/>
          <w:szCs w:val="32"/>
        </w:rPr>
        <w:t>万元，政府性基金预算收入0万元，纳入专户管理的非税收入0万元，其他收入0万元，事业单位经营收入0万元。2016年支出预算总额为</w:t>
      </w:r>
      <w:r>
        <w:rPr>
          <w:rFonts w:hint="eastAsia" w:ascii="仿宋_GB2312" w:hAnsi="Arial" w:eastAsia="仿宋_GB2312" w:cs="Arial"/>
          <w:sz w:val="32"/>
          <w:szCs w:val="32"/>
          <w:lang w:val="en-US" w:eastAsia="zh-CN"/>
        </w:rPr>
        <w:t>1233.29</w:t>
      </w:r>
      <w:r>
        <w:rPr>
          <w:rFonts w:hint="eastAsia" w:ascii="仿宋_GB2312" w:hAnsi="Arial" w:eastAsia="仿宋_GB2312" w:cs="Arial"/>
          <w:sz w:val="32"/>
          <w:szCs w:val="32"/>
        </w:rPr>
        <w:t>万元。</w:t>
      </w:r>
    </w:p>
    <w:p>
      <w:pPr>
        <w:pStyle w:val="5"/>
        <w:shd w:val="clear" w:color="auto" w:fill="FFFFFF"/>
        <w:spacing w:before="0" w:beforeAutospacing="0" w:after="0" w:line="560" w:lineRule="exact"/>
        <w:ind w:firstLine="643" w:firstLineChars="200"/>
        <w:rPr>
          <w:rFonts w:ascii="楷体_GB2312" w:hAnsi="Arial" w:eastAsia="楷体_GB2312" w:cs="Arial"/>
          <w:b/>
          <w:sz w:val="32"/>
          <w:szCs w:val="32"/>
        </w:rPr>
      </w:pPr>
      <w:r>
        <w:rPr>
          <w:rFonts w:hint="eastAsia" w:ascii="楷体_GB2312" w:hAnsi="Arial" w:eastAsia="楷体_GB2312" w:cs="Arial"/>
          <w:b/>
          <w:sz w:val="32"/>
          <w:szCs w:val="32"/>
        </w:rPr>
        <w:t>（二）预算支出主要内容</w:t>
      </w:r>
    </w:p>
    <w:p>
      <w:pPr>
        <w:pStyle w:val="5"/>
        <w:shd w:val="clear" w:color="auto" w:fill="FFFFFF"/>
        <w:spacing w:before="0" w:beforeAutospacing="0" w:after="0"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支出分为基本支出和项目支出，其中：基本支出预算安排</w:t>
      </w:r>
      <w:r>
        <w:rPr>
          <w:rFonts w:hint="eastAsia" w:ascii="仿宋_GB2312" w:hAnsi="Arial" w:eastAsia="仿宋_GB2312" w:cs="Arial"/>
          <w:sz w:val="32"/>
          <w:szCs w:val="32"/>
          <w:lang w:val="en-US" w:eastAsia="zh-CN"/>
        </w:rPr>
        <w:t>1228.29</w:t>
      </w:r>
      <w:r>
        <w:rPr>
          <w:rFonts w:hint="eastAsia" w:ascii="仿宋_GB2312" w:hAnsi="Arial" w:eastAsia="仿宋_GB2312" w:cs="Arial"/>
          <w:sz w:val="32"/>
          <w:szCs w:val="32"/>
        </w:rPr>
        <w:t>万元，包括：工资福利支出</w:t>
      </w:r>
      <w:r>
        <w:rPr>
          <w:rFonts w:hint="eastAsia" w:ascii="仿宋_GB2312" w:hAnsi="Arial" w:eastAsia="仿宋_GB2312" w:cs="Arial"/>
          <w:sz w:val="32"/>
          <w:szCs w:val="32"/>
          <w:lang w:val="en-US" w:eastAsia="zh-CN"/>
        </w:rPr>
        <w:t>1042.34</w:t>
      </w:r>
      <w:r>
        <w:rPr>
          <w:rFonts w:hint="eastAsia" w:ascii="仿宋_GB2312" w:hAnsi="Arial" w:eastAsia="仿宋_GB2312" w:cs="Arial"/>
          <w:sz w:val="32"/>
          <w:szCs w:val="32"/>
        </w:rPr>
        <w:t>万元，商品和服务支出31.90万元，对个人和家庭的补助支出154.05万元。基本支出比上年预算增加362.63万元，增加的主要原因是七站八所人员划转至乡镇，人员支出增加。</w:t>
      </w:r>
    </w:p>
    <w:p>
      <w:pPr>
        <w:pStyle w:val="5"/>
        <w:shd w:val="clear" w:color="auto" w:fill="FFFFFF"/>
        <w:spacing w:before="0" w:beforeAutospacing="0" w:after="0"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 xml:space="preserve">项目支出预算安排5.00万元，比上年预算减少115.20万元，减少的主要原因是县级专项减少。        </w:t>
      </w:r>
    </w:p>
    <w:p>
      <w:pPr>
        <w:pStyle w:val="5"/>
        <w:shd w:val="clear" w:color="auto" w:fill="FFFFFF"/>
        <w:spacing w:before="0" w:beforeAutospacing="0" w:after="0"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按资金来源分类，预算支出合计</w:t>
      </w:r>
      <w:r>
        <w:rPr>
          <w:rFonts w:hint="eastAsia" w:ascii="仿宋_GB2312" w:hAnsi="Arial" w:eastAsia="仿宋_GB2312" w:cs="Arial"/>
          <w:sz w:val="32"/>
          <w:szCs w:val="32"/>
          <w:lang w:val="en-US" w:eastAsia="zh-CN"/>
        </w:rPr>
        <w:t>1233.29</w:t>
      </w:r>
      <w:r>
        <w:rPr>
          <w:rFonts w:hint="eastAsia" w:ascii="仿宋_GB2312" w:hAnsi="Arial" w:eastAsia="仿宋_GB2312" w:cs="Arial"/>
          <w:sz w:val="32"/>
          <w:szCs w:val="32"/>
        </w:rPr>
        <w:t>万元，其中：一般公共预算支出</w:t>
      </w:r>
      <w:r>
        <w:rPr>
          <w:rFonts w:hint="eastAsia" w:ascii="仿宋_GB2312" w:hAnsi="Arial" w:eastAsia="仿宋_GB2312" w:cs="Arial"/>
          <w:sz w:val="32"/>
          <w:szCs w:val="32"/>
          <w:lang w:val="en-US" w:eastAsia="zh-CN"/>
        </w:rPr>
        <w:t>1233.29</w:t>
      </w:r>
      <w:r>
        <w:rPr>
          <w:rFonts w:hint="eastAsia" w:ascii="仿宋_GB2312" w:hAnsi="Arial" w:eastAsia="仿宋_GB2312" w:cs="Arial"/>
          <w:sz w:val="32"/>
          <w:szCs w:val="32"/>
        </w:rPr>
        <w:t>万元，政府性基金预算支出0万元，纳入专户管理的非税收入支出0万元，其他收入支出0万元，事业单位经营收入支出0万元。</w:t>
      </w:r>
    </w:p>
    <w:p>
      <w:pPr>
        <w:pStyle w:val="5"/>
        <w:shd w:val="clear" w:color="auto" w:fill="FFFFFF"/>
        <w:spacing w:before="0" w:beforeAutospacing="0" w:after="0" w:line="560" w:lineRule="exact"/>
        <w:ind w:firstLine="643" w:firstLineChars="200"/>
        <w:rPr>
          <w:rFonts w:ascii="楷体_GB2312" w:hAnsi="Arial" w:eastAsia="楷体_GB2312" w:cs="Arial"/>
          <w:b/>
          <w:sz w:val="32"/>
          <w:szCs w:val="32"/>
        </w:rPr>
      </w:pPr>
      <w:r>
        <w:rPr>
          <w:rFonts w:hint="eastAsia" w:ascii="楷体_GB2312" w:hAnsi="Arial" w:eastAsia="楷体_GB2312" w:cs="Arial"/>
          <w:b/>
          <w:sz w:val="32"/>
          <w:szCs w:val="32"/>
        </w:rPr>
        <w:t>（三）机关运行经费情况</w:t>
      </w:r>
    </w:p>
    <w:p>
      <w:pPr>
        <w:pStyle w:val="5"/>
        <w:shd w:val="clear" w:color="auto" w:fill="FFFFFF"/>
        <w:spacing w:before="0" w:beforeAutospacing="0" w:after="0" w:line="560" w:lineRule="exact"/>
        <w:ind w:firstLine="640" w:firstLineChars="200"/>
        <w:rPr>
          <w:rFonts w:ascii="仿宋_GB2312" w:hAnsi="Arial" w:eastAsia="仿宋_GB2312" w:cs="Arial"/>
          <w:color w:val="000000" w:themeColor="text1"/>
          <w:sz w:val="32"/>
          <w:szCs w:val="32"/>
        </w:rPr>
      </w:pPr>
      <w:r>
        <w:rPr>
          <w:rFonts w:hint="eastAsia" w:ascii="仿宋_GB2312" w:hAnsi="Arial" w:eastAsia="仿宋_GB2312" w:cs="Arial"/>
          <w:sz w:val="32"/>
          <w:szCs w:val="32"/>
        </w:rPr>
        <w:t>机关运行经费预算支出31.90万元，其中：一般公共预算支出31.90万元，政府性基金预算支出0万元，纳入专户管理的非税收入支出0万元，其他收入支出0万元，事业单位经营收入支出0万元。</w:t>
      </w:r>
      <w:r>
        <w:rPr>
          <w:rFonts w:hint="eastAsia" w:ascii="仿宋_GB2312" w:hAnsi="Arial" w:eastAsia="仿宋_GB2312" w:cs="Arial"/>
          <w:color w:val="000000" w:themeColor="text1"/>
          <w:sz w:val="32"/>
          <w:szCs w:val="32"/>
        </w:rPr>
        <w:t>与</w:t>
      </w:r>
      <w:r>
        <w:rPr>
          <w:rFonts w:hint="eastAsia" w:ascii="仿宋_GB2312" w:hAnsi="Arial" w:eastAsia="仿宋_GB2312" w:cs="Arial"/>
          <w:color w:val="000000" w:themeColor="text1"/>
          <w:sz w:val="32"/>
          <w:szCs w:val="32"/>
          <w:lang w:eastAsia="zh-CN"/>
        </w:rPr>
        <w:t>上年</w:t>
      </w:r>
      <w:r>
        <w:rPr>
          <w:rFonts w:hint="eastAsia" w:ascii="仿宋_GB2312" w:hAnsi="Arial" w:eastAsia="仿宋_GB2312" w:cs="Arial"/>
          <w:color w:val="000000" w:themeColor="text1"/>
          <w:sz w:val="32"/>
          <w:szCs w:val="32"/>
        </w:rPr>
        <w:t>相比增加 ,增加的主要原因是七站八所人员划转至乡镇，人头经费随之增加 。</w:t>
      </w:r>
    </w:p>
    <w:p>
      <w:pPr>
        <w:pStyle w:val="5"/>
        <w:shd w:val="clear" w:color="auto" w:fill="FFFFFF"/>
        <w:spacing w:before="0" w:beforeAutospacing="0" w:after="0" w:line="560" w:lineRule="exact"/>
        <w:ind w:firstLine="643" w:firstLineChars="200"/>
        <w:rPr>
          <w:rFonts w:ascii="黑体" w:hAnsi="Arial" w:eastAsia="黑体" w:cs="Arial"/>
          <w:b/>
          <w:sz w:val="32"/>
          <w:szCs w:val="32"/>
        </w:rPr>
      </w:pPr>
      <w:r>
        <w:rPr>
          <w:rFonts w:hint="eastAsia" w:ascii="黑体" w:hAnsi="Arial" w:eastAsia="黑体" w:cs="Arial"/>
          <w:b/>
          <w:sz w:val="32"/>
          <w:szCs w:val="32"/>
        </w:rPr>
        <w:t>三、2016年财政拨款安排的“三公”经费支出预算</w:t>
      </w:r>
    </w:p>
    <w:p>
      <w:pPr>
        <w:pStyle w:val="5"/>
        <w:shd w:val="clear" w:color="auto" w:fill="FFFFFF"/>
        <w:spacing w:before="0" w:beforeAutospacing="0" w:after="0"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2016年财政拨款安排的“三公”</w:t>
      </w:r>
      <w:bookmarkStart w:id="0" w:name="_GoBack"/>
      <w:bookmarkEnd w:id="0"/>
      <w:r>
        <w:rPr>
          <w:rFonts w:hint="eastAsia" w:ascii="仿宋_GB2312" w:hAnsi="Arial" w:eastAsia="仿宋_GB2312" w:cs="Arial"/>
          <w:sz w:val="32"/>
          <w:szCs w:val="32"/>
        </w:rPr>
        <w:t>经费预算安排总额为6.00万元，与上年相比无变化。</w:t>
      </w:r>
    </w:p>
    <w:p>
      <w:pPr>
        <w:pStyle w:val="5"/>
        <w:shd w:val="clear" w:color="auto" w:fill="FFFFFF"/>
        <w:spacing w:before="0" w:beforeAutospacing="0" w:after="0" w:line="560" w:lineRule="exact"/>
        <w:ind w:firstLine="643" w:firstLineChars="200"/>
        <w:rPr>
          <w:rFonts w:ascii="楷体_GB2312" w:hAnsi="Arial" w:eastAsia="楷体_GB2312" w:cs="Arial"/>
          <w:b/>
          <w:sz w:val="32"/>
          <w:szCs w:val="32"/>
        </w:rPr>
      </w:pPr>
      <w:r>
        <w:rPr>
          <w:rFonts w:hint="eastAsia" w:ascii="楷体_GB2312" w:hAnsi="Arial" w:eastAsia="楷体_GB2312" w:cs="Arial"/>
          <w:b/>
          <w:sz w:val="32"/>
          <w:szCs w:val="32"/>
        </w:rPr>
        <w:t>（一）因公出国经费预算</w:t>
      </w:r>
    </w:p>
    <w:p>
      <w:pPr>
        <w:pStyle w:val="5"/>
        <w:shd w:val="clear" w:color="auto" w:fill="FFFFFF"/>
        <w:spacing w:before="0" w:beforeAutospacing="0" w:after="0"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因公出国经费预算项目支出安排0万元，与上年相比无变化。</w:t>
      </w:r>
      <w:r>
        <w:rPr>
          <w:rFonts w:hint="eastAsia" w:ascii="仿宋_GB2312" w:hAnsi="Arial" w:eastAsia="仿宋_GB2312" w:cs="Arial"/>
          <w:sz w:val="32"/>
          <w:szCs w:val="32"/>
          <w:lang w:eastAsia="zh-CN"/>
        </w:rPr>
        <w:t>上年</w:t>
      </w:r>
      <w:r>
        <w:rPr>
          <w:rFonts w:hint="eastAsia" w:ascii="仿宋_GB2312" w:hAnsi="Arial" w:eastAsia="仿宋_GB2312" w:cs="Arial"/>
          <w:sz w:val="32"/>
          <w:szCs w:val="32"/>
        </w:rPr>
        <w:t>因公出国团组0组，人数0人。</w:t>
      </w:r>
    </w:p>
    <w:p>
      <w:pPr>
        <w:pStyle w:val="5"/>
        <w:shd w:val="clear" w:color="auto" w:fill="FFFFFF"/>
        <w:spacing w:before="0" w:beforeAutospacing="0" w:after="0" w:line="560" w:lineRule="exact"/>
        <w:ind w:firstLine="643" w:firstLineChars="200"/>
        <w:rPr>
          <w:rFonts w:ascii="楷体_GB2312" w:hAnsi="Arial" w:eastAsia="楷体_GB2312" w:cs="Arial"/>
          <w:b/>
          <w:sz w:val="32"/>
          <w:szCs w:val="32"/>
        </w:rPr>
      </w:pPr>
      <w:r>
        <w:rPr>
          <w:rFonts w:hint="eastAsia" w:ascii="楷体_GB2312" w:hAnsi="Arial" w:eastAsia="楷体_GB2312" w:cs="Arial"/>
          <w:b/>
          <w:sz w:val="32"/>
          <w:szCs w:val="32"/>
        </w:rPr>
        <w:t>（二）公务接待费用预算</w:t>
      </w:r>
    </w:p>
    <w:p>
      <w:pPr>
        <w:pStyle w:val="5"/>
        <w:shd w:val="clear" w:color="auto" w:fill="FFFFFF"/>
        <w:spacing w:before="0" w:beforeAutospacing="0" w:after="0"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乡镇公务接待费用预算安排0万元，与上年相比无变化</w:t>
      </w:r>
      <w:r>
        <w:rPr>
          <w:rFonts w:hint="eastAsia" w:ascii="仿宋_GB2312" w:hAnsi="Arial" w:eastAsia="仿宋_GB2312" w:cs="Arial"/>
          <w:sz w:val="32"/>
          <w:szCs w:val="32"/>
          <w:lang w:eastAsia="zh-CN"/>
        </w:rPr>
        <w:t>，</w:t>
      </w:r>
      <w:r>
        <w:rPr>
          <w:rFonts w:hint="eastAsia" w:ascii="仿宋_GB2312" w:hAnsi="Arial" w:eastAsia="仿宋_GB2312" w:cs="Arial"/>
          <w:sz w:val="32"/>
          <w:szCs w:val="32"/>
        </w:rPr>
        <w:t>主要原因是</w:t>
      </w:r>
      <w:r>
        <w:rPr>
          <w:rFonts w:hint="eastAsia" w:ascii="仿宋_GB2312" w:hAnsi="仿宋" w:eastAsia="仿宋_GB2312"/>
          <w:sz w:val="30"/>
          <w:szCs w:val="30"/>
        </w:rPr>
        <w:t>我单位严格执行自治区、地区十项规定。2016年国内公务接待的批次为0批次、人数为0人。</w:t>
      </w:r>
    </w:p>
    <w:p>
      <w:pPr>
        <w:pStyle w:val="5"/>
        <w:shd w:val="clear" w:color="auto" w:fill="FFFFFF"/>
        <w:spacing w:before="0" w:beforeAutospacing="0" w:after="0" w:line="560" w:lineRule="exact"/>
        <w:ind w:firstLine="643" w:firstLineChars="200"/>
        <w:rPr>
          <w:rFonts w:ascii="楷体_GB2312" w:hAnsi="Arial" w:eastAsia="楷体_GB2312" w:cs="Arial"/>
          <w:b/>
          <w:sz w:val="32"/>
          <w:szCs w:val="32"/>
        </w:rPr>
      </w:pPr>
      <w:r>
        <w:rPr>
          <w:rFonts w:hint="eastAsia" w:ascii="楷体_GB2312" w:hAnsi="Arial" w:eastAsia="楷体_GB2312" w:cs="Arial"/>
          <w:b/>
          <w:sz w:val="32"/>
          <w:szCs w:val="32"/>
        </w:rPr>
        <w:t>（三）公务用车购置及运行维护费预算</w:t>
      </w:r>
    </w:p>
    <w:p>
      <w:pPr>
        <w:pStyle w:val="5"/>
        <w:shd w:val="clear" w:color="auto" w:fill="FFFFFF"/>
        <w:spacing w:before="0" w:beforeAutospacing="0" w:after="0"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公务用车购置及运行维护费预算安排</w:t>
      </w:r>
      <w:r>
        <w:rPr>
          <w:rFonts w:hint="eastAsia" w:ascii="仿宋_GB2312" w:hAnsi="Arial" w:eastAsia="仿宋_GB2312" w:cs="Arial"/>
          <w:sz w:val="32"/>
          <w:szCs w:val="32"/>
          <w:lang w:val="en-US" w:eastAsia="zh-CN"/>
        </w:rPr>
        <w:t>6.0</w:t>
      </w:r>
      <w:r>
        <w:rPr>
          <w:rFonts w:hint="eastAsia" w:ascii="仿宋_GB2312" w:hAnsi="Arial" w:eastAsia="仿宋_GB2312" w:cs="Arial"/>
          <w:sz w:val="32"/>
          <w:szCs w:val="32"/>
        </w:rPr>
        <w:t>0万元，主要用于2016年车辆的燃油费、维修费、车辆保险等方面的支出，与上年相比</w:t>
      </w:r>
      <w:r>
        <w:rPr>
          <w:rFonts w:hint="eastAsia" w:ascii="仿宋_GB2312" w:hAnsi="Arial" w:eastAsia="仿宋_GB2312" w:cs="Arial"/>
          <w:sz w:val="32"/>
          <w:szCs w:val="32"/>
          <w:lang w:eastAsia="zh-CN"/>
        </w:rPr>
        <w:t>无增减变动</w:t>
      </w:r>
      <w:r>
        <w:rPr>
          <w:rFonts w:hint="eastAsia" w:ascii="仿宋_GB2312" w:hAnsi="Arial" w:eastAsia="仿宋_GB2312" w:cs="Arial"/>
          <w:sz w:val="32"/>
          <w:szCs w:val="32"/>
        </w:rPr>
        <w:t>。主要原因是</w:t>
      </w:r>
      <w:r>
        <w:rPr>
          <w:rFonts w:hint="eastAsia" w:ascii="仿宋_GB2312" w:hAnsi="仿宋" w:eastAsia="仿宋_GB2312"/>
          <w:sz w:val="30"/>
          <w:szCs w:val="30"/>
        </w:rPr>
        <w:t>我单位严格执行自治区、地区十项规定。</w:t>
      </w:r>
    </w:p>
    <w:p>
      <w:pPr>
        <w:pStyle w:val="5"/>
        <w:shd w:val="clear" w:color="auto" w:fill="FFFFFF"/>
        <w:spacing w:before="0" w:beforeAutospacing="0" w:after="0" w:line="500" w:lineRule="exact"/>
        <w:ind w:firstLine="640" w:firstLineChars="200"/>
        <w:rPr>
          <w:rFonts w:ascii="黑体" w:hAnsi="黑体" w:eastAsia="黑体" w:cs="Arial"/>
          <w:sz w:val="32"/>
          <w:szCs w:val="32"/>
        </w:rPr>
      </w:pPr>
      <w:r>
        <w:rPr>
          <w:rFonts w:hint="eastAsia" w:ascii="黑体" w:hAnsi="黑体" w:eastAsia="黑体" w:cs="Arial"/>
          <w:sz w:val="32"/>
          <w:szCs w:val="32"/>
        </w:rPr>
        <w:t>四、政府采购支出预算</w:t>
      </w:r>
    </w:p>
    <w:p>
      <w:pPr>
        <w:pStyle w:val="5"/>
        <w:shd w:val="clear" w:color="auto" w:fill="FFFFFF"/>
        <w:spacing w:before="0" w:beforeAutospacing="0" w:after="0" w:line="50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2016年本单位财政拨款安排政府采购经费支出总计</w:t>
      </w:r>
      <w:r>
        <w:rPr>
          <w:rFonts w:hint="eastAsia" w:ascii="仿宋_GB2312" w:hAnsi="Arial" w:eastAsia="仿宋_GB2312" w:cs="Arial"/>
          <w:sz w:val="32"/>
          <w:szCs w:val="32"/>
          <w:lang w:val="en-US" w:eastAsia="zh-CN"/>
        </w:rPr>
        <w:t>1.2</w:t>
      </w:r>
      <w:r>
        <w:rPr>
          <w:rFonts w:hint="eastAsia" w:ascii="仿宋_GB2312" w:hAnsi="Arial" w:eastAsia="仿宋_GB2312" w:cs="Arial"/>
          <w:sz w:val="32"/>
          <w:szCs w:val="32"/>
        </w:rPr>
        <w:t>万元，其中</w:t>
      </w:r>
      <w:r>
        <w:rPr>
          <w:rFonts w:hint="eastAsia" w:ascii="仿宋_GB2312" w:hAnsi="Arial" w:eastAsia="仿宋_GB2312" w:cs="Arial"/>
          <w:sz w:val="32"/>
          <w:szCs w:val="32"/>
          <w:lang w:val="en-US" w:eastAsia="zh-CN"/>
        </w:rPr>
        <w:t>1</w:t>
      </w:r>
      <w:r>
        <w:rPr>
          <w:rFonts w:hint="eastAsia" w:ascii="仿宋_GB2312" w:hAnsi="Arial" w:eastAsia="仿宋_GB2312" w:cs="Arial"/>
          <w:sz w:val="32"/>
          <w:szCs w:val="32"/>
        </w:rPr>
        <w:t>项目</w:t>
      </w:r>
      <w:r>
        <w:rPr>
          <w:rFonts w:hint="eastAsia" w:ascii="仿宋_GB2312" w:hAnsi="Arial" w:eastAsia="仿宋_GB2312" w:cs="Arial"/>
          <w:sz w:val="32"/>
          <w:szCs w:val="32"/>
          <w:lang w:val="en-US" w:eastAsia="zh-CN"/>
        </w:rPr>
        <w:t>1.2</w:t>
      </w:r>
      <w:r>
        <w:rPr>
          <w:rFonts w:hint="eastAsia" w:ascii="仿宋_GB2312" w:hAnsi="Arial" w:eastAsia="仿宋_GB2312" w:cs="Arial"/>
          <w:sz w:val="32"/>
          <w:szCs w:val="32"/>
        </w:rPr>
        <w:t>万元。</w:t>
      </w:r>
    </w:p>
    <w:p>
      <w:pPr>
        <w:pStyle w:val="5"/>
        <w:shd w:val="clear" w:color="auto" w:fill="FFFFFF"/>
        <w:spacing w:before="0" w:beforeAutospacing="0" w:after="0" w:line="500" w:lineRule="exact"/>
        <w:ind w:firstLine="640" w:firstLineChars="200"/>
        <w:rPr>
          <w:rFonts w:ascii="黑体" w:hAnsi="黑体" w:eastAsia="黑体" w:cs="Arial"/>
          <w:sz w:val="32"/>
          <w:szCs w:val="32"/>
        </w:rPr>
      </w:pPr>
      <w:r>
        <w:rPr>
          <w:rFonts w:hint="eastAsia" w:ascii="黑体" w:hAnsi="黑体" w:eastAsia="黑体" w:cs="Arial"/>
          <w:sz w:val="32"/>
          <w:szCs w:val="32"/>
        </w:rPr>
        <w:t>五、预算绩效信息</w:t>
      </w:r>
    </w:p>
    <w:p>
      <w:pPr>
        <w:ind w:firstLine="640"/>
        <w:jc w:val="left"/>
        <w:rPr>
          <w:rFonts w:ascii="仿宋_GB2312" w:hAnsi="Arial" w:eastAsia="仿宋_GB2312" w:cs="Arial"/>
          <w:sz w:val="32"/>
          <w:szCs w:val="32"/>
        </w:rPr>
      </w:pPr>
      <w:r>
        <w:rPr>
          <w:rFonts w:hint="eastAsia" w:ascii="仿宋_GB2312" w:hAnsi="Arial" w:eastAsia="仿宋_GB2312" w:cs="Arial"/>
          <w:sz w:val="32"/>
          <w:szCs w:val="32"/>
        </w:rPr>
        <w:t>根据地区财政局《</w:t>
      </w:r>
      <w:r>
        <w:rPr>
          <w:rFonts w:hint="eastAsia" w:ascii="仿宋_GB2312" w:hAnsi="Arial" w:eastAsia="仿宋_GB2312" w:cs="Arial"/>
          <w:kern w:val="0"/>
          <w:sz w:val="32"/>
          <w:szCs w:val="32"/>
        </w:rPr>
        <w:t>关于开展2016年喀什地区本级财政资金绩效评价的通知</w:t>
      </w:r>
      <w:r>
        <w:rPr>
          <w:rFonts w:hint="eastAsia" w:ascii="仿宋_GB2312" w:hAnsi="Arial" w:eastAsia="仿宋_GB2312" w:cs="Arial"/>
          <w:sz w:val="32"/>
          <w:szCs w:val="32"/>
        </w:rPr>
        <w:t>》（喀地财预27号）的要求，我单位录入预算绩效范围项目共0个，涉及金额0万元。</w:t>
      </w:r>
    </w:p>
    <w:p>
      <w:pPr>
        <w:pStyle w:val="5"/>
        <w:shd w:val="clear" w:color="auto" w:fill="FFFFFF"/>
        <w:spacing w:before="0" w:beforeAutospacing="0" w:after="0" w:line="560" w:lineRule="exact"/>
        <w:ind w:firstLine="640" w:firstLineChars="200"/>
        <w:rPr>
          <w:rFonts w:ascii="黑体" w:hAnsi="Arial" w:eastAsia="黑体" w:cs="Arial"/>
          <w:sz w:val="32"/>
          <w:szCs w:val="32"/>
        </w:rPr>
      </w:pPr>
      <w:r>
        <w:rPr>
          <w:rFonts w:hint="eastAsia" w:ascii="黑体" w:hAnsi="Arial" w:eastAsia="黑体" w:cs="Arial"/>
          <w:sz w:val="32"/>
          <w:szCs w:val="32"/>
          <w:lang w:eastAsia="zh-CN"/>
        </w:rPr>
        <w:t>六</w:t>
      </w:r>
      <w:r>
        <w:rPr>
          <w:rFonts w:hint="eastAsia" w:ascii="黑体" w:hAnsi="Arial" w:eastAsia="黑体" w:cs="Arial"/>
          <w:sz w:val="32"/>
          <w:szCs w:val="32"/>
        </w:rPr>
        <w:t xml:space="preserve">、专业名词解释 </w:t>
      </w:r>
    </w:p>
    <w:p>
      <w:pPr>
        <w:widowControl/>
        <w:spacing w:line="560" w:lineRule="exact"/>
        <w:ind w:firstLine="640" w:firstLineChars="200"/>
        <w:jc w:val="left"/>
        <w:rPr>
          <w:rFonts w:ascii="仿宋_GB2312" w:hAnsi="Arial" w:eastAsia="仿宋_GB2312" w:cs="Arial"/>
          <w:kern w:val="0"/>
          <w:sz w:val="32"/>
          <w:szCs w:val="32"/>
        </w:rPr>
      </w:pPr>
      <w:r>
        <w:rPr>
          <w:rFonts w:hint="eastAsia" w:ascii="仿宋_GB2312" w:hAnsi="Arial" w:eastAsia="仿宋_GB2312" w:cs="Arial"/>
          <w:b w:val="0"/>
          <w:bCs w:val="0"/>
          <w:kern w:val="0"/>
          <w:sz w:val="32"/>
          <w:szCs w:val="32"/>
        </w:rPr>
        <w:t>（一）财政拨款收入：</w:t>
      </w:r>
      <w:r>
        <w:rPr>
          <w:rFonts w:hint="eastAsia" w:ascii="仿宋_GB2312" w:hAnsi="Arial" w:eastAsia="仿宋_GB2312" w:cs="Arial"/>
          <w:kern w:val="0"/>
          <w:sz w:val="32"/>
          <w:szCs w:val="32"/>
        </w:rPr>
        <w:t xml:space="preserve">指单位本年度从本级财政部门取得得财政拨款。 </w:t>
      </w:r>
    </w:p>
    <w:p>
      <w:pPr>
        <w:widowControl/>
        <w:spacing w:line="560" w:lineRule="exact"/>
        <w:ind w:firstLine="640" w:firstLineChars="200"/>
        <w:jc w:val="left"/>
        <w:rPr>
          <w:rFonts w:ascii="仿宋_GB2312" w:hAnsi="Arial" w:eastAsia="仿宋_GB2312" w:cs="Arial"/>
          <w:kern w:val="0"/>
          <w:sz w:val="32"/>
          <w:szCs w:val="32"/>
        </w:rPr>
      </w:pPr>
      <w:r>
        <w:rPr>
          <w:rFonts w:hint="eastAsia" w:ascii="仿宋_GB2312" w:hAnsi="Arial" w:eastAsia="仿宋_GB2312" w:cs="Arial"/>
          <w:b w:val="0"/>
          <w:bCs w:val="0"/>
          <w:kern w:val="0"/>
          <w:sz w:val="32"/>
          <w:szCs w:val="32"/>
        </w:rPr>
        <w:t>（二）事业收入：</w:t>
      </w:r>
      <w:r>
        <w:rPr>
          <w:rFonts w:hint="eastAsia" w:ascii="仿宋_GB2312" w:hAnsi="Arial" w:eastAsia="仿宋_GB2312" w:cs="Arial"/>
          <w:kern w:val="0"/>
          <w:sz w:val="32"/>
          <w:szCs w:val="32"/>
        </w:rPr>
        <w:t xml:space="preserve">指事业单位开展专业业务活动及辅助活动所取得的收入。 </w:t>
      </w:r>
    </w:p>
    <w:p>
      <w:pPr>
        <w:widowControl/>
        <w:spacing w:line="560" w:lineRule="exact"/>
        <w:ind w:firstLine="640" w:firstLineChars="200"/>
        <w:jc w:val="left"/>
        <w:rPr>
          <w:rFonts w:ascii="仿宋_GB2312" w:hAnsi="Arial" w:eastAsia="仿宋_GB2312" w:cs="Arial"/>
          <w:kern w:val="0"/>
          <w:sz w:val="32"/>
          <w:szCs w:val="32"/>
        </w:rPr>
      </w:pPr>
      <w:r>
        <w:rPr>
          <w:rFonts w:hint="eastAsia" w:ascii="仿宋_GB2312" w:hAnsi="Arial" w:eastAsia="仿宋_GB2312" w:cs="Arial"/>
          <w:b w:val="0"/>
          <w:bCs w:val="0"/>
          <w:kern w:val="0"/>
          <w:sz w:val="32"/>
          <w:szCs w:val="32"/>
        </w:rPr>
        <w:t>（三）经营收入：</w:t>
      </w:r>
      <w:r>
        <w:rPr>
          <w:rFonts w:hint="eastAsia" w:ascii="仿宋_GB2312" w:hAnsi="Arial" w:eastAsia="仿宋_GB2312" w:cs="Arial"/>
          <w:kern w:val="0"/>
          <w:sz w:val="32"/>
          <w:szCs w:val="32"/>
        </w:rPr>
        <w:t xml:space="preserve">指事业单位在专业业务活动及其辅助活动之外开展非独立核算经营活动取得的收入。 </w:t>
      </w:r>
    </w:p>
    <w:p>
      <w:pPr>
        <w:widowControl/>
        <w:spacing w:line="560" w:lineRule="exact"/>
        <w:ind w:firstLine="640" w:firstLineChars="200"/>
        <w:jc w:val="left"/>
        <w:rPr>
          <w:rFonts w:ascii="仿宋_GB2312" w:hAnsi="Arial" w:eastAsia="仿宋_GB2312" w:cs="Arial"/>
          <w:kern w:val="0"/>
          <w:sz w:val="32"/>
          <w:szCs w:val="32"/>
        </w:rPr>
      </w:pPr>
      <w:r>
        <w:rPr>
          <w:rFonts w:hint="eastAsia" w:ascii="仿宋_GB2312" w:hAnsi="Arial" w:eastAsia="仿宋_GB2312" w:cs="Arial"/>
          <w:b w:val="0"/>
          <w:bCs w:val="0"/>
          <w:kern w:val="0"/>
          <w:sz w:val="32"/>
          <w:szCs w:val="32"/>
        </w:rPr>
        <w:t>（四）其他收入：</w:t>
      </w:r>
      <w:r>
        <w:rPr>
          <w:rFonts w:hint="eastAsia" w:ascii="仿宋_GB2312" w:hAnsi="Arial" w:eastAsia="仿宋_GB2312" w:cs="Arial"/>
          <w:kern w:val="0"/>
          <w:sz w:val="32"/>
          <w:szCs w:val="32"/>
        </w:rPr>
        <w:t xml:space="preserve">指除上述“财政拨款收入”、“事业收入”、“经营收入”等以外的收入。 </w:t>
      </w:r>
    </w:p>
    <w:p>
      <w:pPr>
        <w:widowControl/>
        <w:spacing w:line="560" w:lineRule="exact"/>
        <w:ind w:firstLine="640" w:firstLineChars="200"/>
        <w:jc w:val="left"/>
        <w:rPr>
          <w:rFonts w:ascii="仿宋_GB2312" w:hAnsi="Arial" w:eastAsia="仿宋_GB2312" w:cs="Arial"/>
          <w:kern w:val="0"/>
          <w:sz w:val="32"/>
          <w:szCs w:val="32"/>
        </w:rPr>
      </w:pPr>
      <w:r>
        <w:rPr>
          <w:rFonts w:hint="eastAsia" w:ascii="仿宋_GB2312" w:hAnsi="Arial" w:eastAsia="仿宋_GB2312" w:cs="Arial"/>
          <w:b w:val="0"/>
          <w:bCs w:val="0"/>
          <w:kern w:val="0"/>
          <w:sz w:val="32"/>
          <w:szCs w:val="32"/>
        </w:rPr>
        <w:t>(五)用事业基金弥补收支差额：</w:t>
      </w:r>
      <w:r>
        <w:rPr>
          <w:rFonts w:hint="eastAsia" w:ascii="仿宋_GB2312" w:hAnsi="Arial" w:eastAsia="仿宋_GB2312" w:cs="Arial"/>
          <w:kern w:val="0"/>
          <w:sz w:val="32"/>
          <w:szCs w:val="32"/>
        </w:rPr>
        <w:t xml:space="preserve">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widowControl/>
        <w:spacing w:line="560" w:lineRule="exact"/>
        <w:ind w:firstLine="640" w:firstLineChars="200"/>
        <w:jc w:val="left"/>
        <w:rPr>
          <w:rFonts w:ascii="仿宋_GB2312" w:hAnsi="Arial" w:eastAsia="仿宋_GB2312" w:cs="Arial"/>
          <w:kern w:val="0"/>
          <w:sz w:val="32"/>
          <w:szCs w:val="32"/>
        </w:rPr>
      </w:pPr>
      <w:r>
        <w:rPr>
          <w:rFonts w:hint="eastAsia" w:ascii="仿宋_GB2312" w:hAnsi="Arial" w:eastAsia="仿宋_GB2312" w:cs="Arial"/>
          <w:b w:val="0"/>
          <w:bCs w:val="0"/>
          <w:kern w:val="0"/>
          <w:sz w:val="32"/>
          <w:szCs w:val="32"/>
        </w:rPr>
        <w:t>（六）年初结转和结余：</w:t>
      </w:r>
      <w:r>
        <w:rPr>
          <w:rFonts w:hint="eastAsia" w:ascii="仿宋_GB2312" w:hAnsi="Arial" w:eastAsia="仿宋_GB2312" w:cs="Arial"/>
          <w:kern w:val="0"/>
          <w:sz w:val="32"/>
          <w:szCs w:val="32"/>
        </w:rPr>
        <w:t xml:space="preserve">指以前年度尚未完成、结转到本年按有关规定继续使用的资金。 </w:t>
      </w:r>
    </w:p>
    <w:p>
      <w:pPr>
        <w:widowControl/>
        <w:spacing w:line="560" w:lineRule="exact"/>
        <w:ind w:firstLine="640" w:firstLineChars="200"/>
        <w:jc w:val="left"/>
        <w:rPr>
          <w:rFonts w:ascii="仿宋_GB2312" w:hAnsi="Arial" w:eastAsia="仿宋_GB2312" w:cs="Arial"/>
          <w:kern w:val="0"/>
          <w:sz w:val="32"/>
          <w:szCs w:val="32"/>
        </w:rPr>
      </w:pPr>
      <w:r>
        <w:rPr>
          <w:rFonts w:hint="eastAsia" w:ascii="仿宋_GB2312" w:hAnsi="Arial" w:eastAsia="仿宋_GB2312" w:cs="Arial"/>
          <w:b w:val="0"/>
          <w:bCs w:val="0"/>
          <w:kern w:val="0"/>
          <w:sz w:val="32"/>
          <w:szCs w:val="32"/>
        </w:rPr>
        <w:t>（七）结余分配：</w:t>
      </w:r>
      <w:r>
        <w:rPr>
          <w:rFonts w:hint="eastAsia" w:ascii="仿宋_GB2312" w:hAnsi="Arial" w:eastAsia="仿宋_GB2312" w:cs="Arial"/>
          <w:kern w:val="0"/>
          <w:sz w:val="32"/>
          <w:szCs w:val="32"/>
        </w:rPr>
        <w:t xml:space="preserve">指事业单位按规定提取的职工福利基 </w:t>
      </w:r>
    </w:p>
    <w:p>
      <w:pPr>
        <w:widowControl/>
        <w:spacing w:line="560" w:lineRule="exact"/>
        <w:jc w:val="left"/>
        <w:rPr>
          <w:rFonts w:ascii="仿宋_GB2312" w:hAnsi="Arial" w:eastAsia="仿宋_GB2312" w:cs="Arial"/>
          <w:kern w:val="0"/>
          <w:sz w:val="32"/>
          <w:szCs w:val="32"/>
        </w:rPr>
      </w:pPr>
      <w:r>
        <w:rPr>
          <w:rFonts w:hint="eastAsia" w:ascii="仿宋_GB2312" w:hAnsi="Arial" w:eastAsia="仿宋_GB2312" w:cs="Arial"/>
          <w:kern w:val="0"/>
          <w:sz w:val="32"/>
          <w:szCs w:val="32"/>
        </w:rPr>
        <w:t xml:space="preserve">金、事业基金和缴纳的所得税，以及建设单位按规定应交回的基本建设竣工项目结余资金。 </w:t>
      </w:r>
    </w:p>
    <w:p>
      <w:pPr>
        <w:widowControl/>
        <w:spacing w:line="560" w:lineRule="exact"/>
        <w:ind w:firstLine="640" w:firstLineChars="200"/>
        <w:jc w:val="left"/>
        <w:rPr>
          <w:rFonts w:ascii="仿宋_GB2312" w:hAnsi="Arial" w:eastAsia="仿宋_GB2312" w:cs="Arial"/>
          <w:kern w:val="0"/>
          <w:sz w:val="32"/>
          <w:szCs w:val="32"/>
        </w:rPr>
      </w:pPr>
      <w:r>
        <w:rPr>
          <w:rFonts w:hint="eastAsia" w:ascii="仿宋_GB2312" w:hAnsi="Arial" w:eastAsia="仿宋_GB2312" w:cs="Arial"/>
          <w:b w:val="0"/>
          <w:bCs w:val="0"/>
          <w:kern w:val="0"/>
          <w:sz w:val="32"/>
          <w:szCs w:val="32"/>
        </w:rPr>
        <w:t>（八）年末结转和结余：</w:t>
      </w:r>
      <w:r>
        <w:rPr>
          <w:rFonts w:hint="eastAsia" w:ascii="仿宋_GB2312" w:hAnsi="Arial" w:eastAsia="仿宋_GB2312" w:cs="Arial"/>
          <w:kern w:val="0"/>
          <w:sz w:val="32"/>
          <w:szCs w:val="32"/>
        </w:rPr>
        <w:t xml:space="preserve">指本年度或以前年度预算安排、 </w:t>
      </w:r>
    </w:p>
    <w:p>
      <w:pPr>
        <w:widowControl/>
        <w:spacing w:line="560" w:lineRule="exact"/>
        <w:jc w:val="left"/>
        <w:rPr>
          <w:rFonts w:ascii="仿宋_GB2312" w:hAnsi="Arial" w:eastAsia="仿宋_GB2312" w:cs="Arial"/>
          <w:kern w:val="0"/>
          <w:sz w:val="32"/>
          <w:szCs w:val="32"/>
        </w:rPr>
      </w:pPr>
      <w:r>
        <w:rPr>
          <w:rFonts w:hint="eastAsia" w:ascii="仿宋_GB2312" w:hAnsi="Arial" w:eastAsia="仿宋_GB2312" w:cs="Arial"/>
          <w:kern w:val="0"/>
          <w:sz w:val="32"/>
          <w:szCs w:val="32"/>
        </w:rPr>
        <w:t xml:space="preserve">因客观条件发生变化无法按原计划实施，需要延迟到以后年度按有关规定继续使用的资金。 </w:t>
      </w:r>
    </w:p>
    <w:p>
      <w:pPr>
        <w:widowControl/>
        <w:spacing w:line="560" w:lineRule="exact"/>
        <w:ind w:firstLine="640" w:firstLineChars="200"/>
        <w:jc w:val="left"/>
        <w:rPr>
          <w:rFonts w:ascii="仿宋_GB2312" w:hAnsi="Arial" w:eastAsia="仿宋_GB2312" w:cs="Arial"/>
          <w:kern w:val="0"/>
          <w:sz w:val="32"/>
          <w:szCs w:val="32"/>
        </w:rPr>
      </w:pPr>
      <w:r>
        <w:rPr>
          <w:rFonts w:hint="eastAsia" w:ascii="仿宋_GB2312" w:hAnsi="Arial" w:eastAsia="仿宋_GB2312" w:cs="Arial"/>
          <w:b w:val="0"/>
          <w:bCs w:val="0"/>
          <w:kern w:val="0"/>
          <w:sz w:val="32"/>
          <w:szCs w:val="32"/>
        </w:rPr>
        <w:t>（九）基本支出：</w:t>
      </w:r>
      <w:r>
        <w:rPr>
          <w:rFonts w:hint="eastAsia" w:ascii="仿宋_GB2312" w:hAnsi="Arial" w:eastAsia="仿宋_GB2312" w:cs="Arial"/>
          <w:kern w:val="0"/>
          <w:sz w:val="32"/>
          <w:szCs w:val="32"/>
        </w:rPr>
        <w:t xml:space="preserve">指为保障机构正常运转、完成日常工作任务而发生的人员支出和公用支出。 </w:t>
      </w:r>
    </w:p>
    <w:p>
      <w:pPr>
        <w:widowControl/>
        <w:spacing w:line="560" w:lineRule="exact"/>
        <w:ind w:firstLine="640" w:firstLineChars="200"/>
        <w:jc w:val="left"/>
        <w:rPr>
          <w:rFonts w:ascii="仿宋_GB2312" w:hAnsi="Arial" w:eastAsia="仿宋_GB2312" w:cs="Arial"/>
          <w:kern w:val="0"/>
          <w:sz w:val="32"/>
          <w:szCs w:val="32"/>
        </w:rPr>
      </w:pPr>
      <w:r>
        <w:rPr>
          <w:rFonts w:hint="eastAsia" w:ascii="仿宋_GB2312" w:hAnsi="Arial" w:eastAsia="仿宋_GB2312" w:cs="Arial"/>
          <w:b w:val="0"/>
          <w:bCs w:val="0"/>
          <w:kern w:val="0"/>
          <w:sz w:val="32"/>
          <w:szCs w:val="32"/>
        </w:rPr>
        <w:t>（十）项目支出：</w:t>
      </w:r>
      <w:r>
        <w:rPr>
          <w:rFonts w:hint="eastAsia" w:ascii="仿宋_GB2312" w:hAnsi="Arial" w:eastAsia="仿宋_GB2312" w:cs="Arial"/>
          <w:kern w:val="0"/>
          <w:sz w:val="32"/>
          <w:szCs w:val="32"/>
        </w:rPr>
        <w:t xml:space="preserve">指在基本支出之外为完成特定行政任务和事业发展目标所发生的支出。 </w:t>
      </w:r>
    </w:p>
    <w:p>
      <w:pPr>
        <w:widowControl/>
        <w:spacing w:line="560" w:lineRule="exact"/>
        <w:ind w:firstLine="640" w:firstLineChars="200"/>
        <w:jc w:val="left"/>
        <w:rPr>
          <w:rFonts w:ascii="仿宋_GB2312" w:hAnsi="Arial" w:eastAsia="仿宋_GB2312" w:cs="Arial"/>
          <w:kern w:val="0"/>
          <w:sz w:val="32"/>
          <w:szCs w:val="32"/>
        </w:rPr>
      </w:pPr>
      <w:r>
        <w:rPr>
          <w:rFonts w:hint="eastAsia" w:ascii="仿宋_GB2312" w:hAnsi="Arial" w:eastAsia="仿宋_GB2312" w:cs="Arial"/>
          <w:b w:val="0"/>
          <w:bCs w:val="0"/>
          <w:kern w:val="0"/>
          <w:sz w:val="32"/>
          <w:szCs w:val="32"/>
        </w:rPr>
        <w:t>（十一）经营支出：</w:t>
      </w:r>
      <w:r>
        <w:rPr>
          <w:rFonts w:hint="eastAsia" w:ascii="仿宋_GB2312" w:hAnsi="Arial" w:eastAsia="仿宋_GB2312" w:cs="Arial"/>
          <w:kern w:val="0"/>
          <w:sz w:val="32"/>
          <w:szCs w:val="32"/>
        </w:rPr>
        <w:t xml:space="preserve">指事业单位在专业业务活动及其辅助活动之外开展非独立核算经营活动发生的支出。 </w:t>
      </w:r>
    </w:p>
    <w:p>
      <w:pPr>
        <w:widowControl/>
        <w:spacing w:line="560" w:lineRule="exact"/>
        <w:ind w:firstLine="640" w:firstLineChars="200"/>
        <w:jc w:val="left"/>
        <w:rPr>
          <w:rFonts w:ascii="仿宋_GB2312" w:hAnsi="Arial" w:eastAsia="仿宋_GB2312" w:cs="Arial"/>
          <w:kern w:val="0"/>
          <w:sz w:val="32"/>
          <w:szCs w:val="32"/>
        </w:rPr>
      </w:pPr>
      <w:r>
        <w:rPr>
          <w:rFonts w:hint="eastAsia" w:ascii="仿宋_GB2312" w:hAnsi="Arial" w:eastAsia="仿宋_GB2312" w:cs="Arial"/>
          <w:b w:val="0"/>
          <w:bCs w:val="0"/>
          <w:kern w:val="0"/>
          <w:sz w:val="32"/>
          <w:szCs w:val="32"/>
        </w:rPr>
        <w:t>（十二）“三公”经费：</w:t>
      </w:r>
      <w:r>
        <w:rPr>
          <w:rFonts w:hint="eastAsia" w:ascii="仿宋_GB2312" w:hAnsi="Arial" w:eastAsia="仿宋_GB2312" w:cs="Arial"/>
          <w:kern w:val="0"/>
          <w:sz w:val="32"/>
          <w:szCs w:val="32"/>
        </w:rPr>
        <w:t xml:space="preserve">纳入财政预决算管理的“三公”经费，是指各单位用财政拨款安排的因公外出费、公务用车购置及运行费和公务接待费。其中，因公外出费反映单位公务外出的国际旅费、城市间交通费、住宿费、伙食费、培养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widowControl/>
        <w:spacing w:line="560" w:lineRule="exact"/>
        <w:ind w:firstLine="640" w:firstLineChars="200"/>
        <w:jc w:val="left"/>
        <w:rPr>
          <w:rFonts w:ascii="仿宋_GB2312" w:hAnsi="Arial" w:eastAsia="仿宋_GB2312" w:cs="Arial"/>
          <w:sz w:val="32"/>
          <w:szCs w:val="32"/>
        </w:rPr>
      </w:pPr>
      <w:r>
        <w:rPr>
          <w:rFonts w:hint="eastAsia" w:ascii="仿宋_GB2312" w:hAnsi="Arial" w:eastAsia="仿宋_GB2312" w:cs="Arial"/>
          <w:b w:val="0"/>
          <w:bCs w:val="0"/>
          <w:kern w:val="0"/>
          <w:sz w:val="32"/>
          <w:szCs w:val="32"/>
        </w:rPr>
        <w:t>（十三）机关运行经费：</w:t>
      </w:r>
      <w:r>
        <w:rPr>
          <w:rFonts w:hint="eastAsia" w:ascii="仿宋_GB2312" w:hAnsi="Arial" w:eastAsia="仿宋_GB2312" w:cs="Arial"/>
          <w:kern w:val="0"/>
          <w:sz w:val="32"/>
          <w:szCs w:val="32"/>
        </w:rPr>
        <w:t>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pStyle w:val="5"/>
        <w:shd w:val="clear" w:color="auto" w:fill="FFFFFF"/>
        <w:spacing w:before="0" w:beforeAutospacing="0" w:after="0" w:line="560" w:lineRule="exact"/>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zh-CN"/>
      </w:rPr>
      <w:t>6</w:t>
    </w:r>
    <w:r>
      <w:rPr>
        <w:lang w:val="zh-CN"/>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27804"/>
    <w:rsid w:val="00027D47"/>
    <w:rsid w:val="00030982"/>
    <w:rsid w:val="00036878"/>
    <w:rsid w:val="000867EA"/>
    <w:rsid w:val="000869A2"/>
    <w:rsid w:val="00181144"/>
    <w:rsid w:val="00184650"/>
    <w:rsid w:val="00187A00"/>
    <w:rsid w:val="0019663E"/>
    <w:rsid w:val="00245A55"/>
    <w:rsid w:val="00295A72"/>
    <w:rsid w:val="002C36C0"/>
    <w:rsid w:val="002E08D6"/>
    <w:rsid w:val="00307279"/>
    <w:rsid w:val="003727AB"/>
    <w:rsid w:val="0037749D"/>
    <w:rsid w:val="00397053"/>
    <w:rsid w:val="003A06EF"/>
    <w:rsid w:val="003A43A5"/>
    <w:rsid w:val="003B0D56"/>
    <w:rsid w:val="003D431F"/>
    <w:rsid w:val="00462359"/>
    <w:rsid w:val="004F2FAB"/>
    <w:rsid w:val="005106F5"/>
    <w:rsid w:val="00530FCC"/>
    <w:rsid w:val="00561C66"/>
    <w:rsid w:val="005D7980"/>
    <w:rsid w:val="006D2DD5"/>
    <w:rsid w:val="00701790"/>
    <w:rsid w:val="00740B28"/>
    <w:rsid w:val="007675A2"/>
    <w:rsid w:val="007B3216"/>
    <w:rsid w:val="00825066"/>
    <w:rsid w:val="008420AF"/>
    <w:rsid w:val="008713D8"/>
    <w:rsid w:val="00872C12"/>
    <w:rsid w:val="008A737C"/>
    <w:rsid w:val="008C03C3"/>
    <w:rsid w:val="008E6847"/>
    <w:rsid w:val="008F7266"/>
    <w:rsid w:val="00947DC7"/>
    <w:rsid w:val="00964F33"/>
    <w:rsid w:val="00973803"/>
    <w:rsid w:val="00984A77"/>
    <w:rsid w:val="00985442"/>
    <w:rsid w:val="009B44F0"/>
    <w:rsid w:val="00A2026C"/>
    <w:rsid w:val="00A32AFE"/>
    <w:rsid w:val="00A60DA3"/>
    <w:rsid w:val="00A70790"/>
    <w:rsid w:val="00A94990"/>
    <w:rsid w:val="00B2007D"/>
    <w:rsid w:val="00B21C6D"/>
    <w:rsid w:val="00B2640A"/>
    <w:rsid w:val="00B318A3"/>
    <w:rsid w:val="00B847E7"/>
    <w:rsid w:val="00BD0989"/>
    <w:rsid w:val="00C15732"/>
    <w:rsid w:val="00C16161"/>
    <w:rsid w:val="00C2509B"/>
    <w:rsid w:val="00C34459"/>
    <w:rsid w:val="00C51DB4"/>
    <w:rsid w:val="00C63550"/>
    <w:rsid w:val="00C664C2"/>
    <w:rsid w:val="00C7450B"/>
    <w:rsid w:val="00C77FB2"/>
    <w:rsid w:val="00C8589F"/>
    <w:rsid w:val="00C902CE"/>
    <w:rsid w:val="00C9450D"/>
    <w:rsid w:val="00CE1F2B"/>
    <w:rsid w:val="00CF68E8"/>
    <w:rsid w:val="00D06A14"/>
    <w:rsid w:val="00D11009"/>
    <w:rsid w:val="00D2151F"/>
    <w:rsid w:val="00D27804"/>
    <w:rsid w:val="00D50742"/>
    <w:rsid w:val="00D63666"/>
    <w:rsid w:val="00D82146"/>
    <w:rsid w:val="00DA628D"/>
    <w:rsid w:val="00DB1D65"/>
    <w:rsid w:val="00DC48BD"/>
    <w:rsid w:val="00E1251B"/>
    <w:rsid w:val="00E365D3"/>
    <w:rsid w:val="00E51997"/>
    <w:rsid w:val="00E5462B"/>
    <w:rsid w:val="00E65DCB"/>
    <w:rsid w:val="00E875F3"/>
    <w:rsid w:val="00EC105B"/>
    <w:rsid w:val="00EE1AAB"/>
    <w:rsid w:val="00F14D0E"/>
    <w:rsid w:val="00F44290"/>
    <w:rsid w:val="00F65ABC"/>
    <w:rsid w:val="00F84440"/>
    <w:rsid w:val="00FB3950"/>
    <w:rsid w:val="00FC4320"/>
    <w:rsid w:val="00FE204F"/>
    <w:rsid w:val="01CD62A6"/>
    <w:rsid w:val="12360B3E"/>
    <w:rsid w:val="13635717"/>
    <w:rsid w:val="1E996BC3"/>
    <w:rsid w:val="1FF1387B"/>
    <w:rsid w:val="23E20A71"/>
    <w:rsid w:val="269A0634"/>
    <w:rsid w:val="339F4D69"/>
    <w:rsid w:val="36160449"/>
    <w:rsid w:val="40A73034"/>
    <w:rsid w:val="445748CE"/>
    <w:rsid w:val="48DF209C"/>
    <w:rsid w:val="49CB1C4F"/>
    <w:rsid w:val="51AF2AEA"/>
    <w:rsid w:val="5D9A411F"/>
    <w:rsid w:val="65FE0A79"/>
    <w:rsid w:val="74542E51"/>
    <w:rsid w:val="77162EED"/>
    <w:rsid w:val="77F71904"/>
    <w:rsid w:val="7AFD44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widowControl/>
      <w:spacing w:before="240" w:after="240"/>
      <w:jc w:val="left"/>
      <w:outlineLvl w:val="0"/>
    </w:pPr>
    <w:rPr>
      <w:rFonts w:ascii="宋体" w:hAnsi="宋体" w:cs="宋体"/>
      <w:b/>
      <w:bCs/>
      <w:kern w:val="36"/>
      <w:sz w:val="43"/>
      <w:szCs w:val="43"/>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240"/>
      <w:jc w:val="left"/>
    </w:pPr>
    <w:rPr>
      <w:rFonts w:ascii="宋体" w:hAnsi="宋体" w:cs="宋体"/>
      <w:kern w:val="0"/>
      <w:sz w:val="24"/>
    </w:rPr>
  </w:style>
  <w:style w:type="table" w:styleId="7">
    <w:name w:val="Table Grid"/>
    <w:basedOn w:val="6"/>
    <w:qFormat/>
    <w:uiPriority w:val="0"/>
    <w:pPr>
      <w:widowControl w:val="0"/>
      <w:jc w:val="both"/>
    </w:pPr>
    <w:rPr>
      <w:rFonts w:eastAsia="仿宋"/>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页脚 Char"/>
    <w:link w:val="3"/>
    <w:qFormat/>
    <w:uiPriority w:val="99"/>
    <w:rPr>
      <w:kern w:val="2"/>
      <w:sz w:val="18"/>
      <w:szCs w:val="18"/>
    </w:rPr>
  </w:style>
  <w:style w:type="character" w:customStyle="1" w:styleId="10">
    <w:name w:val="页眉 Char"/>
    <w:link w:val="4"/>
    <w:qFormat/>
    <w:uiPriority w:val="0"/>
    <w:rPr>
      <w:kern w:val="2"/>
      <w:sz w:val="18"/>
      <w:szCs w:val="18"/>
    </w:rPr>
  </w:style>
  <w:style w:type="paragraph" w:customStyle="1" w:styleId="11">
    <w:name w:val="notice_title"/>
    <w:basedOn w:val="1"/>
    <w:qFormat/>
    <w:uiPriority w:val="0"/>
    <w:pPr>
      <w:widowControl/>
      <w:spacing w:after="225"/>
      <w:jc w:val="center"/>
    </w:pPr>
    <w:rPr>
      <w:rFonts w:ascii="宋体" w:hAnsi="宋体" w:cs="宋体"/>
      <w:b/>
      <w:bCs/>
      <w:color w:val="771325"/>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6</Pages>
  <Words>480</Words>
  <Characters>2742</Characters>
  <Lines>22</Lines>
  <Paragraphs>6</Paragraphs>
  <TotalTime>0</TotalTime>
  <ScaleCrop>false</ScaleCrop>
  <LinksUpToDate>false</LinksUpToDate>
  <CharactersWithSpaces>3216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2018-12-18T09:09:00Z</dcterms:created>
  <dc:creator>User</dc:creator>
  <cp:lastModifiedBy>Administrator</cp:lastModifiedBy>
  <cp:lastPrinted>2016-08-02T12:17:00Z</cp:lastPrinted>
  <dcterms:modified xsi:type="dcterms:W3CDTF">2025-02-11T03:27:26Z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