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仿宋_GB2312"/>
          <w:sz w:val="32"/>
          <w:szCs w:val="32"/>
        </w:rPr>
      </w:pPr>
      <w:r>
        <w:rPr>
          <w:rFonts w:hint="eastAsia" w:ascii="仿宋_GB2312" w:eastAsia="仿宋_GB2312" w:cs="仿宋_GB2312"/>
          <w:sz w:val="32"/>
          <w:szCs w:val="32"/>
        </w:rPr>
        <w:t>附件1：</w:t>
      </w:r>
    </w:p>
    <w:p>
      <w:pPr>
        <w:spacing w:line="560" w:lineRule="exact"/>
        <w:jc w:val="center"/>
        <w:rPr>
          <w:rFonts w:ascii="仿宋_GB2312" w:hAnsi="宋体" w:eastAsia="仿宋_GB2312" w:cs="仿宋_GB2312"/>
          <w:b/>
          <w:sz w:val="44"/>
          <w:szCs w:val="44"/>
        </w:rPr>
      </w:pPr>
      <w:r>
        <w:rPr>
          <w:rFonts w:hint="eastAsia" w:ascii="仿宋_GB2312" w:hAnsi="宋体" w:eastAsia="仿宋_GB2312" w:cs="仿宋_GB2312"/>
          <w:b/>
          <w:sz w:val="44"/>
          <w:szCs w:val="44"/>
        </w:rPr>
        <w:t>2016年喀什地区叶城</w:t>
      </w:r>
      <w:r>
        <w:rPr>
          <w:rFonts w:hint="eastAsia" w:ascii="仿宋_GB2312" w:hAnsi="宋体" w:eastAsia="仿宋_GB2312" w:cs="仿宋_GB2312"/>
          <w:b/>
          <w:sz w:val="44"/>
          <w:szCs w:val="44"/>
          <w:lang w:eastAsia="zh-CN"/>
        </w:rPr>
        <w:t>县委组织部</w:t>
      </w:r>
      <w:bookmarkStart w:id="1" w:name="_GoBack"/>
      <w:bookmarkEnd w:id="1"/>
      <w:r>
        <w:rPr>
          <w:rFonts w:hint="eastAsia" w:ascii="仿宋_GB2312" w:hAnsi="宋体" w:eastAsia="仿宋_GB2312" w:cs="仿宋_GB2312"/>
          <w:b/>
          <w:sz w:val="44"/>
          <w:szCs w:val="44"/>
        </w:rPr>
        <w:t>部门决算</w:t>
      </w:r>
    </w:p>
    <w:p>
      <w:pPr>
        <w:spacing w:line="560" w:lineRule="exact"/>
        <w:jc w:val="center"/>
        <w:rPr>
          <w:rFonts w:ascii="仿宋_GB2312" w:hAnsi="宋体" w:eastAsia="仿宋_GB2312"/>
          <w:b/>
          <w:bCs/>
          <w:sz w:val="32"/>
          <w:szCs w:val="32"/>
        </w:rPr>
      </w:pPr>
    </w:p>
    <w:p>
      <w:pPr>
        <w:spacing w:line="560" w:lineRule="exact"/>
        <w:jc w:val="center"/>
        <w:rPr>
          <w:rFonts w:ascii="仿宋_GB2312" w:eastAsia="仿宋_GB2312"/>
          <w:b/>
          <w:bCs/>
          <w:sz w:val="32"/>
          <w:szCs w:val="32"/>
        </w:rPr>
      </w:pPr>
      <w:r>
        <w:rPr>
          <w:rFonts w:hint="eastAsia" w:ascii="仿宋_GB2312" w:eastAsia="仿宋_GB2312" w:cs="仿宋_GB2312"/>
          <w:b/>
          <w:bCs/>
          <w:sz w:val="32"/>
          <w:szCs w:val="32"/>
        </w:rPr>
        <w:t>第一部分 单位概述</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单位性质为行政单位，全额拨款，执行会计制度为行政会计制度。独立编制机构1个，独立编制机构与上年无变动。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一、主要职能：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（1）、研究指导党组织建设，特别是乡、村组织建设，探索企业和各种新经济组织中党组织设置和活动方式；协调、规划和指导党员教育工作，主管党员的管理发展工作，实践新时期党建理论。</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（2）、探索和实诚 践党的组织制度和干部人事制度改革,落实组织、干部、人事工作重要政策和制度。</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（3）、主管干部教育工作，制定干部教育计划。</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（4）、掌握知识分子工作情况。</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（5）、承办县直机关党总支、党组的工作。</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二、机构人员情况：编制40人，按照编委文件填报，实际实有在职人数39人，离退休0人，属于一般公共预算财政拨款开支39人，其中：在职39人，离退休0人。</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三、决算单位构成</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纳入叶城</w:t>
      </w:r>
      <w:r>
        <w:rPr>
          <w:rFonts w:hint="eastAsia" w:ascii="仿宋_GB2312" w:hAnsi="宋体" w:eastAsia="仿宋_GB2312"/>
          <w:sz w:val="32"/>
          <w:szCs w:val="32"/>
          <w:lang w:eastAsia="zh-CN"/>
        </w:rPr>
        <w:t>县委组织部</w:t>
      </w:r>
      <w:r>
        <w:rPr>
          <w:rFonts w:hint="eastAsia" w:ascii="仿宋_GB2312" w:hAnsi="宋体" w:eastAsia="仿宋_GB2312"/>
          <w:sz w:val="32"/>
          <w:szCs w:val="32"/>
        </w:rPr>
        <w:t>2016年部门决算编制范围的单位名单见下表：</w:t>
      </w:r>
    </w:p>
    <w:tbl>
      <w:tblPr>
        <w:tblStyle w:val="6"/>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4616"/>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5" w:type="dxa"/>
          </w:tcPr>
          <w:p>
            <w:pPr>
              <w:spacing w:line="560" w:lineRule="exact"/>
              <w:rPr>
                <w:rFonts w:ascii="仿宋_GB2312" w:hAnsi="宋体" w:eastAsia="仿宋_GB2312"/>
                <w:sz w:val="32"/>
                <w:szCs w:val="32"/>
              </w:rPr>
            </w:pPr>
            <w:r>
              <w:rPr>
                <w:rFonts w:hint="eastAsia" w:ascii="仿宋_GB2312" w:hAnsi="宋体" w:eastAsia="仿宋_GB2312"/>
                <w:sz w:val="32"/>
                <w:szCs w:val="32"/>
              </w:rPr>
              <w:t>序号</w:t>
            </w:r>
          </w:p>
        </w:tc>
        <w:tc>
          <w:tcPr>
            <w:tcW w:w="4616" w:type="dxa"/>
          </w:tcPr>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单位名称</w:t>
            </w:r>
          </w:p>
        </w:tc>
        <w:tc>
          <w:tcPr>
            <w:tcW w:w="2841" w:type="dxa"/>
          </w:tcPr>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60" w:lineRule="exact"/>
              <w:ind w:firstLine="320" w:firstLineChars="100"/>
              <w:rPr>
                <w:rFonts w:ascii="仿宋_GB2312" w:hAnsi="宋体" w:eastAsia="仿宋_GB2312"/>
                <w:sz w:val="32"/>
                <w:szCs w:val="32"/>
              </w:rPr>
            </w:pPr>
            <w:r>
              <w:rPr>
                <w:rFonts w:hint="eastAsia" w:ascii="仿宋_GB2312" w:hAnsi="宋体" w:eastAsia="仿宋_GB2312"/>
                <w:sz w:val="32"/>
                <w:szCs w:val="32"/>
              </w:rPr>
              <w:t>1</w:t>
            </w:r>
          </w:p>
        </w:tc>
        <w:tc>
          <w:tcPr>
            <w:tcW w:w="4616" w:type="dxa"/>
          </w:tcPr>
          <w:p>
            <w:p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rPr>
              <w:t>叶城</w:t>
            </w:r>
            <w:r>
              <w:rPr>
                <w:rFonts w:hint="eastAsia" w:ascii="仿宋_GB2312" w:hAnsi="宋体" w:eastAsia="仿宋_GB2312"/>
                <w:sz w:val="32"/>
                <w:szCs w:val="32"/>
                <w:lang w:eastAsia="zh-CN"/>
              </w:rPr>
              <w:t>县委组织部</w:t>
            </w:r>
          </w:p>
        </w:tc>
        <w:tc>
          <w:tcPr>
            <w:tcW w:w="2841" w:type="dxa"/>
          </w:tcPr>
          <w:p>
            <w:pPr>
              <w:spacing w:line="560" w:lineRule="exact"/>
              <w:ind w:firstLine="640" w:firstLineChars="200"/>
              <w:rPr>
                <w:rFonts w:ascii="仿宋_GB2312" w:hAnsi="宋体" w:eastAsia="仿宋_GB2312"/>
                <w:sz w:val="32"/>
                <w:szCs w:val="32"/>
              </w:rPr>
            </w:pPr>
          </w:p>
        </w:tc>
      </w:tr>
    </w:tbl>
    <w:p>
      <w:pPr>
        <w:spacing w:line="560" w:lineRule="exact"/>
        <w:ind w:firstLine="640" w:firstLineChars="200"/>
        <w:rPr>
          <w:rFonts w:ascii="仿宋_GB2312" w:hAnsi="宋体" w:eastAsia="仿宋_GB2312"/>
          <w:sz w:val="32"/>
          <w:szCs w:val="32"/>
        </w:rPr>
      </w:pPr>
      <w:bookmarkStart w:id="0" w:name="YS060102"/>
      <w:r>
        <w:rPr>
          <w:rFonts w:hint="eastAsia" w:ascii="仿宋_GB2312" w:hAnsi="宋体" w:eastAsia="仿宋_GB2312"/>
          <w:sz w:val="32"/>
          <w:szCs w:val="32"/>
        </w:rPr>
        <w:t>四、机构设置</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根据职责，纳入2016年部门决算编制范围的有9个内设机构。</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机关工委、人才办、基层办、组织科、干部科、办公室、干训科、调研室等。</w:t>
      </w:r>
    </w:p>
    <w:p>
      <w:pPr>
        <w:snapToGrid w:val="0"/>
        <w:spacing w:line="560" w:lineRule="exact"/>
        <w:jc w:val="center"/>
        <w:rPr>
          <w:rFonts w:ascii="仿宋_GB2312" w:hAnsi="宋体" w:eastAsia="仿宋_GB2312"/>
          <w:b/>
          <w:bCs/>
          <w:sz w:val="32"/>
          <w:szCs w:val="32"/>
        </w:rPr>
      </w:pPr>
      <w:r>
        <w:rPr>
          <w:rFonts w:hint="eastAsia" w:ascii="仿宋_GB2312" w:hAnsi="宋体" w:eastAsia="仿宋_GB2312" w:cs="仿宋_GB2312"/>
          <w:b/>
          <w:bCs/>
          <w:sz w:val="32"/>
          <w:szCs w:val="32"/>
        </w:rPr>
        <w:t xml:space="preserve">第二部分 </w:t>
      </w:r>
      <w:r>
        <w:rPr>
          <w:rFonts w:hint="eastAsia" w:ascii="仿宋_GB2312" w:eastAsia="仿宋_GB2312" w:cs="仿宋_GB2312"/>
          <w:b/>
          <w:sz w:val="32"/>
          <w:szCs w:val="32"/>
        </w:rPr>
        <w:t>叶城</w:t>
      </w:r>
      <w:r>
        <w:rPr>
          <w:rFonts w:hint="eastAsia" w:ascii="仿宋_GB2312" w:eastAsia="仿宋_GB2312" w:cs="仿宋_GB2312"/>
          <w:b/>
          <w:sz w:val="32"/>
          <w:szCs w:val="32"/>
          <w:lang w:eastAsia="zh-CN"/>
        </w:rPr>
        <w:t>县委组织部</w:t>
      </w:r>
      <w:r>
        <w:rPr>
          <w:rFonts w:hint="eastAsia" w:ascii="仿宋_GB2312" w:hAnsi="宋体" w:eastAsia="仿宋_GB2312" w:cs="仿宋_GB2312"/>
          <w:b/>
          <w:bCs/>
          <w:sz w:val="32"/>
          <w:szCs w:val="32"/>
        </w:rPr>
        <w:t>2016年度部门决算报表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一、收入支出决算总表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二、财政拨款收入支出决算总表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三、收入支出决算表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四、收入决算表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五、支出决算表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六、支出决算明细表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七、基本支出决算明细表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八、项目支出决算明细表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九、项目收入支出决算表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十、行政事业类项目收入支出决算表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十一、基本建设类项目收入支出决算表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十二、一般公共预算财政拨款收入支出决算表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十三、一般公共预算财政拨款支出决算明细表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十四、一般公共预算财政拨款基本支出决算表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十五、一般公共预算财政拨款项目支出决算表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十六、政府性基金预算财政拨款收入支出决算表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十七、政府性基金预算财政拨款基本支出决算明细表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十八、政府性基金预算财政拨款项目支出决算明细表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十九、政府性基金预算财政拨款支出决算明细表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二十、财政专户管理资金收入支出决算表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二十一、资产负债表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二十二、资产情况表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二十三、部门决算相关信息统计表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二十四、政府采购情况表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二十五、2016年项目支出专项资金决算公开表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二十六、2016年对个人和家庭的补助项目支出专项资金决算公开表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二十七、2016年度财政拨款“三公”经费支出表及说明</w:t>
      </w:r>
    </w:p>
    <w:p>
      <w:pPr>
        <w:snapToGrid w:val="0"/>
        <w:spacing w:line="560" w:lineRule="exact"/>
        <w:jc w:val="center"/>
        <w:rPr>
          <w:rFonts w:ascii="仿宋_GB2312" w:hAnsi="宋体" w:eastAsia="仿宋_GB2312"/>
          <w:b/>
          <w:bCs/>
          <w:sz w:val="32"/>
          <w:szCs w:val="32"/>
        </w:rPr>
      </w:pPr>
      <w:r>
        <w:rPr>
          <w:rFonts w:hint="eastAsia" w:ascii="仿宋_GB2312" w:hAnsi="宋体" w:eastAsia="仿宋_GB2312" w:cs="仿宋_GB2312"/>
          <w:b/>
          <w:bCs/>
          <w:sz w:val="32"/>
          <w:szCs w:val="32"/>
        </w:rPr>
        <w:t xml:space="preserve">第三部分  </w:t>
      </w:r>
      <w:r>
        <w:rPr>
          <w:rFonts w:hint="eastAsia" w:ascii="仿宋_GB2312" w:eastAsia="仿宋_GB2312" w:cs="仿宋_GB2312"/>
          <w:b/>
          <w:sz w:val="32"/>
          <w:szCs w:val="32"/>
        </w:rPr>
        <w:t>叶城</w:t>
      </w:r>
      <w:r>
        <w:rPr>
          <w:rFonts w:hint="eastAsia" w:ascii="仿宋_GB2312" w:eastAsia="仿宋_GB2312" w:cs="仿宋_GB2312"/>
          <w:b/>
          <w:sz w:val="32"/>
          <w:szCs w:val="32"/>
          <w:lang w:eastAsia="zh-CN"/>
        </w:rPr>
        <w:t>县委组织部</w:t>
      </w:r>
      <w:r>
        <w:rPr>
          <w:rFonts w:hint="eastAsia" w:ascii="仿宋_GB2312" w:hAnsi="宋体" w:eastAsia="仿宋_GB2312" w:cs="仿宋_GB2312"/>
          <w:b/>
          <w:bCs/>
          <w:sz w:val="32"/>
          <w:szCs w:val="32"/>
        </w:rPr>
        <w:t>2016年度部门决算情况说明</w:t>
      </w:r>
    </w:p>
    <w:p>
      <w:pPr>
        <w:snapToGrid w:val="0"/>
        <w:spacing w:line="560" w:lineRule="exact"/>
        <w:ind w:left="149" w:leftChars="71" w:firstLine="480" w:firstLineChars="150"/>
        <w:rPr>
          <w:rFonts w:ascii="仿宋_GB2312" w:hAnsi="宋体" w:eastAsia="仿宋_GB2312"/>
          <w:sz w:val="32"/>
          <w:szCs w:val="32"/>
        </w:rPr>
      </w:pPr>
      <w:r>
        <w:rPr>
          <w:rFonts w:hint="eastAsia" w:ascii="仿宋_GB2312" w:hAnsi="宋体" w:eastAsia="仿宋_GB2312" w:cs="仿宋_GB2312"/>
          <w:sz w:val="32"/>
          <w:szCs w:val="32"/>
        </w:rPr>
        <w:t>一、部门收入支出决算总体情况说明：</w:t>
      </w:r>
    </w:p>
    <w:p>
      <w:pPr>
        <w:snapToGrid w:val="0"/>
        <w:spacing w:line="560" w:lineRule="exact"/>
        <w:ind w:left="149" w:leftChars="71" w:firstLine="480" w:firstLineChars="150"/>
        <w:rPr>
          <w:rFonts w:ascii="仿宋_GB2312" w:hAnsi="宋体" w:eastAsia="仿宋_GB2312"/>
          <w:sz w:val="32"/>
          <w:szCs w:val="32"/>
        </w:rPr>
      </w:pPr>
      <w:r>
        <w:rPr>
          <w:rFonts w:hint="eastAsia" w:ascii="仿宋_GB2312" w:hAnsi="宋体" w:eastAsia="仿宋_GB2312" w:cs="仿宋_GB2312"/>
          <w:sz w:val="32"/>
          <w:szCs w:val="32"/>
        </w:rPr>
        <w:t>2016年全年收入合计</w:t>
      </w:r>
      <w:r>
        <w:rPr>
          <w:rFonts w:hint="eastAsia" w:ascii="仿宋_GB2312" w:hAnsi="宋体" w:eastAsia="仿宋_GB2312"/>
          <w:sz w:val="32"/>
          <w:szCs w:val="32"/>
        </w:rPr>
        <w:t>193,904,238.40</w:t>
      </w:r>
      <w:r>
        <w:rPr>
          <w:rFonts w:hint="eastAsia" w:ascii="仿宋_GB2312" w:hAnsi="宋体" w:eastAsia="仿宋_GB2312" w:cs="仿宋_GB2312"/>
          <w:sz w:val="32"/>
          <w:szCs w:val="32"/>
        </w:rPr>
        <w:t>元，支出合计</w:t>
      </w:r>
      <w:r>
        <w:rPr>
          <w:rFonts w:hint="eastAsia" w:ascii="仿宋_GB2312" w:hAnsi="宋体" w:eastAsia="仿宋_GB2312"/>
          <w:sz w:val="32"/>
          <w:szCs w:val="32"/>
        </w:rPr>
        <w:t>193,904,238.40</w:t>
      </w:r>
      <w:r>
        <w:rPr>
          <w:rFonts w:hint="eastAsia" w:ascii="仿宋_GB2312" w:hAnsi="宋体" w:eastAsia="仿宋_GB2312" w:cs="仿宋_GB2312"/>
          <w:sz w:val="32"/>
          <w:szCs w:val="32"/>
        </w:rPr>
        <w:t>元，其中基本支出</w:t>
      </w:r>
      <w:r>
        <w:rPr>
          <w:rFonts w:hint="eastAsia" w:ascii="仿宋_GB2312" w:hAnsi="宋体" w:eastAsia="仿宋_GB2312"/>
          <w:sz w:val="32"/>
          <w:szCs w:val="32"/>
        </w:rPr>
        <w:t>6,006,538.40</w:t>
      </w:r>
      <w:r>
        <w:rPr>
          <w:rFonts w:hint="eastAsia" w:ascii="仿宋_GB2312" w:hAnsi="宋体" w:eastAsia="仿宋_GB2312" w:cs="仿宋_GB2312"/>
          <w:sz w:val="32"/>
          <w:szCs w:val="32"/>
        </w:rPr>
        <w:t>元，项目支出</w:t>
      </w:r>
      <w:r>
        <w:rPr>
          <w:rFonts w:hint="eastAsia" w:ascii="仿宋_GB2312" w:hAnsi="宋体" w:eastAsia="仿宋_GB2312"/>
          <w:sz w:val="32"/>
          <w:szCs w:val="32"/>
        </w:rPr>
        <w:t>187,897,700.00</w:t>
      </w:r>
      <w:r>
        <w:rPr>
          <w:rFonts w:hint="eastAsia" w:ascii="仿宋_GB2312" w:hAnsi="宋体" w:eastAsia="仿宋_GB2312" w:cs="仿宋_GB2312"/>
          <w:sz w:val="32"/>
          <w:szCs w:val="32"/>
        </w:rPr>
        <w:t>元。</w:t>
      </w:r>
    </w:p>
    <w:bookmarkEnd w:id="0"/>
    <w:p>
      <w:pPr>
        <w:numPr>
          <w:ilvl w:val="0"/>
          <w:numId w:val="1"/>
        </w:numPr>
        <w:snapToGrid w:val="0"/>
        <w:spacing w:line="560" w:lineRule="exact"/>
        <w:rPr>
          <w:rFonts w:ascii="仿宋_GB2312" w:hAnsi="宋体" w:eastAsia="仿宋_GB2312"/>
          <w:sz w:val="32"/>
          <w:szCs w:val="32"/>
        </w:rPr>
      </w:pPr>
      <w:r>
        <w:rPr>
          <w:rFonts w:hint="eastAsia" w:ascii="仿宋_GB2312" w:hAnsi="宋体" w:eastAsia="仿宋_GB2312" w:cs="仿宋_GB2312"/>
          <w:sz w:val="32"/>
          <w:szCs w:val="32"/>
        </w:rPr>
        <w:t>收入情况说明</w:t>
      </w:r>
    </w:p>
    <w:p>
      <w:pPr>
        <w:snapToGrid w:val="0"/>
        <w:spacing w:line="560" w:lineRule="exact"/>
        <w:ind w:left="147" w:leftChars="70" w:firstLine="480" w:firstLineChars="150"/>
        <w:rPr>
          <w:rFonts w:ascii="仿宋_GB2312" w:hAnsi="宋体" w:eastAsia="仿宋_GB2312"/>
          <w:sz w:val="32"/>
          <w:szCs w:val="32"/>
        </w:rPr>
      </w:pPr>
      <w:r>
        <w:rPr>
          <w:rFonts w:hint="eastAsia" w:ascii="仿宋_GB2312" w:hAnsi="宋体" w:eastAsia="仿宋_GB2312" w:cs="仿宋_GB2312"/>
          <w:sz w:val="32"/>
          <w:szCs w:val="32"/>
        </w:rPr>
        <w:t>2016年本年收入合计</w:t>
      </w:r>
      <w:r>
        <w:rPr>
          <w:rFonts w:hint="eastAsia" w:ascii="仿宋_GB2312" w:hAnsi="宋体" w:eastAsia="仿宋_GB2312"/>
          <w:sz w:val="32"/>
          <w:szCs w:val="32"/>
        </w:rPr>
        <w:t>193,904,238.40</w:t>
      </w:r>
      <w:r>
        <w:rPr>
          <w:rFonts w:hint="eastAsia" w:ascii="仿宋_GB2312" w:hAnsi="宋体" w:eastAsia="仿宋_GB2312" w:cs="仿宋_GB2312"/>
          <w:sz w:val="32"/>
          <w:szCs w:val="32"/>
        </w:rPr>
        <w:t>元，其中：财政拨款收入</w:t>
      </w:r>
      <w:r>
        <w:rPr>
          <w:rFonts w:hint="eastAsia" w:ascii="仿宋_GB2312" w:hAnsi="宋体" w:eastAsia="仿宋_GB2312"/>
          <w:sz w:val="32"/>
          <w:szCs w:val="32"/>
        </w:rPr>
        <w:t>179,904,238.40</w:t>
      </w:r>
      <w:r>
        <w:rPr>
          <w:rFonts w:hint="eastAsia" w:ascii="仿宋_GB2312" w:hAnsi="宋体" w:eastAsia="仿宋_GB2312" w:cs="仿宋_GB2312"/>
          <w:sz w:val="32"/>
          <w:szCs w:val="32"/>
        </w:rPr>
        <w:t>元，无事业收入，无经营收入，其他收入14,000,000元。</w:t>
      </w:r>
    </w:p>
    <w:p>
      <w:pPr>
        <w:snapToGrid w:val="0"/>
        <w:spacing w:line="560" w:lineRule="exact"/>
        <w:ind w:left="147" w:leftChars="70" w:firstLine="480" w:firstLineChars="150"/>
        <w:rPr>
          <w:rFonts w:ascii="仿宋_GB2312" w:hAnsi="宋体" w:eastAsia="仿宋_GB2312"/>
          <w:sz w:val="32"/>
          <w:szCs w:val="32"/>
        </w:rPr>
      </w:pPr>
      <w:r>
        <w:rPr>
          <w:rFonts w:hint="eastAsia" w:ascii="仿宋_GB2312" w:hAnsi="宋体" w:eastAsia="仿宋_GB2312" w:cs="仿宋_GB2312"/>
          <w:sz w:val="32"/>
          <w:szCs w:val="32"/>
        </w:rPr>
        <w:t>三、支出情况说明</w:t>
      </w:r>
    </w:p>
    <w:p>
      <w:pPr>
        <w:snapToGrid w:val="0"/>
        <w:spacing w:line="560" w:lineRule="exact"/>
        <w:ind w:left="210" w:leftChars="100" w:firstLine="480" w:firstLineChars="150"/>
        <w:rPr>
          <w:rFonts w:ascii="仿宋_GB2312" w:hAnsi="宋体" w:eastAsia="仿宋_GB2312"/>
          <w:sz w:val="32"/>
          <w:szCs w:val="32"/>
        </w:rPr>
      </w:pPr>
      <w:r>
        <w:rPr>
          <w:rFonts w:hint="eastAsia" w:ascii="仿宋_GB2312" w:hAnsi="宋体" w:eastAsia="仿宋_GB2312" w:cs="仿宋_GB2312"/>
          <w:sz w:val="32"/>
          <w:szCs w:val="32"/>
        </w:rPr>
        <w:t>本年支出合计</w:t>
      </w:r>
      <w:r>
        <w:rPr>
          <w:rFonts w:hint="eastAsia" w:ascii="仿宋_GB2312" w:hAnsi="宋体" w:eastAsia="仿宋_GB2312"/>
          <w:sz w:val="32"/>
          <w:szCs w:val="32"/>
        </w:rPr>
        <w:t>193,904,238.40</w:t>
      </w:r>
      <w:r>
        <w:rPr>
          <w:rFonts w:hint="eastAsia" w:ascii="仿宋_GB2312" w:hAnsi="宋体" w:eastAsia="仿宋_GB2312" w:cs="仿宋_GB2312"/>
          <w:sz w:val="32"/>
          <w:szCs w:val="32"/>
        </w:rPr>
        <w:t>元，其中：基本支出</w:t>
      </w:r>
      <w:r>
        <w:rPr>
          <w:rFonts w:hint="eastAsia" w:ascii="仿宋_GB2312" w:hAnsi="宋体" w:eastAsia="仿宋_GB2312"/>
          <w:sz w:val="32"/>
          <w:szCs w:val="32"/>
        </w:rPr>
        <w:t>6,006,538.40</w:t>
      </w:r>
      <w:r>
        <w:rPr>
          <w:rFonts w:hint="eastAsia" w:ascii="仿宋_GB2312" w:hAnsi="宋体" w:eastAsia="仿宋_GB2312" w:cs="仿宋_GB2312"/>
          <w:sz w:val="32"/>
          <w:szCs w:val="32"/>
        </w:rPr>
        <w:t>元，项目支出</w:t>
      </w:r>
      <w:r>
        <w:rPr>
          <w:rFonts w:hint="eastAsia" w:ascii="仿宋_GB2312" w:hAnsi="宋体" w:eastAsia="仿宋_GB2312"/>
          <w:sz w:val="32"/>
          <w:szCs w:val="32"/>
        </w:rPr>
        <w:t>187,897,700.00</w:t>
      </w:r>
      <w:r>
        <w:rPr>
          <w:rFonts w:hint="eastAsia" w:ascii="仿宋_GB2312" w:hAnsi="宋体" w:eastAsia="仿宋_GB2312" w:cs="仿宋_GB2312"/>
          <w:sz w:val="32"/>
          <w:szCs w:val="32"/>
        </w:rPr>
        <w:t>元，无经营支出。</w:t>
      </w:r>
    </w:p>
    <w:p>
      <w:pPr>
        <w:snapToGrid w:val="0"/>
        <w:spacing w:line="560" w:lineRule="exact"/>
        <w:ind w:left="210" w:leftChars="100" w:firstLine="480" w:firstLineChars="150"/>
        <w:rPr>
          <w:rFonts w:ascii="仿宋_GB2312" w:hAnsi="宋体" w:eastAsia="仿宋_GB2312"/>
          <w:sz w:val="32"/>
          <w:szCs w:val="32"/>
        </w:rPr>
      </w:pPr>
      <w:r>
        <w:rPr>
          <w:rFonts w:hint="eastAsia" w:ascii="仿宋_GB2312" w:hAnsi="宋体" w:eastAsia="仿宋_GB2312" w:cs="仿宋_GB2312"/>
          <w:sz w:val="32"/>
          <w:szCs w:val="32"/>
        </w:rPr>
        <w:t>四、年末结转结余情况说明</w:t>
      </w:r>
    </w:p>
    <w:p>
      <w:pPr>
        <w:snapToGrid w:val="0"/>
        <w:spacing w:line="560" w:lineRule="exact"/>
        <w:ind w:left="149" w:leftChars="71" w:firstLine="480" w:firstLineChars="150"/>
        <w:rPr>
          <w:rFonts w:ascii="仿宋_GB2312" w:hAnsi="宋体" w:eastAsia="仿宋_GB2312"/>
          <w:sz w:val="32"/>
          <w:szCs w:val="32"/>
        </w:rPr>
      </w:pPr>
      <w:r>
        <w:rPr>
          <w:rFonts w:hint="eastAsia" w:ascii="仿宋_GB2312" w:hAnsi="宋体" w:eastAsia="仿宋_GB2312" w:cs="仿宋_GB2312"/>
          <w:sz w:val="32"/>
          <w:szCs w:val="32"/>
        </w:rPr>
        <w:t>2016年结转结余资金0元（其中：财政拨款基本支出结转结余0元，主要为本年无年末结转结余资金，项目支出结转结余0元，主要为本年无年末结转结余资金）。</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五、“三公”经费、会议费和培训费支出情况说明</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2016年“三公”经费实际支出</w:t>
      </w:r>
      <w:r>
        <w:rPr>
          <w:rFonts w:hint="eastAsia" w:ascii="仿宋_GB2312" w:hAnsi="宋体" w:eastAsia="仿宋_GB2312"/>
          <w:sz w:val="32"/>
          <w:szCs w:val="32"/>
        </w:rPr>
        <w:t>59900</w:t>
      </w:r>
      <w:r>
        <w:rPr>
          <w:rFonts w:hint="eastAsia" w:ascii="仿宋_GB2312" w:hAnsi="宋体" w:eastAsia="仿宋_GB2312" w:cs="仿宋_GB2312"/>
          <w:sz w:val="32"/>
          <w:szCs w:val="32"/>
        </w:rPr>
        <w:t>元，其中：因公出国费用0批次，共组团0批次0人次,无出国事由；公务接待费</w:t>
      </w:r>
      <w:r>
        <w:rPr>
          <w:rFonts w:hint="eastAsia" w:ascii="仿宋_GB2312" w:hAnsi="宋体" w:eastAsia="仿宋_GB2312"/>
          <w:sz w:val="32"/>
          <w:szCs w:val="32"/>
        </w:rPr>
        <w:t>14,900.00</w:t>
      </w:r>
      <w:r>
        <w:rPr>
          <w:rFonts w:hint="eastAsia" w:ascii="仿宋_GB2312" w:hAnsi="宋体" w:eastAsia="仿宋_GB2312" w:cs="仿宋_GB2312"/>
          <w:sz w:val="32"/>
          <w:szCs w:val="32"/>
        </w:rPr>
        <w:t>元，共接待</w:t>
      </w:r>
      <w:r>
        <w:rPr>
          <w:rFonts w:hint="eastAsia" w:ascii="仿宋_GB2312" w:hAnsi="宋体" w:eastAsia="仿宋_GB2312"/>
          <w:sz w:val="32"/>
          <w:szCs w:val="32"/>
        </w:rPr>
        <w:t>32</w:t>
      </w:r>
      <w:r>
        <w:rPr>
          <w:rFonts w:hint="eastAsia" w:ascii="仿宋_GB2312" w:hAnsi="宋体" w:eastAsia="仿宋_GB2312" w:cs="仿宋_GB2312"/>
          <w:sz w:val="32"/>
          <w:szCs w:val="32"/>
        </w:rPr>
        <w:t>批次</w:t>
      </w:r>
      <w:r>
        <w:rPr>
          <w:rFonts w:hint="eastAsia" w:ascii="仿宋_GB2312" w:hAnsi="宋体" w:eastAsia="仿宋_GB2312"/>
          <w:sz w:val="32"/>
          <w:szCs w:val="32"/>
        </w:rPr>
        <w:t>59</w:t>
      </w:r>
      <w:r>
        <w:rPr>
          <w:rFonts w:hint="eastAsia" w:ascii="仿宋_GB2312" w:hAnsi="宋体" w:eastAsia="仿宋_GB2312" w:cs="仿宋_GB2312"/>
          <w:sz w:val="32"/>
          <w:szCs w:val="32"/>
        </w:rPr>
        <w:t>人次；无公务用车购置，年末公务用车保有量为</w:t>
      </w:r>
      <w:r>
        <w:rPr>
          <w:rFonts w:hint="eastAsia" w:ascii="仿宋_GB2312" w:hAnsi="宋体" w:eastAsia="仿宋_GB2312"/>
          <w:sz w:val="32"/>
          <w:szCs w:val="32"/>
        </w:rPr>
        <w:t>2</w:t>
      </w:r>
      <w:r>
        <w:rPr>
          <w:rFonts w:hint="eastAsia" w:ascii="仿宋_GB2312" w:hAnsi="宋体" w:eastAsia="仿宋_GB2312" w:cs="仿宋_GB2312"/>
          <w:sz w:val="32"/>
          <w:szCs w:val="32"/>
        </w:rPr>
        <w:t>辆；公务用车维护费</w:t>
      </w:r>
      <w:r>
        <w:rPr>
          <w:rFonts w:hint="eastAsia" w:ascii="仿宋_GB2312" w:hAnsi="宋体" w:eastAsia="仿宋_GB2312"/>
          <w:sz w:val="32"/>
          <w:szCs w:val="32"/>
        </w:rPr>
        <w:t>45,000.00</w:t>
      </w:r>
      <w:r>
        <w:rPr>
          <w:rFonts w:hint="eastAsia" w:ascii="仿宋_GB2312" w:hAnsi="宋体" w:eastAsia="仿宋_GB2312" w:cs="仿宋_GB2312"/>
          <w:sz w:val="32"/>
          <w:szCs w:val="32"/>
        </w:rPr>
        <w:t>元。</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“三公”经费较上年相比</w:t>
      </w:r>
      <w:r>
        <w:rPr>
          <w:rFonts w:hint="eastAsia" w:ascii="仿宋_GB2312" w:hAnsi="宋体" w:eastAsia="仿宋_GB2312"/>
          <w:sz w:val="32"/>
          <w:szCs w:val="32"/>
        </w:rPr>
        <w:t>多支出44,900.00</w:t>
      </w:r>
      <w:r>
        <w:rPr>
          <w:rFonts w:hint="eastAsia" w:ascii="仿宋_GB2312" w:hAnsi="宋体" w:eastAsia="仿宋_GB2312" w:cs="仿宋_GB2312"/>
          <w:sz w:val="32"/>
          <w:szCs w:val="32"/>
        </w:rPr>
        <w:t>元，其中：公务用车维护费</w:t>
      </w:r>
      <w:r>
        <w:rPr>
          <w:rFonts w:hint="eastAsia" w:ascii="仿宋_GB2312" w:hAnsi="宋体" w:eastAsia="仿宋_GB2312"/>
          <w:sz w:val="32"/>
          <w:szCs w:val="32"/>
        </w:rPr>
        <w:t>多支出45,000.00</w:t>
      </w:r>
      <w:r>
        <w:rPr>
          <w:rFonts w:hint="eastAsia" w:ascii="仿宋_GB2312" w:hAnsi="宋体" w:eastAsia="仿宋_GB2312" w:cs="仿宋_GB2312"/>
          <w:sz w:val="32"/>
          <w:szCs w:val="32"/>
        </w:rPr>
        <w:t>元,公务接待费</w:t>
      </w:r>
      <w:r>
        <w:rPr>
          <w:rFonts w:hint="eastAsia" w:ascii="仿宋_GB2312" w:hAnsi="宋体" w:eastAsia="仿宋_GB2312"/>
          <w:sz w:val="32"/>
          <w:szCs w:val="32"/>
        </w:rPr>
        <w:t>少支出100.00</w:t>
      </w:r>
      <w:r>
        <w:rPr>
          <w:rFonts w:hint="eastAsia" w:ascii="仿宋_GB2312" w:hAnsi="宋体" w:eastAsia="仿宋_GB2312" w:cs="仿宋_GB2312"/>
          <w:sz w:val="32"/>
          <w:szCs w:val="32"/>
        </w:rPr>
        <w:t>元；无公务用车购置费，无因公出国费用。主要原因为：</w:t>
      </w:r>
      <w:r>
        <w:rPr>
          <w:rFonts w:hint="eastAsia" w:ascii="仿宋_GB2312" w:hAnsi="宋体" w:eastAsia="仿宋_GB2312"/>
          <w:sz w:val="32"/>
          <w:szCs w:val="32"/>
        </w:rPr>
        <w:t>因2016年以前公务用车在县委，固定资产账未划拨给组织部。现已划拨，所以增加公务用车运行维护费。</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2016年会议费0元，主要是： 本单位无会议费。</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2016年培训费0元，主要是：本单位无培训费。</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六、预算执行情况说明</w:t>
      </w:r>
    </w:p>
    <w:p>
      <w:pPr>
        <w:snapToGrid w:val="0"/>
        <w:spacing w:line="560" w:lineRule="exact"/>
        <w:ind w:firstLine="640" w:firstLineChars="200"/>
        <w:jc w:val="left"/>
        <w:rPr>
          <w:rFonts w:ascii="仿宋_GB2312" w:hAnsi="宋体" w:eastAsia="仿宋_GB2312" w:cs="仿宋_GB2312"/>
          <w:sz w:val="32"/>
          <w:szCs w:val="32"/>
        </w:rPr>
      </w:pPr>
      <w:r>
        <w:rPr>
          <w:rFonts w:hint="eastAsia" w:ascii="仿宋_GB2312" w:hAnsi="宋体" w:eastAsia="仿宋_GB2312" w:cs="仿宋_GB2312"/>
          <w:sz w:val="32"/>
          <w:szCs w:val="32"/>
        </w:rPr>
        <w:t>2016年本年收入</w:t>
      </w:r>
      <w:r>
        <w:rPr>
          <w:rFonts w:hint="eastAsia" w:ascii="仿宋_GB2312" w:hAnsi="宋体" w:eastAsia="仿宋_GB2312"/>
          <w:sz w:val="32"/>
          <w:szCs w:val="32"/>
        </w:rPr>
        <w:t>193,904,238.40</w:t>
      </w:r>
      <w:r>
        <w:rPr>
          <w:rFonts w:hint="eastAsia" w:ascii="仿宋_GB2312" w:hAnsi="宋体" w:eastAsia="仿宋_GB2312" w:cs="仿宋_GB2312"/>
          <w:sz w:val="32"/>
          <w:szCs w:val="32"/>
        </w:rPr>
        <w:t>元，比2015年减少53,134,472.41元，减少原因：各类工程类项目建设资金减少。</w:t>
      </w:r>
    </w:p>
    <w:p>
      <w:pPr>
        <w:snapToGrid w:val="0"/>
        <w:spacing w:line="560" w:lineRule="exact"/>
        <w:ind w:firstLine="640" w:firstLineChars="200"/>
        <w:jc w:val="left"/>
        <w:rPr>
          <w:rFonts w:ascii="仿宋_GB2312" w:hAnsi="宋体" w:eastAsia="仿宋_GB2312" w:cs="仿宋_GB2312"/>
          <w:sz w:val="32"/>
          <w:szCs w:val="32"/>
        </w:rPr>
      </w:pPr>
      <w:r>
        <w:rPr>
          <w:rFonts w:hint="eastAsia" w:ascii="仿宋_GB2312" w:hAnsi="宋体" w:eastAsia="仿宋_GB2312" w:cs="仿宋_GB2312"/>
          <w:sz w:val="32"/>
          <w:szCs w:val="32"/>
        </w:rPr>
        <w:t xml:space="preserve">2016年本年支出193,904,238.40元，比2015年减少53,134,472.41元，减少原因：各类工程类项目建设资金减少。 </w:t>
      </w:r>
    </w:p>
    <w:p>
      <w:pPr>
        <w:snapToGrid w:val="0"/>
        <w:spacing w:line="560" w:lineRule="exact"/>
        <w:ind w:firstLine="480" w:firstLineChars="150"/>
        <w:rPr>
          <w:rFonts w:ascii="仿宋_GB2312" w:hAnsi="宋体" w:eastAsia="仿宋_GB2312" w:cs="仿宋_GB2312"/>
          <w:sz w:val="32"/>
          <w:szCs w:val="32"/>
        </w:rPr>
      </w:pPr>
      <w:r>
        <w:rPr>
          <w:rFonts w:hint="eastAsia" w:ascii="仿宋_GB2312" w:hAnsi="宋体" w:eastAsia="仿宋_GB2312" w:cs="仿宋_GB2312"/>
          <w:sz w:val="32"/>
          <w:szCs w:val="32"/>
        </w:rPr>
        <w:t>2016年财政拨款支出179,904,238.40元，年初预算数124,527,584.48元，差异原因为2016年提高干部职工工资标准及 部分财政拨款项目年初未</w:t>
      </w:r>
      <w:r>
        <w:rPr>
          <w:rFonts w:hint="eastAsia" w:ascii="仿宋_GB2312" w:hAnsi="宋体" w:eastAsia="仿宋_GB2312" w:cs="仿宋_GB2312"/>
          <w:sz w:val="32"/>
          <w:szCs w:val="32"/>
          <w:lang w:eastAsia="zh-CN"/>
        </w:rPr>
        <w:t>安</w:t>
      </w:r>
      <w:r>
        <w:rPr>
          <w:rFonts w:hint="eastAsia" w:ascii="仿宋_GB2312" w:hAnsi="宋体" w:eastAsia="仿宋_GB2312" w:cs="仿宋_GB2312"/>
          <w:sz w:val="32"/>
          <w:szCs w:val="32"/>
        </w:rPr>
        <w:t>排预算。</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七、决算公开其他重要事项情况说明</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（一）机关运行经费支出情况</w:t>
      </w:r>
    </w:p>
    <w:p>
      <w:pPr>
        <w:snapToGrid w:val="0"/>
        <w:spacing w:line="560" w:lineRule="exact"/>
        <w:ind w:firstLine="640" w:firstLineChars="200"/>
        <w:jc w:val="left"/>
        <w:rPr>
          <w:rFonts w:ascii="仿宋_GB2312" w:hAnsi="宋体" w:eastAsia="仿宋_GB2312" w:cs="仿宋_GB2312"/>
          <w:sz w:val="32"/>
          <w:szCs w:val="32"/>
        </w:rPr>
      </w:pPr>
      <w:r>
        <w:rPr>
          <w:rFonts w:hint="eastAsia" w:ascii="仿宋_GB2312" w:hAnsi="宋体" w:eastAsia="仿宋_GB2312" w:cs="仿宋_GB2312"/>
          <w:sz w:val="32"/>
          <w:szCs w:val="32"/>
        </w:rPr>
        <w:t>2016年叶城</w:t>
      </w:r>
      <w:r>
        <w:rPr>
          <w:rFonts w:hint="eastAsia" w:ascii="仿宋_GB2312" w:hAnsi="宋体" w:eastAsia="仿宋_GB2312" w:cs="仿宋_GB2312"/>
          <w:sz w:val="32"/>
          <w:szCs w:val="32"/>
          <w:lang w:eastAsia="zh-CN"/>
        </w:rPr>
        <w:t>县委组织部</w:t>
      </w:r>
      <w:r>
        <w:rPr>
          <w:rFonts w:hint="eastAsia" w:ascii="仿宋_GB2312" w:hAnsi="宋体" w:eastAsia="仿宋_GB2312" w:cs="仿宋_GB2312"/>
          <w:sz w:val="32"/>
          <w:szCs w:val="32"/>
        </w:rPr>
        <w:t>机关运行经费支出171,000.00元，与上年相比增加7,000元，主要原因是：人员增加各类人员工资费用增加。</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（二）政府采购支出情况</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2016年，叶城</w:t>
      </w:r>
      <w:r>
        <w:rPr>
          <w:rFonts w:hint="eastAsia" w:ascii="仿宋_GB2312" w:hAnsi="宋体" w:eastAsia="仿宋_GB2312" w:cs="仿宋_GB2312"/>
          <w:sz w:val="32"/>
          <w:szCs w:val="32"/>
          <w:lang w:eastAsia="zh-CN"/>
        </w:rPr>
        <w:t>县委组织部</w:t>
      </w:r>
      <w:r>
        <w:rPr>
          <w:rFonts w:hint="eastAsia" w:ascii="仿宋_GB2312" w:hAnsi="宋体" w:eastAsia="仿宋_GB2312" w:cs="仿宋_GB2312"/>
          <w:sz w:val="32"/>
          <w:szCs w:val="32"/>
        </w:rPr>
        <w:t xml:space="preserve">政府采购支出总额164,199.00元，其中政府采购货物支出142,933.00元，政府采购工程支出0元，政府采购服务支出21,266.00元。喀什地区为偏远地区，参与招投标的供应商基本为中小微企业。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（三）国有资产占用情况</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截止2016年12月31日，本单位共有车辆2辆，其中一般公务用车2辆，一般工作用车0辆，专业用车0辆，其他车辆0辆，无其他用车，单位价值在50万元以上的设备0台（套），价值0元。</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（四）民生项目、重点支出项目绩效评价结果</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2016年，叶城</w:t>
      </w:r>
      <w:r>
        <w:rPr>
          <w:rFonts w:hint="eastAsia" w:ascii="仿宋_GB2312" w:hAnsi="宋体" w:eastAsia="仿宋_GB2312" w:cs="仿宋_GB2312"/>
          <w:sz w:val="32"/>
          <w:szCs w:val="32"/>
          <w:lang w:eastAsia="zh-CN"/>
        </w:rPr>
        <w:t>县委组织部</w:t>
      </w:r>
      <w:r>
        <w:rPr>
          <w:rFonts w:hint="eastAsia" w:ascii="仿宋_GB2312" w:hAnsi="宋体" w:eastAsia="仿宋_GB2312" w:cs="仿宋_GB2312"/>
          <w:sz w:val="32"/>
          <w:szCs w:val="32"/>
        </w:rPr>
        <w:t>共组织对 5 个项目进行了预算绩效评价，涉及一般公共预算当年财政拨款187,897,700.00元。绩效评价结果：项目的实施进一步保护和调动了农村基层干部的工作积极性，为农村基层干部安心基层、安心工作，解除了后顾之忧。为基层改善办公条件提供了财力保障，同时也为增强村级组织的凝聚力、战斗力，促进农村经济发展，维护农村社会奠定了坚实基础。各级工作组围绕总目标扎根基层，在转变干部作风、和谐、推进民生工程建设、加强基层组织建设等重点任务中取得了显著成效。</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（五）事业收入明细、经营收入明细</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按收入项目分别列示：本单位是行政单位，无事业收入和经营收入。</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八、专业名词解释</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（一）财政拨款收入：指单位本年度从本级财政部门取得得财政拨款。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（二）事业收入：指事业单位开展专业业务活动及辅助活动所取得的收入。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（三）经营收入：指事业单位在专业业务活动及其辅助活动之外开展非独立核算经营活动取得的收入。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（四）其他收入：指除上述“财政拨款收入”、“事业收入”、“经营收入”等以外的收入。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（六）年初结转和结余：指以前年度尚未完成、结转到本年按有关规定继续使用的资金。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（七）结余分配：指事业单位按规定提取的职工福利基</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金、事业基金和缴纳的所得税，以及建设单位按规定应交回的基本建设竣工项目结余资金。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（八）年末结转和结余：指本年度或以前年度预算安排、</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因客观条件发生变化无法按原计划实施，需要延迟到以后年度按有关规定继续使用的资金。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（九）基本支出：指为保障机构正常运转、完成日常工作任务而发生的人员支出和公用支出。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（十）项目支出：指在基本支出之外为完成特定行政任务和事业发展目标所发生的支出。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（十一）经营支出：指事业单位在专业业务活动及其辅助活动之外开展非独立核算经营活动发生的支出。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十二）“三公”经费：纳入财政预决算管理的“三公”经费，是指各单位用财政拨款安排的因公出国费、公务用车购置及运行费和公务接待费。其中，因公出国费反映单位公务出国的国际旅费、国外城市间交通费、住宿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三）机关运行经费：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056E6B"/>
    <w:multiLevelType w:val="multilevel"/>
    <w:tmpl w:val="51056E6B"/>
    <w:lvl w:ilvl="0" w:tentative="0">
      <w:start w:val="2"/>
      <w:numFmt w:val="japaneseCounting"/>
      <w:lvlText w:val="%1、"/>
      <w:lvlJc w:val="left"/>
      <w:pPr>
        <w:ind w:left="1320" w:hanging="720"/>
      </w:pPr>
      <w:rPr>
        <w:rFonts w:hint="default" w:cs="Times New Roman"/>
      </w:rPr>
    </w:lvl>
    <w:lvl w:ilvl="1" w:tentative="0">
      <w:start w:val="1"/>
      <w:numFmt w:val="lowerLetter"/>
      <w:lvlText w:val="%2)"/>
      <w:lvlJc w:val="left"/>
      <w:pPr>
        <w:ind w:left="1440" w:hanging="420"/>
      </w:pPr>
      <w:rPr>
        <w:rFonts w:cs="Times New Roman"/>
      </w:rPr>
    </w:lvl>
    <w:lvl w:ilvl="2" w:tentative="0">
      <w:start w:val="1"/>
      <w:numFmt w:val="lowerRoman"/>
      <w:lvlText w:val="%3."/>
      <w:lvlJc w:val="right"/>
      <w:pPr>
        <w:ind w:left="1860" w:hanging="420"/>
      </w:pPr>
      <w:rPr>
        <w:rFonts w:cs="Times New Roman"/>
      </w:rPr>
    </w:lvl>
    <w:lvl w:ilvl="3" w:tentative="0">
      <w:start w:val="1"/>
      <w:numFmt w:val="decimal"/>
      <w:lvlText w:val="%4."/>
      <w:lvlJc w:val="left"/>
      <w:pPr>
        <w:ind w:left="2280" w:hanging="420"/>
      </w:pPr>
      <w:rPr>
        <w:rFonts w:cs="Times New Roman"/>
      </w:rPr>
    </w:lvl>
    <w:lvl w:ilvl="4" w:tentative="0">
      <w:start w:val="1"/>
      <w:numFmt w:val="lowerLetter"/>
      <w:lvlText w:val="%5)"/>
      <w:lvlJc w:val="left"/>
      <w:pPr>
        <w:ind w:left="2700" w:hanging="420"/>
      </w:pPr>
      <w:rPr>
        <w:rFonts w:cs="Times New Roman"/>
      </w:rPr>
    </w:lvl>
    <w:lvl w:ilvl="5" w:tentative="0">
      <w:start w:val="1"/>
      <w:numFmt w:val="lowerRoman"/>
      <w:lvlText w:val="%6."/>
      <w:lvlJc w:val="right"/>
      <w:pPr>
        <w:ind w:left="3120" w:hanging="420"/>
      </w:pPr>
      <w:rPr>
        <w:rFonts w:cs="Times New Roman"/>
      </w:rPr>
    </w:lvl>
    <w:lvl w:ilvl="6" w:tentative="0">
      <w:start w:val="1"/>
      <w:numFmt w:val="decimal"/>
      <w:lvlText w:val="%7."/>
      <w:lvlJc w:val="left"/>
      <w:pPr>
        <w:ind w:left="3540" w:hanging="420"/>
      </w:pPr>
      <w:rPr>
        <w:rFonts w:cs="Times New Roman"/>
      </w:rPr>
    </w:lvl>
    <w:lvl w:ilvl="7" w:tentative="0">
      <w:start w:val="1"/>
      <w:numFmt w:val="lowerLetter"/>
      <w:lvlText w:val="%8)"/>
      <w:lvlJc w:val="left"/>
      <w:pPr>
        <w:ind w:left="3960" w:hanging="420"/>
      </w:pPr>
      <w:rPr>
        <w:rFonts w:cs="Times New Roman"/>
      </w:rPr>
    </w:lvl>
    <w:lvl w:ilvl="8" w:tentative="0">
      <w:start w:val="1"/>
      <w:numFmt w:val="lowerRoman"/>
      <w:lvlText w:val="%9."/>
      <w:lvlJc w:val="right"/>
      <w:pPr>
        <w:ind w:left="43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2159"/>
    <w:rsid w:val="00006A87"/>
    <w:rsid w:val="00012D74"/>
    <w:rsid w:val="000174BB"/>
    <w:rsid w:val="00024B7F"/>
    <w:rsid w:val="00034248"/>
    <w:rsid w:val="00052FE0"/>
    <w:rsid w:val="00054384"/>
    <w:rsid w:val="0006518A"/>
    <w:rsid w:val="000703F5"/>
    <w:rsid w:val="00070B61"/>
    <w:rsid w:val="000775E8"/>
    <w:rsid w:val="00086A97"/>
    <w:rsid w:val="00091F7F"/>
    <w:rsid w:val="00094D69"/>
    <w:rsid w:val="000A2919"/>
    <w:rsid w:val="000A5290"/>
    <w:rsid w:val="000A5DE3"/>
    <w:rsid w:val="000A65DB"/>
    <w:rsid w:val="000A7658"/>
    <w:rsid w:val="000B1596"/>
    <w:rsid w:val="000B5213"/>
    <w:rsid w:val="000C3B20"/>
    <w:rsid w:val="000D7C23"/>
    <w:rsid w:val="000E1767"/>
    <w:rsid w:val="000E5B19"/>
    <w:rsid w:val="000E7FFD"/>
    <w:rsid w:val="0010183B"/>
    <w:rsid w:val="00103EDC"/>
    <w:rsid w:val="00115278"/>
    <w:rsid w:val="00120177"/>
    <w:rsid w:val="00140E78"/>
    <w:rsid w:val="00142BCE"/>
    <w:rsid w:val="00144AC7"/>
    <w:rsid w:val="00147040"/>
    <w:rsid w:val="00151463"/>
    <w:rsid w:val="00153843"/>
    <w:rsid w:val="00170582"/>
    <w:rsid w:val="001870FE"/>
    <w:rsid w:val="001943AB"/>
    <w:rsid w:val="001A3DE2"/>
    <w:rsid w:val="001D09C9"/>
    <w:rsid w:val="001D577A"/>
    <w:rsid w:val="001E4658"/>
    <w:rsid w:val="001E7C6A"/>
    <w:rsid w:val="001E7E63"/>
    <w:rsid w:val="001F2B9D"/>
    <w:rsid w:val="001F33C0"/>
    <w:rsid w:val="001F6EF5"/>
    <w:rsid w:val="0020099B"/>
    <w:rsid w:val="00205C3B"/>
    <w:rsid w:val="00242FE4"/>
    <w:rsid w:val="00262C89"/>
    <w:rsid w:val="00265B72"/>
    <w:rsid w:val="00271B6E"/>
    <w:rsid w:val="002743C3"/>
    <w:rsid w:val="00287A2E"/>
    <w:rsid w:val="0029375B"/>
    <w:rsid w:val="00293D11"/>
    <w:rsid w:val="00296C85"/>
    <w:rsid w:val="002B5B38"/>
    <w:rsid w:val="002C37F3"/>
    <w:rsid w:val="002C677C"/>
    <w:rsid w:val="002C740B"/>
    <w:rsid w:val="002D02F4"/>
    <w:rsid w:val="002D59CB"/>
    <w:rsid w:val="002E659D"/>
    <w:rsid w:val="002F0ECA"/>
    <w:rsid w:val="00303B2E"/>
    <w:rsid w:val="003158E9"/>
    <w:rsid w:val="003166A5"/>
    <w:rsid w:val="00333969"/>
    <w:rsid w:val="003472C5"/>
    <w:rsid w:val="00347942"/>
    <w:rsid w:val="00347996"/>
    <w:rsid w:val="00350B5B"/>
    <w:rsid w:val="003632BC"/>
    <w:rsid w:val="0037404C"/>
    <w:rsid w:val="00374661"/>
    <w:rsid w:val="00375825"/>
    <w:rsid w:val="00384CBD"/>
    <w:rsid w:val="00395B23"/>
    <w:rsid w:val="003978C1"/>
    <w:rsid w:val="003B0831"/>
    <w:rsid w:val="003B1DC8"/>
    <w:rsid w:val="003B594E"/>
    <w:rsid w:val="003C2E54"/>
    <w:rsid w:val="003C63BA"/>
    <w:rsid w:val="003D0C72"/>
    <w:rsid w:val="003E0D94"/>
    <w:rsid w:val="003F06D5"/>
    <w:rsid w:val="004011AD"/>
    <w:rsid w:val="0040177E"/>
    <w:rsid w:val="00406AB0"/>
    <w:rsid w:val="0041081C"/>
    <w:rsid w:val="00417715"/>
    <w:rsid w:val="00420614"/>
    <w:rsid w:val="0043072D"/>
    <w:rsid w:val="00432D71"/>
    <w:rsid w:val="00434EEE"/>
    <w:rsid w:val="00445215"/>
    <w:rsid w:val="00445297"/>
    <w:rsid w:val="0045212A"/>
    <w:rsid w:val="00457BD9"/>
    <w:rsid w:val="004743B3"/>
    <w:rsid w:val="00484696"/>
    <w:rsid w:val="00486188"/>
    <w:rsid w:val="00487059"/>
    <w:rsid w:val="004A08C1"/>
    <w:rsid w:val="004A28B1"/>
    <w:rsid w:val="004B67A8"/>
    <w:rsid w:val="004B6AAB"/>
    <w:rsid w:val="004C06BE"/>
    <w:rsid w:val="004D2787"/>
    <w:rsid w:val="004D48D7"/>
    <w:rsid w:val="004D65D7"/>
    <w:rsid w:val="004D6F93"/>
    <w:rsid w:val="0050291C"/>
    <w:rsid w:val="005272D8"/>
    <w:rsid w:val="00532879"/>
    <w:rsid w:val="00552B99"/>
    <w:rsid w:val="00552CC6"/>
    <w:rsid w:val="00561546"/>
    <w:rsid w:val="00565025"/>
    <w:rsid w:val="00567738"/>
    <w:rsid w:val="005766BD"/>
    <w:rsid w:val="00592401"/>
    <w:rsid w:val="00595CD5"/>
    <w:rsid w:val="005A0EA5"/>
    <w:rsid w:val="005B007A"/>
    <w:rsid w:val="005D008D"/>
    <w:rsid w:val="005D5345"/>
    <w:rsid w:val="005D6922"/>
    <w:rsid w:val="006227E6"/>
    <w:rsid w:val="00626B62"/>
    <w:rsid w:val="00642F1B"/>
    <w:rsid w:val="00647EAC"/>
    <w:rsid w:val="006537AC"/>
    <w:rsid w:val="00672B4C"/>
    <w:rsid w:val="006773BD"/>
    <w:rsid w:val="00687879"/>
    <w:rsid w:val="00696752"/>
    <w:rsid w:val="006A1621"/>
    <w:rsid w:val="006A2219"/>
    <w:rsid w:val="006A56FC"/>
    <w:rsid w:val="006A7356"/>
    <w:rsid w:val="006D4B96"/>
    <w:rsid w:val="006D4FDC"/>
    <w:rsid w:val="006D64B1"/>
    <w:rsid w:val="006F029D"/>
    <w:rsid w:val="006F1159"/>
    <w:rsid w:val="006F13E9"/>
    <w:rsid w:val="006F1D46"/>
    <w:rsid w:val="006F3090"/>
    <w:rsid w:val="006F3AD3"/>
    <w:rsid w:val="006F7FA8"/>
    <w:rsid w:val="00700977"/>
    <w:rsid w:val="00703139"/>
    <w:rsid w:val="00706872"/>
    <w:rsid w:val="007226FB"/>
    <w:rsid w:val="00746172"/>
    <w:rsid w:val="00774810"/>
    <w:rsid w:val="007820D2"/>
    <w:rsid w:val="00782159"/>
    <w:rsid w:val="00793D15"/>
    <w:rsid w:val="00794CA8"/>
    <w:rsid w:val="007978CD"/>
    <w:rsid w:val="007A2BDC"/>
    <w:rsid w:val="007B1048"/>
    <w:rsid w:val="007B7E7F"/>
    <w:rsid w:val="007D5392"/>
    <w:rsid w:val="007D75E2"/>
    <w:rsid w:val="007E7550"/>
    <w:rsid w:val="007F238C"/>
    <w:rsid w:val="008012F4"/>
    <w:rsid w:val="008104D1"/>
    <w:rsid w:val="0081311F"/>
    <w:rsid w:val="00815033"/>
    <w:rsid w:val="00842279"/>
    <w:rsid w:val="00844D3A"/>
    <w:rsid w:val="00847706"/>
    <w:rsid w:val="00854186"/>
    <w:rsid w:val="00864A1C"/>
    <w:rsid w:val="008664F8"/>
    <w:rsid w:val="00877032"/>
    <w:rsid w:val="00880D0D"/>
    <w:rsid w:val="008872A2"/>
    <w:rsid w:val="00895A64"/>
    <w:rsid w:val="00895BE7"/>
    <w:rsid w:val="008A0DC9"/>
    <w:rsid w:val="008A5C2E"/>
    <w:rsid w:val="008B02AA"/>
    <w:rsid w:val="008C5ABD"/>
    <w:rsid w:val="008D28A9"/>
    <w:rsid w:val="008D5358"/>
    <w:rsid w:val="008E148C"/>
    <w:rsid w:val="008E26A2"/>
    <w:rsid w:val="009078E5"/>
    <w:rsid w:val="00910498"/>
    <w:rsid w:val="00912ADD"/>
    <w:rsid w:val="00921F8C"/>
    <w:rsid w:val="00954B4B"/>
    <w:rsid w:val="00986E5F"/>
    <w:rsid w:val="009A7D21"/>
    <w:rsid w:val="009C453B"/>
    <w:rsid w:val="009C7F6B"/>
    <w:rsid w:val="009E3FE3"/>
    <w:rsid w:val="009F1B75"/>
    <w:rsid w:val="009F39C7"/>
    <w:rsid w:val="009F6D25"/>
    <w:rsid w:val="00A013AA"/>
    <w:rsid w:val="00A32422"/>
    <w:rsid w:val="00A3418E"/>
    <w:rsid w:val="00A407D1"/>
    <w:rsid w:val="00A54E54"/>
    <w:rsid w:val="00A56188"/>
    <w:rsid w:val="00A62AC0"/>
    <w:rsid w:val="00A63C42"/>
    <w:rsid w:val="00A65801"/>
    <w:rsid w:val="00A87B5D"/>
    <w:rsid w:val="00A97E66"/>
    <w:rsid w:val="00AA14E2"/>
    <w:rsid w:val="00AA1759"/>
    <w:rsid w:val="00AA3003"/>
    <w:rsid w:val="00AB33F5"/>
    <w:rsid w:val="00AB7888"/>
    <w:rsid w:val="00AC139B"/>
    <w:rsid w:val="00AC4897"/>
    <w:rsid w:val="00AD266E"/>
    <w:rsid w:val="00AD7784"/>
    <w:rsid w:val="00AE360C"/>
    <w:rsid w:val="00AF00F5"/>
    <w:rsid w:val="00B0409B"/>
    <w:rsid w:val="00B21656"/>
    <w:rsid w:val="00B24563"/>
    <w:rsid w:val="00B635BA"/>
    <w:rsid w:val="00B919A9"/>
    <w:rsid w:val="00BA1EEE"/>
    <w:rsid w:val="00BA72EF"/>
    <w:rsid w:val="00BB2497"/>
    <w:rsid w:val="00BB372B"/>
    <w:rsid w:val="00BC275D"/>
    <w:rsid w:val="00BD7B48"/>
    <w:rsid w:val="00BE65B0"/>
    <w:rsid w:val="00BF13F6"/>
    <w:rsid w:val="00C15174"/>
    <w:rsid w:val="00C17D9A"/>
    <w:rsid w:val="00C337C1"/>
    <w:rsid w:val="00C4155A"/>
    <w:rsid w:val="00C45F21"/>
    <w:rsid w:val="00C519BC"/>
    <w:rsid w:val="00C55E43"/>
    <w:rsid w:val="00C605BD"/>
    <w:rsid w:val="00C61DC5"/>
    <w:rsid w:val="00C62423"/>
    <w:rsid w:val="00C709B8"/>
    <w:rsid w:val="00C70CB1"/>
    <w:rsid w:val="00C955CC"/>
    <w:rsid w:val="00CA6F46"/>
    <w:rsid w:val="00CB3117"/>
    <w:rsid w:val="00CC736F"/>
    <w:rsid w:val="00CD0F2A"/>
    <w:rsid w:val="00CE1862"/>
    <w:rsid w:val="00CE37ED"/>
    <w:rsid w:val="00CE7457"/>
    <w:rsid w:val="00CF266F"/>
    <w:rsid w:val="00D06361"/>
    <w:rsid w:val="00D16379"/>
    <w:rsid w:val="00D16906"/>
    <w:rsid w:val="00D2570F"/>
    <w:rsid w:val="00D36C62"/>
    <w:rsid w:val="00D4613F"/>
    <w:rsid w:val="00D5318C"/>
    <w:rsid w:val="00D554FC"/>
    <w:rsid w:val="00D61A36"/>
    <w:rsid w:val="00D81E3D"/>
    <w:rsid w:val="00D85F9C"/>
    <w:rsid w:val="00D949F7"/>
    <w:rsid w:val="00DA057C"/>
    <w:rsid w:val="00DA16BE"/>
    <w:rsid w:val="00DA7527"/>
    <w:rsid w:val="00DB13AB"/>
    <w:rsid w:val="00DB2FC5"/>
    <w:rsid w:val="00DE344D"/>
    <w:rsid w:val="00DE44B8"/>
    <w:rsid w:val="00DE619D"/>
    <w:rsid w:val="00E06CE4"/>
    <w:rsid w:val="00E30B72"/>
    <w:rsid w:val="00E339F2"/>
    <w:rsid w:val="00E46C06"/>
    <w:rsid w:val="00E514FC"/>
    <w:rsid w:val="00E622E0"/>
    <w:rsid w:val="00E774D0"/>
    <w:rsid w:val="00E8388E"/>
    <w:rsid w:val="00EA5F52"/>
    <w:rsid w:val="00EB563F"/>
    <w:rsid w:val="00EB7DD0"/>
    <w:rsid w:val="00EC1979"/>
    <w:rsid w:val="00EC282F"/>
    <w:rsid w:val="00ED7C8E"/>
    <w:rsid w:val="00EE2E07"/>
    <w:rsid w:val="00EE66B1"/>
    <w:rsid w:val="00EF29D8"/>
    <w:rsid w:val="00EF3B2C"/>
    <w:rsid w:val="00EF7B17"/>
    <w:rsid w:val="00F0364D"/>
    <w:rsid w:val="00F06CB4"/>
    <w:rsid w:val="00F16C5D"/>
    <w:rsid w:val="00F453E0"/>
    <w:rsid w:val="00F627E2"/>
    <w:rsid w:val="00F66BF4"/>
    <w:rsid w:val="00F70817"/>
    <w:rsid w:val="00F72478"/>
    <w:rsid w:val="00F81C9E"/>
    <w:rsid w:val="00F820FC"/>
    <w:rsid w:val="00FA08FE"/>
    <w:rsid w:val="00FB61FC"/>
    <w:rsid w:val="00FC1406"/>
    <w:rsid w:val="00FF5D03"/>
    <w:rsid w:val="380114CB"/>
    <w:rsid w:val="4D883EB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uiPriority w:val="99"/>
    <w:pPr>
      <w:ind w:left="100" w:leftChars="2500"/>
    </w:pPr>
    <w:rPr>
      <w:kern w:val="0"/>
    </w:rPr>
  </w:style>
  <w:style w:type="paragraph" w:styleId="3">
    <w:name w:val="Balloon Text"/>
    <w:basedOn w:val="1"/>
    <w:link w:val="13"/>
    <w:semiHidden/>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uiPriority w:val="99"/>
    <w:rPr>
      <w:rFonts w:cs="Times New Roman"/>
    </w:rPr>
  </w:style>
  <w:style w:type="character" w:customStyle="1" w:styleId="10">
    <w:name w:val="日期 Char"/>
    <w:basedOn w:val="8"/>
    <w:link w:val="2"/>
    <w:semiHidden/>
    <w:locked/>
    <w:uiPriority w:val="99"/>
    <w:rPr>
      <w:rFonts w:cs="Times New Roman"/>
      <w:sz w:val="21"/>
      <w:szCs w:val="21"/>
    </w:rPr>
  </w:style>
  <w:style w:type="character" w:customStyle="1" w:styleId="11">
    <w:name w:val="页眉 Char"/>
    <w:basedOn w:val="8"/>
    <w:link w:val="5"/>
    <w:locked/>
    <w:uiPriority w:val="99"/>
    <w:rPr>
      <w:rFonts w:cs="Times New Roman"/>
      <w:kern w:val="2"/>
      <w:sz w:val="18"/>
      <w:szCs w:val="18"/>
    </w:rPr>
  </w:style>
  <w:style w:type="character" w:customStyle="1" w:styleId="12">
    <w:name w:val="页脚 Char"/>
    <w:basedOn w:val="8"/>
    <w:link w:val="4"/>
    <w:qFormat/>
    <w:locked/>
    <w:uiPriority w:val="99"/>
    <w:rPr>
      <w:rFonts w:cs="Times New Roman"/>
      <w:kern w:val="2"/>
      <w:sz w:val="18"/>
      <w:szCs w:val="18"/>
    </w:rPr>
  </w:style>
  <w:style w:type="character" w:customStyle="1" w:styleId="13">
    <w:name w:val="批注框文本 Char"/>
    <w:basedOn w:val="8"/>
    <w:link w:val="3"/>
    <w:locked/>
    <w:uiPriority w:val="99"/>
    <w:rPr>
      <w:rFonts w:cs="Times New Roman"/>
      <w:kern w:val="2"/>
      <w:sz w:val="18"/>
      <w:szCs w:val="18"/>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7</Pages>
  <Words>3028</Words>
  <Characters>498</Characters>
  <Lines>4</Lines>
  <Paragraphs>7</Paragraphs>
  <TotalTime>182</TotalTime>
  <ScaleCrop>false</ScaleCrop>
  <LinksUpToDate>false</LinksUpToDate>
  <CharactersWithSpaces>3519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2016-08-10T08:30:00Z</dcterms:created>
  <dc:creator>许梦如</dc:creator>
  <cp:lastModifiedBy>Administrator</cp:lastModifiedBy>
  <cp:lastPrinted>2017-06-13T10:02:00Z</cp:lastPrinted>
  <dcterms:modified xsi:type="dcterms:W3CDTF">2023-12-05T02:28:53Z</dcterms:modified>
  <dc:title>喀什地区部门决算和三公经费</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