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rFonts w:ascii="仿宋_GB2312" w:eastAsia="仿宋_GB2312"/>
          <w:sz w:val="32"/>
          <w:szCs w:val="32"/>
        </w:rPr>
      </w:pPr>
      <w:r>
        <w:rPr>
          <w:rFonts w:hint="eastAsia" w:ascii="仿宋_GB2312" w:eastAsia="仿宋_GB2312" w:cs="仿宋_GB2312"/>
          <w:sz w:val="32"/>
          <w:szCs w:val="32"/>
        </w:rPr>
        <w:t>附件1：</w:t>
      </w:r>
    </w:p>
    <w:p>
      <w:pPr>
        <w:spacing w:line="560" w:lineRule="atLeas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2016年喀什地区叶城县信访局部门决算</w:t>
      </w:r>
    </w:p>
    <w:p>
      <w:pPr>
        <w:spacing w:line="560" w:lineRule="atLeast"/>
        <w:jc w:val="center"/>
        <w:rPr>
          <w:rFonts w:ascii="仿宋_GB2312" w:hAnsi="宋体" w:eastAsia="仿宋_GB2312"/>
          <w:b/>
          <w:bCs/>
          <w:sz w:val="32"/>
          <w:szCs w:val="32"/>
        </w:rPr>
      </w:pPr>
    </w:p>
    <w:p>
      <w:pPr>
        <w:spacing w:line="560" w:lineRule="atLeas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autoSpaceDE w:val="0"/>
        <w:autoSpaceDN w:val="0"/>
        <w:adjustRightInd w:val="0"/>
        <w:spacing w:line="560" w:lineRule="atLeast"/>
        <w:ind w:firstLine="640" w:firstLineChars="200"/>
        <w:jc w:val="left"/>
        <w:rPr>
          <w:rFonts w:ascii="仿宋_GB2312" w:hAnsi="宋体" w:eastAsia="仿宋_GB2312"/>
          <w:sz w:val="32"/>
          <w:szCs w:val="32"/>
        </w:rPr>
      </w:pPr>
      <w:r>
        <w:rPr>
          <w:rFonts w:hint="eastAsia" w:ascii="仿宋_GB2312" w:hAnsi="宋体" w:eastAsia="仿宋_GB2312"/>
          <w:sz w:val="32"/>
          <w:szCs w:val="32"/>
        </w:rPr>
        <w:t>（1）贯彻落实中央和自治区关于信访工</w:t>
      </w:r>
      <w:bookmarkStart w:id="1" w:name="_GoBack"/>
      <w:bookmarkEnd w:id="1"/>
      <w:r>
        <w:rPr>
          <w:rFonts w:hint="eastAsia" w:ascii="仿宋_GB2312" w:hAnsi="宋体" w:eastAsia="仿宋_GB2312"/>
          <w:sz w:val="32"/>
          <w:szCs w:val="32"/>
        </w:rPr>
        <w:t>作的法律法规和方针政策，宣传和贯彻落实《信访条例》，综合协调和指导叶城县信访工作。</w:t>
      </w:r>
    </w:p>
    <w:p>
      <w:pPr>
        <w:autoSpaceDE w:val="0"/>
        <w:autoSpaceDN w:val="0"/>
        <w:adjustRightInd w:val="0"/>
        <w:spacing w:line="560" w:lineRule="atLeast"/>
        <w:jc w:val="left"/>
        <w:rPr>
          <w:rFonts w:ascii="仿宋_GB2312" w:hAnsi="宋体" w:eastAsia="仿宋_GB2312"/>
          <w:sz w:val="32"/>
          <w:szCs w:val="32"/>
        </w:rPr>
      </w:pPr>
      <w:r>
        <w:rPr>
          <w:rFonts w:hint="eastAsia" w:ascii="仿宋_GB2312" w:hAnsi="宋体" w:eastAsia="仿宋_GB2312"/>
          <w:sz w:val="32"/>
          <w:szCs w:val="32"/>
        </w:rPr>
        <w:t xml:space="preserve">    （2）负责受理向县委、</w:t>
      </w:r>
      <w:r>
        <w:rPr>
          <w:rFonts w:hint="eastAsia" w:ascii="仿宋_GB2312" w:hAnsi="宋体" w:eastAsia="仿宋_GB2312"/>
          <w:sz w:val="32"/>
          <w:szCs w:val="32"/>
          <w:lang w:eastAsia="zh-CN"/>
        </w:rPr>
        <w:t>县</w:t>
      </w:r>
      <w:r>
        <w:rPr>
          <w:rFonts w:hint="eastAsia" w:ascii="仿宋_GB2312" w:hAnsi="宋体" w:eastAsia="仿宋_GB2312"/>
          <w:sz w:val="32"/>
          <w:szCs w:val="32"/>
        </w:rPr>
        <w:t>政府反映群众来信来电中提出的重要建议、意见和问题，综合研究信息，开展调查研究，提出制定修改完善有关方针政策的建议。</w:t>
      </w:r>
    </w:p>
    <w:p>
      <w:pPr>
        <w:autoSpaceDE w:val="0"/>
        <w:autoSpaceDN w:val="0"/>
        <w:adjustRightInd w:val="0"/>
        <w:spacing w:line="560" w:lineRule="atLeast"/>
        <w:jc w:val="left"/>
        <w:rPr>
          <w:rFonts w:ascii="仿宋_GB2312" w:hAnsi="宋体" w:eastAsia="仿宋_GB2312"/>
          <w:sz w:val="32"/>
          <w:szCs w:val="32"/>
        </w:rPr>
      </w:pPr>
      <w:r>
        <w:rPr>
          <w:rFonts w:hint="eastAsia" w:ascii="仿宋_GB2312" w:hAnsi="宋体" w:eastAsia="仿宋_GB2312"/>
          <w:sz w:val="32"/>
          <w:szCs w:val="32"/>
        </w:rPr>
        <w:t xml:space="preserve">    （3）制定信访问题排查化解举措并组织实施，建立健全信访信息汇集分析机制，指导和检查叶城县信访信息系统的建设和运转。</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编制5人，按照编委文件填报，实际实有在职人数6人，离退休0人，属于一般公共预算财政拨款开支6人，其中：在职6人，离退休0人。</w:t>
      </w:r>
    </w:p>
    <w:p>
      <w:pPr>
        <w:spacing w:line="560" w:lineRule="atLeas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atLeast"/>
        <w:ind w:firstLine="640" w:firstLineChars="200"/>
        <w:rPr>
          <w:rFonts w:ascii="仿宋_GB2312" w:eastAsia="仿宋_GB2312"/>
          <w:sz w:val="32"/>
          <w:szCs w:val="32"/>
        </w:rPr>
      </w:pPr>
      <w:r>
        <w:rPr>
          <w:rFonts w:hint="eastAsia" w:ascii="仿宋_GB2312" w:eastAsia="仿宋_GB2312" w:cs="仿宋_GB2312"/>
          <w:sz w:val="32"/>
          <w:szCs w:val="32"/>
        </w:rPr>
        <w:t>纳入叶城县信访局2016年部门决算编制范围的单位名单见下表：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atLeas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atLeas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atLeas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atLeast"/>
              <w:rPr>
                <w:rFonts w:ascii="仿宋_GB2312" w:eastAsia="仿宋_GB2312"/>
                <w:sz w:val="32"/>
                <w:szCs w:val="32"/>
              </w:rPr>
            </w:pPr>
            <w:r>
              <w:rPr>
                <w:rFonts w:hint="eastAsia" w:ascii="仿宋_GB2312" w:eastAsia="仿宋_GB2312"/>
                <w:sz w:val="32"/>
                <w:szCs w:val="32"/>
              </w:rPr>
              <w:t>1</w:t>
            </w:r>
          </w:p>
        </w:tc>
        <w:tc>
          <w:tcPr>
            <w:tcW w:w="4616" w:type="dxa"/>
          </w:tcPr>
          <w:p>
            <w:pPr>
              <w:spacing w:line="560" w:lineRule="atLeast"/>
              <w:rPr>
                <w:rFonts w:ascii="仿宋_GB2312" w:eastAsia="仿宋_GB2312"/>
                <w:sz w:val="32"/>
                <w:szCs w:val="32"/>
              </w:rPr>
            </w:pPr>
            <w:r>
              <w:rPr>
                <w:rFonts w:hint="eastAsia" w:ascii="仿宋_GB2312" w:eastAsia="仿宋_GB2312" w:cs="仿宋_GB2312"/>
                <w:sz w:val="32"/>
                <w:szCs w:val="32"/>
              </w:rPr>
              <w:t>叶城县信访局</w:t>
            </w:r>
          </w:p>
        </w:tc>
        <w:tc>
          <w:tcPr>
            <w:tcW w:w="2841" w:type="dxa"/>
          </w:tcPr>
          <w:p>
            <w:pPr>
              <w:spacing w:line="560" w:lineRule="atLeast"/>
              <w:rPr>
                <w:rFonts w:ascii="仿宋_GB2312" w:eastAsia="仿宋_GB2312"/>
                <w:sz w:val="32"/>
                <w:szCs w:val="32"/>
              </w:rPr>
            </w:pPr>
          </w:p>
        </w:tc>
      </w:tr>
    </w:tbl>
    <w:p>
      <w:pPr>
        <w:spacing w:line="560" w:lineRule="atLeas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根据职责，纳入2016年部门决算编制范围的有5个内设机构。</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信访联席会议办公室、接访室、群众室、协调督查室、信访室。</w:t>
      </w:r>
    </w:p>
    <w:p>
      <w:pPr>
        <w:snapToGrid w:val="0"/>
        <w:spacing w:line="560" w:lineRule="atLeas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叶城县信访局</w:t>
      </w:r>
      <w:r>
        <w:rPr>
          <w:rFonts w:hint="eastAsia" w:ascii="仿宋_GB2312" w:hAnsi="宋体" w:eastAsia="仿宋_GB2312" w:cs="仿宋_GB2312"/>
          <w:b/>
          <w:bCs/>
          <w:sz w:val="32"/>
          <w:szCs w:val="32"/>
        </w:rPr>
        <w:t>2016年度部门决算报表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atLeas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叶城县信访局</w:t>
      </w:r>
      <w:r>
        <w:rPr>
          <w:rFonts w:hint="eastAsia" w:ascii="仿宋_GB2312" w:hAnsi="宋体" w:eastAsia="仿宋_GB2312" w:cs="仿宋_GB2312"/>
          <w:b/>
          <w:bCs/>
          <w:sz w:val="32"/>
          <w:szCs w:val="32"/>
        </w:rPr>
        <w:t>2016年度部门决算情况说明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1,701,929.19</w:t>
      </w:r>
      <w:r>
        <w:rPr>
          <w:rFonts w:hint="eastAsia" w:ascii="仿宋_GB2312" w:hAnsi="宋体" w:eastAsia="仿宋_GB2312" w:cs="仿宋_GB2312"/>
          <w:sz w:val="32"/>
          <w:szCs w:val="32"/>
        </w:rPr>
        <w:t>元，支出合计</w:t>
      </w:r>
      <w:r>
        <w:rPr>
          <w:rFonts w:hint="eastAsia" w:ascii="仿宋_GB2312" w:hAnsi="宋体" w:eastAsia="仿宋_GB2312"/>
          <w:sz w:val="32"/>
          <w:szCs w:val="32"/>
        </w:rPr>
        <w:t>1,701,929.19</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1,346,929.19</w:t>
      </w:r>
      <w:r>
        <w:rPr>
          <w:rFonts w:hint="eastAsia" w:ascii="仿宋_GB2312" w:hAnsi="宋体" w:eastAsia="仿宋_GB2312" w:cs="仿宋_GB2312"/>
          <w:sz w:val="32"/>
          <w:szCs w:val="32"/>
        </w:rPr>
        <w:t>元，项目支出</w:t>
      </w:r>
      <w:r>
        <w:rPr>
          <w:rFonts w:hint="eastAsia" w:ascii="仿宋_GB2312" w:hAnsi="宋体" w:eastAsia="仿宋_GB2312"/>
          <w:sz w:val="32"/>
          <w:szCs w:val="32"/>
        </w:rPr>
        <w:t>355,000</w:t>
      </w:r>
      <w:r>
        <w:rPr>
          <w:rFonts w:hint="eastAsia" w:ascii="仿宋_GB2312" w:hAnsi="宋体" w:eastAsia="仿宋_GB2312" w:cs="仿宋_GB2312"/>
          <w:sz w:val="32"/>
          <w:szCs w:val="32"/>
        </w:rPr>
        <w:t>元。</w:t>
      </w:r>
    </w:p>
    <w:bookmarkEnd w:id="0"/>
    <w:p>
      <w:pPr>
        <w:numPr>
          <w:ilvl w:val="0"/>
          <w:numId w:val="1"/>
        </w:numPr>
        <w:snapToGrid w:val="0"/>
        <w:spacing w:line="560" w:lineRule="atLeas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1,701,929.19</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1,701,929.19</w:t>
      </w:r>
      <w:r>
        <w:rPr>
          <w:rFonts w:hint="eastAsia" w:ascii="仿宋_GB2312" w:hAnsi="宋体" w:eastAsia="仿宋_GB2312" w:cs="仿宋_GB2312"/>
          <w:sz w:val="32"/>
          <w:szCs w:val="32"/>
        </w:rPr>
        <w:t>元，无事业收入，无经营收入，无其他收入。</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atLeas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1,701,929.19</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1,346,929.19</w:t>
      </w:r>
      <w:r>
        <w:rPr>
          <w:rFonts w:hint="eastAsia" w:ascii="仿宋_GB2312" w:hAnsi="宋体" w:eastAsia="仿宋_GB2312" w:cs="仿宋_GB2312"/>
          <w:sz w:val="32"/>
          <w:szCs w:val="32"/>
        </w:rPr>
        <w:t>元，项目支出</w:t>
      </w:r>
      <w:r>
        <w:rPr>
          <w:rFonts w:hint="eastAsia" w:ascii="仿宋_GB2312" w:hAnsi="宋体" w:eastAsia="仿宋_GB2312"/>
          <w:sz w:val="32"/>
          <w:szCs w:val="32"/>
        </w:rPr>
        <w:t>355,000</w:t>
      </w:r>
      <w:r>
        <w:rPr>
          <w:rFonts w:hint="eastAsia" w:ascii="仿宋_GB2312" w:hAnsi="宋体" w:eastAsia="仿宋_GB2312" w:cs="仿宋_GB2312"/>
          <w:sz w:val="32"/>
          <w:szCs w:val="32"/>
        </w:rPr>
        <w:t>元，无经营支出。</w:t>
      </w:r>
    </w:p>
    <w:p>
      <w:pPr>
        <w:snapToGrid w:val="0"/>
        <w:spacing w:line="560" w:lineRule="atLeas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18,000</w:t>
      </w:r>
      <w:r>
        <w:rPr>
          <w:rFonts w:hint="eastAsia" w:ascii="仿宋_GB2312" w:hAnsi="宋体" w:eastAsia="仿宋_GB2312" w:cs="仿宋_GB2312"/>
          <w:sz w:val="32"/>
          <w:szCs w:val="32"/>
        </w:rPr>
        <w:t>元，其中：因公出国费用元，共组团0批次人次,出国事由；公务接待费</w:t>
      </w:r>
      <w:r>
        <w:rPr>
          <w:rFonts w:hint="eastAsia" w:ascii="仿宋_GB2312" w:hAnsi="宋体" w:eastAsia="仿宋_GB2312"/>
          <w:sz w:val="32"/>
          <w:szCs w:val="32"/>
        </w:rPr>
        <w:t>3,000.00</w:t>
      </w:r>
      <w:r>
        <w:rPr>
          <w:rFonts w:hint="eastAsia" w:ascii="仿宋_GB2312" w:hAnsi="宋体" w:eastAsia="仿宋_GB2312" w:cs="仿宋_GB2312"/>
          <w:sz w:val="32"/>
          <w:szCs w:val="32"/>
        </w:rPr>
        <w:t>元，共接待</w:t>
      </w:r>
      <w:r>
        <w:rPr>
          <w:rFonts w:hint="eastAsia" w:ascii="仿宋_GB2312" w:hAnsi="宋体" w:eastAsia="仿宋_GB2312"/>
          <w:sz w:val="32"/>
          <w:szCs w:val="32"/>
        </w:rPr>
        <w:t>8</w:t>
      </w:r>
      <w:r>
        <w:rPr>
          <w:rFonts w:hint="eastAsia" w:ascii="仿宋_GB2312" w:hAnsi="宋体" w:eastAsia="仿宋_GB2312" w:cs="仿宋_GB2312"/>
          <w:sz w:val="32"/>
          <w:szCs w:val="32"/>
        </w:rPr>
        <w:t>批次</w:t>
      </w:r>
      <w:r>
        <w:rPr>
          <w:rFonts w:hint="eastAsia" w:ascii="仿宋_GB2312" w:hAnsi="宋体" w:eastAsia="仿宋_GB2312"/>
          <w:sz w:val="32"/>
          <w:szCs w:val="32"/>
        </w:rPr>
        <w:t>22</w:t>
      </w:r>
      <w:r>
        <w:rPr>
          <w:rFonts w:hint="eastAsia" w:ascii="仿宋_GB2312" w:hAnsi="宋体" w:eastAsia="仿宋_GB2312" w:cs="仿宋_GB2312"/>
          <w:sz w:val="32"/>
          <w:szCs w:val="32"/>
        </w:rPr>
        <w:t>人次；公务用车购置0元，年末公务用车保有量为1辆；公务用车维护费</w:t>
      </w:r>
      <w:r>
        <w:rPr>
          <w:rFonts w:hint="eastAsia" w:ascii="仿宋_GB2312" w:hAnsi="宋体" w:eastAsia="仿宋_GB2312"/>
          <w:sz w:val="32"/>
          <w:szCs w:val="32"/>
        </w:rPr>
        <w:t>15,000</w:t>
      </w:r>
      <w:r>
        <w:rPr>
          <w:rFonts w:hint="eastAsia" w:ascii="仿宋_GB2312" w:hAnsi="宋体" w:eastAsia="仿宋_GB2312" w:cs="仿宋_GB2312"/>
          <w:sz w:val="32"/>
          <w:szCs w:val="32"/>
        </w:rPr>
        <w:t>元。</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本单位无“三公”经费，与上年相比没有变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1,701,929.19</w:t>
      </w:r>
      <w:r>
        <w:rPr>
          <w:rFonts w:hint="eastAsia" w:ascii="仿宋_GB2312" w:hAnsi="宋体" w:eastAsia="仿宋_GB2312" w:cs="仿宋_GB2312"/>
          <w:sz w:val="32"/>
          <w:szCs w:val="32"/>
        </w:rPr>
        <w:t>元，比2015年减少424,883.12元，减少原因：财政拨款项目资金减少。</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1,701,929.19</w:t>
      </w:r>
      <w:r>
        <w:rPr>
          <w:rFonts w:hint="eastAsia" w:ascii="仿宋_GB2312" w:hAnsi="宋体" w:eastAsia="仿宋_GB2312" w:cs="仿宋_GB2312"/>
          <w:sz w:val="32"/>
          <w:szCs w:val="32"/>
        </w:rPr>
        <w:t xml:space="preserve">元，比2015年减少424,883.12元，减少原因：财政拨款项目资金减少。 </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w:t>
      </w:r>
      <w:r>
        <w:rPr>
          <w:rFonts w:hint="eastAsia" w:ascii="仿宋_GB2312" w:hAnsi="宋体" w:eastAsia="仿宋_GB2312"/>
          <w:sz w:val="32"/>
          <w:szCs w:val="32"/>
        </w:rPr>
        <w:t>1,701,929.19</w:t>
      </w:r>
      <w:r>
        <w:rPr>
          <w:rFonts w:hint="eastAsia" w:ascii="仿宋_GB2312" w:hAnsi="宋体" w:eastAsia="仿宋_GB2312" w:cs="仿宋_GB2312"/>
          <w:sz w:val="32"/>
          <w:szCs w:val="32"/>
        </w:rPr>
        <w:t>元，年初预算数1,629,538.88元，差异原因为2016年提高干部职工工资标准及部分财政拨款项目年初未</w:t>
      </w:r>
      <w:r>
        <w:rPr>
          <w:rFonts w:hint="eastAsia" w:ascii="仿宋_GB2312" w:hAnsi="宋体" w:eastAsia="仿宋_GB2312" w:cs="仿宋_GB2312"/>
          <w:sz w:val="32"/>
          <w:szCs w:val="32"/>
          <w:lang w:eastAsia="zh-CN"/>
        </w:rPr>
        <w:t>安</w:t>
      </w:r>
      <w:r>
        <w:rPr>
          <w:rFonts w:hint="eastAsia" w:ascii="仿宋_GB2312" w:hAnsi="宋体" w:eastAsia="仿宋_GB2312" w:cs="仿宋_GB2312"/>
          <w:sz w:val="32"/>
          <w:szCs w:val="32"/>
        </w:rPr>
        <w:t>排预算。</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2016年叶城县信访局机关运行经费支出39,500.00元，与上年一致，主要原因是：按照八项规定要求严格控制单位各类经费支出。</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2016年，叶城县信访局政府采购支出总额0元，其中政府采购货物支出0元，政府采购工程支出0元，政府采购服务支出0元。喀什地区为偏远地区，参与招投标的供应商基本为中小微企业。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截止2016年12月31日，本单位共有车辆1辆，其中一般公务用车1辆，一般工作用车0辆，专业用车0辆，其他车辆0辆，无其他用车，单位价值在50万元以上的设备0台（套），价值0元。</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2016年，叶城县信访局共组织对1 个项目进行了预算绩效评价，涉及一般公共预算当年财政拨款355,000.00元。绩效评价结果：信访人员工作经费的拨付使部门服务水平和质量不断得以改进提升，真正做到花尽量少的资金、办尽量多的事，政府行为更加务实、高效。</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369AF"/>
    <w:rsid w:val="00052FE0"/>
    <w:rsid w:val="00054384"/>
    <w:rsid w:val="000703F5"/>
    <w:rsid w:val="00070B61"/>
    <w:rsid w:val="000775E8"/>
    <w:rsid w:val="00086A97"/>
    <w:rsid w:val="00091F7F"/>
    <w:rsid w:val="00094D69"/>
    <w:rsid w:val="000A5DE3"/>
    <w:rsid w:val="000A65DB"/>
    <w:rsid w:val="000B1596"/>
    <w:rsid w:val="000B5213"/>
    <w:rsid w:val="000C0691"/>
    <w:rsid w:val="000C236B"/>
    <w:rsid w:val="000C3B20"/>
    <w:rsid w:val="000D7C23"/>
    <w:rsid w:val="000E5B19"/>
    <w:rsid w:val="000E7FFD"/>
    <w:rsid w:val="000F6FA6"/>
    <w:rsid w:val="0010183B"/>
    <w:rsid w:val="00120177"/>
    <w:rsid w:val="0012508C"/>
    <w:rsid w:val="00140E78"/>
    <w:rsid w:val="00142BCE"/>
    <w:rsid w:val="00147040"/>
    <w:rsid w:val="00151463"/>
    <w:rsid w:val="00170582"/>
    <w:rsid w:val="001870FE"/>
    <w:rsid w:val="001943AB"/>
    <w:rsid w:val="001B4D2C"/>
    <w:rsid w:val="001D09C9"/>
    <w:rsid w:val="001E4658"/>
    <w:rsid w:val="001E7C6A"/>
    <w:rsid w:val="001F0558"/>
    <w:rsid w:val="001F2B9D"/>
    <w:rsid w:val="001F33C0"/>
    <w:rsid w:val="001F6EF5"/>
    <w:rsid w:val="0020099B"/>
    <w:rsid w:val="00205C3B"/>
    <w:rsid w:val="00235D63"/>
    <w:rsid w:val="00242FE4"/>
    <w:rsid w:val="00262C89"/>
    <w:rsid w:val="00265B72"/>
    <w:rsid w:val="002743C3"/>
    <w:rsid w:val="00287A2E"/>
    <w:rsid w:val="002B5B38"/>
    <w:rsid w:val="002C37F3"/>
    <w:rsid w:val="002C677C"/>
    <w:rsid w:val="002C740B"/>
    <w:rsid w:val="002D02F4"/>
    <w:rsid w:val="00303B2E"/>
    <w:rsid w:val="00304895"/>
    <w:rsid w:val="003158E9"/>
    <w:rsid w:val="003166A5"/>
    <w:rsid w:val="00333969"/>
    <w:rsid w:val="003472C5"/>
    <w:rsid w:val="00347942"/>
    <w:rsid w:val="00347996"/>
    <w:rsid w:val="00350B5B"/>
    <w:rsid w:val="003632BC"/>
    <w:rsid w:val="00374661"/>
    <w:rsid w:val="00395D8A"/>
    <w:rsid w:val="003978C1"/>
    <w:rsid w:val="003B0831"/>
    <w:rsid w:val="003B3E5B"/>
    <w:rsid w:val="003B594E"/>
    <w:rsid w:val="003C2E54"/>
    <w:rsid w:val="003D0C72"/>
    <w:rsid w:val="003E0D94"/>
    <w:rsid w:val="004011AD"/>
    <w:rsid w:val="0040177E"/>
    <w:rsid w:val="00406AB0"/>
    <w:rsid w:val="00417715"/>
    <w:rsid w:val="00420614"/>
    <w:rsid w:val="0043072D"/>
    <w:rsid w:val="00434EEE"/>
    <w:rsid w:val="004368EB"/>
    <w:rsid w:val="00445215"/>
    <w:rsid w:val="00446DFB"/>
    <w:rsid w:val="0045212A"/>
    <w:rsid w:val="00457BD9"/>
    <w:rsid w:val="004743B3"/>
    <w:rsid w:val="00486188"/>
    <w:rsid w:val="00487059"/>
    <w:rsid w:val="00495DC3"/>
    <w:rsid w:val="004A0771"/>
    <w:rsid w:val="004A08C1"/>
    <w:rsid w:val="004A28B1"/>
    <w:rsid w:val="004B12FF"/>
    <w:rsid w:val="004B67A8"/>
    <w:rsid w:val="004B6AAB"/>
    <w:rsid w:val="004D2787"/>
    <w:rsid w:val="004D48D7"/>
    <w:rsid w:val="004D65D7"/>
    <w:rsid w:val="004D6F93"/>
    <w:rsid w:val="004E0173"/>
    <w:rsid w:val="0050291C"/>
    <w:rsid w:val="005272D8"/>
    <w:rsid w:val="00532879"/>
    <w:rsid w:val="005416ED"/>
    <w:rsid w:val="00552B99"/>
    <w:rsid w:val="00565025"/>
    <w:rsid w:val="005766BD"/>
    <w:rsid w:val="00592401"/>
    <w:rsid w:val="00595CD5"/>
    <w:rsid w:val="005A0EA5"/>
    <w:rsid w:val="005B007A"/>
    <w:rsid w:val="005D008D"/>
    <w:rsid w:val="005D2665"/>
    <w:rsid w:val="005D5345"/>
    <w:rsid w:val="005D6922"/>
    <w:rsid w:val="005F4632"/>
    <w:rsid w:val="00626B62"/>
    <w:rsid w:val="00642F1B"/>
    <w:rsid w:val="00647EAC"/>
    <w:rsid w:val="006537AC"/>
    <w:rsid w:val="00672B4C"/>
    <w:rsid w:val="006746A2"/>
    <w:rsid w:val="006773BD"/>
    <w:rsid w:val="00687879"/>
    <w:rsid w:val="00696752"/>
    <w:rsid w:val="006A1621"/>
    <w:rsid w:val="006A2219"/>
    <w:rsid w:val="006A56FC"/>
    <w:rsid w:val="006A7356"/>
    <w:rsid w:val="006D4B96"/>
    <w:rsid w:val="006E0CB2"/>
    <w:rsid w:val="006E406F"/>
    <w:rsid w:val="006F1159"/>
    <w:rsid w:val="006F13E9"/>
    <w:rsid w:val="006F3090"/>
    <w:rsid w:val="006F3AD3"/>
    <w:rsid w:val="006F7FA8"/>
    <w:rsid w:val="00700977"/>
    <w:rsid w:val="007129E2"/>
    <w:rsid w:val="007226FB"/>
    <w:rsid w:val="00774810"/>
    <w:rsid w:val="00782159"/>
    <w:rsid w:val="00793D15"/>
    <w:rsid w:val="00797161"/>
    <w:rsid w:val="007978CD"/>
    <w:rsid w:val="007A2BDC"/>
    <w:rsid w:val="007B7E7F"/>
    <w:rsid w:val="007C2F47"/>
    <w:rsid w:val="007D75E2"/>
    <w:rsid w:val="007F238C"/>
    <w:rsid w:val="007F717C"/>
    <w:rsid w:val="008012F4"/>
    <w:rsid w:val="008104D1"/>
    <w:rsid w:val="00815033"/>
    <w:rsid w:val="00842279"/>
    <w:rsid w:val="00844D3A"/>
    <w:rsid w:val="00847706"/>
    <w:rsid w:val="00854186"/>
    <w:rsid w:val="00863F42"/>
    <w:rsid w:val="008664F8"/>
    <w:rsid w:val="00877032"/>
    <w:rsid w:val="00880D0D"/>
    <w:rsid w:val="008872A2"/>
    <w:rsid w:val="00895A64"/>
    <w:rsid w:val="00895BE7"/>
    <w:rsid w:val="008A0DC9"/>
    <w:rsid w:val="008A5C2E"/>
    <w:rsid w:val="008B02AA"/>
    <w:rsid w:val="008B2FAB"/>
    <w:rsid w:val="008C5ABD"/>
    <w:rsid w:val="008D28A9"/>
    <w:rsid w:val="008D34EE"/>
    <w:rsid w:val="008D4ECE"/>
    <w:rsid w:val="008D585A"/>
    <w:rsid w:val="008E148C"/>
    <w:rsid w:val="008E26A2"/>
    <w:rsid w:val="008E6847"/>
    <w:rsid w:val="008F1B4A"/>
    <w:rsid w:val="008F373E"/>
    <w:rsid w:val="009078E5"/>
    <w:rsid w:val="00910498"/>
    <w:rsid w:val="00912ADD"/>
    <w:rsid w:val="00921F8C"/>
    <w:rsid w:val="00947544"/>
    <w:rsid w:val="00954B4B"/>
    <w:rsid w:val="00982726"/>
    <w:rsid w:val="00986E5F"/>
    <w:rsid w:val="009A11C1"/>
    <w:rsid w:val="009A7D21"/>
    <w:rsid w:val="009C453B"/>
    <w:rsid w:val="009C7F6B"/>
    <w:rsid w:val="009F1B75"/>
    <w:rsid w:val="009F39C7"/>
    <w:rsid w:val="009F6D25"/>
    <w:rsid w:val="00A013AA"/>
    <w:rsid w:val="00A022E5"/>
    <w:rsid w:val="00A32422"/>
    <w:rsid w:val="00A3418E"/>
    <w:rsid w:val="00A370FE"/>
    <w:rsid w:val="00A407D1"/>
    <w:rsid w:val="00A419CE"/>
    <w:rsid w:val="00A578E7"/>
    <w:rsid w:val="00A63C42"/>
    <w:rsid w:val="00A65801"/>
    <w:rsid w:val="00A87B5D"/>
    <w:rsid w:val="00A97E66"/>
    <w:rsid w:val="00AA1759"/>
    <w:rsid w:val="00AA3003"/>
    <w:rsid w:val="00AC139B"/>
    <w:rsid w:val="00AC17B0"/>
    <w:rsid w:val="00AC4897"/>
    <w:rsid w:val="00AD2178"/>
    <w:rsid w:val="00AD7784"/>
    <w:rsid w:val="00B00C76"/>
    <w:rsid w:val="00B0409B"/>
    <w:rsid w:val="00B21656"/>
    <w:rsid w:val="00B24563"/>
    <w:rsid w:val="00B574F1"/>
    <w:rsid w:val="00B635BA"/>
    <w:rsid w:val="00B919A9"/>
    <w:rsid w:val="00BB2497"/>
    <w:rsid w:val="00BB372B"/>
    <w:rsid w:val="00BE283B"/>
    <w:rsid w:val="00C15174"/>
    <w:rsid w:val="00C17D9A"/>
    <w:rsid w:val="00C337C1"/>
    <w:rsid w:val="00C4155A"/>
    <w:rsid w:val="00C45F21"/>
    <w:rsid w:val="00C519BC"/>
    <w:rsid w:val="00C55E43"/>
    <w:rsid w:val="00C605BD"/>
    <w:rsid w:val="00C61DC5"/>
    <w:rsid w:val="00C62423"/>
    <w:rsid w:val="00C65622"/>
    <w:rsid w:val="00C709B8"/>
    <w:rsid w:val="00C70FDD"/>
    <w:rsid w:val="00C955CC"/>
    <w:rsid w:val="00CA6F46"/>
    <w:rsid w:val="00CB3117"/>
    <w:rsid w:val="00CC736F"/>
    <w:rsid w:val="00CE1862"/>
    <w:rsid w:val="00CE1F04"/>
    <w:rsid w:val="00CE37ED"/>
    <w:rsid w:val="00CE7457"/>
    <w:rsid w:val="00D16906"/>
    <w:rsid w:val="00D35FDE"/>
    <w:rsid w:val="00D36C62"/>
    <w:rsid w:val="00D445F5"/>
    <w:rsid w:val="00D4613F"/>
    <w:rsid w:val="00D5318C"/>
    <w:rsid w:val="00D554FC"/>
    <w:rsid w:val="00D61EDE"/>
    <w:rsid w:val="00D81E3D"/>
    <w:rsid w:val="00D949F7"/>
    <w:rsid w:val="00DA057C"/>
    <w:rsid w:val="00DA16BE"/>
    <w:rsid w:val="00DA31D8"/>
    <w:rsid w:val="00DB13AB"/>
    <w:rsid w:val="00DB2FC5"/>
    <w:rsid w:val="00DE344D"/>
    <w:rsid w:val="00DE619D"/>
    <w:rsid w:val="00E339F2"/>
    <w:rsid w:val="00E774D0"/>
    <w:rsid w:val="00E8388E"/>
    <w:rsid w:val="00EA5F52"/>
    <w:rsid w:val="00EB563F"/>
    <w:rsid w:val="00EB7DD0"/>
    <w:rsid w:val="00EC1979"/>
    <w:rsid w:val="00EC282F"/>
    <w:rsid w:val="00ED7C8E"/>
    <w:rsid w:val="00EE2E07"/>
    <w:rsid w:val="00EE66B1"/>
    <w:rsid w:val="00EF3B2C"/>
    <w:rsid w:val="00EF6C56"/>
    <w:rsid w:val="00EF7B17"/>
    <w:rsid w:val="00F0364D"/>
    <w:rsid w:val="00F06CB4"/>
    <w:rsid w:val="00F16C5D"/>
    <w:rsid w:val="00F35B07"/>
    <w:rsid w:val="00F453E0"/>
    <w:rsid w:val="00F627E2"/>
    <w:rsid w:val="00F81C9E"/>
    <w:rsid w:val="00F820FC"/>
    <w:rsid w:val="00FA0099"/>
    <w:rsid w:val="00FA08FE"/>
    <w:rsid w:val="00FB61FC"/>
    <w:rsid w:val="00FC1406"/>
    <w:rsid w:val="00FD5739"/>
    <w:rsid w:val="00FF5D03"/>
    <w:rsid w:val="2A4C5685"/>
    <w:rsid w:val="4E0F5A7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uiPriority w:val="99"/>
    <w:rPr>
      <w:rFonts w:cs="Times New Roman"/>
    </w:rPr>
  </w:style>
  <w:style w:type="character" w:customStyle="1" w:styleId="10">
    <w:name w:val="日期 Char"/>
    <w:basedOn w:val="8"/>
    <w:link w:val="2"/>
    <w:semiHidden/>
    <w:locked/>
    <w:uiPriority w:val="99"/>
    <w:rPr>
      <w:rFonts w:cs="Times New Roman"/>
      <w:sz w:val="21"/>
      <w:szCs w:val="21"/>
    </w:rPr>
  </w:style>
  <w:style w:type="character" w:customStyle="1" w:styleId="11">
    <w:name w:val="页眉 Char"/>
    <w:basedOn w:val="8"/>
    <w:link w:val="5"/>
    <w:locked/>
    <w:uiPriority w:val="99"/>
    <w:rPr>
      <w:rFonts w:cs="Times New Roman"/>
      <w:kern w:val="2"/>
      <w:sz w:val="18"/>
      <w:szCs w:val="18"/>
    </w:rPr>
  </w:style>
  <w:style w:type="character" w:customStyle="1" w:styleId="12">
    <w:name w:val="页脚 Char"/>
    <w:basedOn w:val="8"/>
    <w:link w:val="4"/>
    <w:qFormat/>
    <w:locked/>
    <w:uiPriority w:val="99"/>
    <w:rPr>
      <w:rFonts w:cs="Times New Roman"/>
      <w:kern w:val="2"/>
      <w:sz w:val="18"/>
      <w:szCs w:val="18"/>
    </w:rPr>
  </w:style>
  <w:style w:type="character" w:customStyle="1" w:styleId="13">
    <w:name w:val="批注框文本 Char"/>
    <w:basedOn w:val="8"/>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2900</Words>
  <Characters>387</Characters>
  <Lines>3</Lines>
  <Paragraphs>6</Paragraphs>
  <TotalTime>148</TotalTime>
  <ScaleCrop>false</ScaleCrop>
  <LinksUpToDate>false</LinksUpToDate>
  <CharactersWithSpaces>3281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2025-02-12T04:02:59Z</dcterms:modified>
  <dc:title>喀什地区部门决算和三公经费</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