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cs="仿宋_GB2312"/>
          <w:sz w:val="32"/>
          <w:szCs w:val="32"/>
        </w:rPr>
        <w:t>附件1：</w:t>
      </w:r>
    </w:p>
    <w:p>
      <w:pPr>
        <w:spacing w:line="560" w:lineRule="exact"/>
        <w:jc w:val="center"/>
        <w:rPr>
          <w:rFonts w:ascii="仿宋_GB2312" w:hAnsi="宋体" w:eastAsia="仿宋_GB2312" w:cs="仿宋_GB2312"/>
          <w:b/>
          <w:sz w:val="44"/>
          <w:szCs w:val="44"/>
        </w:rPr>
      </w:pPr>
      <w:r>
        <w:rPr>
          <w:rFonts w:hint="eastAsia" w:ascii="仿宋_GB2312" w:hAnsi="宋体" w:eastAsia="仿宋_GB2312" w:cs="仿宋_GB2312"/>
          <w:b/>
          <w:sz w:val="44"/>
          <w:szCs w:val="44"/>
        </w:rPr>
        <w:t xml:space="preserve">  2016年喀什地区叶城县发展和改革委员会部门决算</w:t>
      </w:r>
    </w:p>
    <w:p>
      <w:pPr>
        <w:spacing w:line="560" w:lineRule="exact"/>
        <w:jc w:val="center"/>
        <w:rPr>
          <w:rFonts w:ascii="仿宋_GB2312" w:hAnsi="宋体" w:eastAsia="仿宋_GB2312"/>
          <w:b/>
          <w:bCs/>
          <w:sz w:val="32"/>
          <w:szCs w:val="32"/>
        </w:rPr>
      </w:pPr>
    </w:p>
    <w:p>
      <w:pPr>
        <w:spacing w:line="560" w:lineRule="exact"/>
        <w:jc w:val="center"/>
        <w:rPr>
          <w:rFonts w:ascii="仿宋_GB2312" w:eastAsia="仿宋_GB2312"/>
          <w:b/>
          <w:bCs/>
          <w:sz w:val="32"/>
          <w:szCs w:val="32"/>
        </w:rPr>
      </w:pPr>
      <w:r>
        <w:rPr>
          <w:rFonts w:hint="eastAsia" w:ascii="仿宋_GB2312" w:eastAsia="仿宋_GB2312" w:cs="仿宋_GB2312"/>
          <w:b/>
          <w:bCs/>
          <w:sz w:val="32"/>
          <w:szCs w:val="32"/>
        </w:rPr>
        <w:t>第一部分 单位概述</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单位性质为行政单位，全额拨款，执行会计制度为行政会计制度。独立编制机构1个，独立编制机构与上年无变动。</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一、主要职能：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（一）研究提出县国民经济和社会发展战略、中长期规划和年度发展计划，研究提出总量平衡、发展速度和结构调整的调控目标及调控政策；研究提出和组织实施重点专项规划。</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（二）研究提县国土开发保护、区域经济、资源开发、生产力布局和环境建设规划，引导和促进全县经济结构合理和区域经济协调发展。</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（三）负责汇总和分析县财政、金融等部门及其国民经济和社会发展各部门的情况，分析研究国际国内及区内外经济形势，对全县宏观经济运行进行预测、信息发布等，以及对重点问题进行调查研究，提出对策。</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（四）承办县人民政府交办的其他事项。</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二、机构人员情况：编制23人，按照编委文件填报，实际实有在职人数18人，离退休0人，属于一般公共预算财政拨款开支18人，其中：在职18人，离退休0人。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三、决算单位构成</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纳入2016年部门决算编制范围的单位名单见下表：</w:t>
      </w:r>
    </w:p>
    <w:tbl>
      <w:tblPr>
        <w:tblStyle w:val="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4"/>
        <w:gridCol w:w="4394"/>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序号</w:t>
            </w:r>
          </w:p>
        </w:tc>
        <w:tc>
          <w:tcPr>
            <w:tcW w:w="4394"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单位名称</w:t>
            </w:r>
          </w:p>
        </w:tc>
        <w:tc>
          <w:tcPr>
            <w:tcW w:w="2354"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w:t>
            </w:r>
          </w:p>
        </w:tc>
        <w:tc>
          <w:tcPr>
            <w:tcW w:w="4394"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叶城县发展和改革委员会</w:t>
            </w:r>
          </w:p>
        </w:tc>
        <w:tc>
          <w:tcPr>
            <w:tcW w:w="2354" w:type="dxa"/>
          </w:tcPr>
          <w:p>
            <w:pPr>
              <w:spacing w:line="560" w:lineRule="exact"/>
              <w:ind w:firstLine="640" w:firstLineChars="200"/>
              <w:rPr>
                <w:rFonts w:ascii="仿宋_GB2312" w:hAnsi="宋体" w:eastAsia="仿宋_GB2312"/>
                <w:sz w:val="32"/>
                <w:szCs w:val="32"/>
              </w:rPr>
            </w:pPr>
          </w:p>
        </w:tc>
      </w:tr>
    </w:tbl>
    <w:p>
      <w:pPr>
        <w:spacing w:line="560" w:lineRule="exact"/>
        <w:ind w:firstLine="640" w:firstLineChars="200"/>
        <w:rPr>
          <w:rFonts w:ascii="仿宋_GB2312" w:hAnsi="宋体" w:eastAsia="仿宋_GB2312"/>
          <w:sz w:val="32"/>
          <w:szCs w:val="32"/>
        </w:rPr>
      </w:pPr>
      <w:bookmarkStart w:id="0" w:name="YS060102"/>
      <w:r>
        <w:rPr>
          <w:rFonts w:hint="eastAsia" w:ascii="仿宋_GB2312" w:hAnsi="宋体" w:eastAsia="仿宋_GB2312"/>
          <w:sz w:val="32"/>
          <w:szCs w:val="32"/>
        </w:rPr>
        <w:t>四、机构设置</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根据职责，纳入2016年部门决算编制范围的有7个内设机构。</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负责文电、会务、机要、文书档案等机关日常运转工作。负责组织编制县国民经济和社会发展中长期规划，研究提出县国民经济中长期发展战略。负责汇总编制全县社会固定资产中长期规划和年度计划以及前期项目计划；提出固定资产投资总规模、投资结构和资金来源，监测全杜会固定资产投资的运行状况等。</w:t>
      </w:r>
    </w:p>
    <w:p>
      <w:pPr>
        <w:snapToGrid w:val="0"/>
        <w:spacing w:line="560" w:lineRule="exact"/>
        <w:rPr>
          <w:rFonts w:ascii="仿宋_GB2312" w:hAnsi="宋体" w:eastAsia="仿宋_GB2312"/>
          <w:b/>
          <w:bCs/>
          <w:sz w:val="32"/>
          <w:szCs w:val="32"/>
        </w:rPr>
      </w:pPr>
      <w:r>
        <w:rPr>
          <w:rFonts w:hint="eastAsia" w:ascii="仿宋_GB2312" w:hAnsi="宋体" w:eastAsia="仿宋_GB2312" w:cs="仿宋_GB2312"/>
          <w:b/>
          <w:bCs/>
          <w:sz w:val="32"/>
          <w:szCs w:val="32"/>
        </w:rPr>
        <w:t>第二部分 叶城县</w:t>
      </w:r>
      <w:r>
        <w:rPr>
          <w:rFonts w:hint="eastAsia" w:ascii="仿宋_GB2312" w:hAnsi="宋体" w:eastAsia="仿宋_GB2312"/>
          <w:b/>
          <w:sz w:val="32"/>
          <w:szCs w:val="32"/>
        </w:rPr>
        <w:t>发展和改革委员会</w:t>
      </w:r>
      <w:r>
        <w:rPr>
          <w:rFonts w:hint="eastAsia" w:ascii="仿宋_GB2312" w:hAnsi="宋体" w:eastAsia="仿宋_GB2312" w:cs="仿宋_GB2312"/>
          <w:b/>
          <w:bCs/>
          <w:sz w:val="32"/>
          <w:szCs w:val="32"/>
        </w:rPr>
        <w:t>2016年度部门决算报表</w:t>
      </w:r>
    </w:p>
    <w:p>
      <w:pPr>
        <w:numPr>
          <w:ilvl w:val="0"/>
          <w:numId w:val="1"/>
        </w:numPr>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财政拨款收入支出决算总表</w:t>
      </w:r>
    </w:p>
    <w:p>
      <w:pPr>
        <w:numPr>
          <w:ilvl w:val="0"/>
          <w:numId w:val="1"/>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四、收入决算表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七、基本支出决算明细表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八、项目支出决算明细表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十、行政事业类项目收入支出决算表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十一、基本建设类项目收入支出决算表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十二、一般公共预算财政拨款收入支出决算表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十三、一般公共预算财政拨款支出决算明细表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十四、一般公共预算财政拨款基本支出决算表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十五、一般公共预算财政拨款项目支出决算表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十六、政府性基金预算财政拨款收入支出决算表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十七、政府性基金预算财政拨款基本支出决算明细表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十八、政府性基金预算财政拨款项目支出决算明细表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十九、政府性基金预算财政拨款支出决算明细表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二十、财政专户管理资金收入支出决算表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二十一、资产负债表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二十二、资产情况表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二十三、部门决算相关信息统计表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二十四、政府采购情况表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二十五、2016年项目支出专项资金决算公开表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二十六、2016年对个人和家庭的补助项目支出专项资金决算公开表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二十七、2016年度财政拨款“三公”经费支出表及说明</w:t>
      </w: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第三部分  叶城县</w:t>
      </w:r>
      <w:r>
        <w:rPr>
          <w:rFonts w:hint="eastAsia" w:ascii="仿宋_GB2312" w:hAnsi="宋体" w:eastAsia="仿宋_GB2312"/>
          <w:b/>
          <w:sz w:val="32"/>
          <w:szCs w:val="32"/>
        </w:rPr>
        <w:t>发展和改革委员会</w:t>
      </w:r>
      <w:r>
        <w:rPr>
          <w:rFonts w:hint="eastAsia" w:ascii="仿宋_GB2312" w:hAnsi="宋体" w:eastAsia="仿宋_GB2312" w:cs="仿宋_GB2312"/>
          <w:b/>
          <w:bCs/>
          <w:sz w:val="32"/>
          <w:szCs w:val="32"/>
        </w:rPr>
        <w:t>2016年度部门决算情况说明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一、部门收入支出决算总体情况说明：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2016年全年收入合计</w:t>
      </w:r>
      <w:r>
        <w:rPr>
          <w:rFonts w:hint="eastAsia" w:ascii="仿宋_GB2312" w:hAnsi="宋体" w:eastAsia="仿宋_GB2312"/>
          <w:sz w:val="32"/>
          <w:szCs w:val="32"/>
        </w:rPr>
        <w:t>59,421,668.47</w:t>
      </w:r>
      <w:r>
        <w:rPr>
          <w:rFonts w:hint="eastAsia" w:ascii="仿宋_GB2312" w:hAnsi="宋体" w:eastAsia="仿宋_GB2312" w:cs="仿宋_GB2312"/>
          <w:sz w:val="32"/>
          <w:szCs w:val="32"/>
        </w:rPr>
        <w:t>元，支出合计</w:t>
      </w:r>
      <w:r>
        <w:rPr>
          <w:rFonts w:hint="eastAsia" w:ascii="仿宋_GB2312" w:hAnsi="宋体" w:eastAsia="仿宋_GB2312"/>
          <w:sz w:val="32"/>
          <w:szCs w:val="32"/>
        </w:rPr>
        <w:t>57,361,668.47</w:t>
      </w:r>
      <w:r>
        <w:rPr>
          <w:rFonts w:hint="eastAsia" w:ascii="仿宋_GB2312" w:hAnsi="宋体" w:eastAsia="仿宋_GB2312" w:cs="仿宋_GB2312"/>
          <w:sz w:val="32"/>
          <w:szCs w:val="32"/>
        </w:rPr>
        <w:t>元，其中基本支出</w:t>
      </w:r>
      <w:r>
        <w:rPr>
          <w:rFonts w:hint="eastAsia" w:ascii="仿宋_GB2312" w:hAnsi="宋体" w:eastAsia="仿宋_GB2312"/>
          <w:sz w:val="32"/>
          <w:szCs w:val="32"/>
        </w:rPr>
        <w:t>4,116,668.47</w:t>
      </w:r>
      <w:r>
        <w:rPr>
          <w:rFonts w:hint="eastAsia" w:ascii="仿宋_GB2312" w:hAnsi="宋体" w:eastAsia="仿宋_GB2312" w:cs="仿宋_GB2312"/>
          <w:sz w:val="32"/>
          <w:szCs w:val="32"/>
        </w:rPr>
        <w:t>元，项目支出</w:t>
      </w:r>
      <w:r>
        <w:rPr>
          <w:rFonts w:hint="eastAsia" w:ascii="仿宋_GB2312" w:hAnsi="宋体" w:eastAsia="仿宋_GB2312"/>
          <w:sz w:val="32"/>
          <w:szCs w:val="32"/>
        </w:rPr>
        <w:t>53,245,000</w:t>
      </w:r>
      <w:r>
        <w:rPr>
          <w:rFonts w:hint="eastAsia" w:ascii="仿宋_GB2312" w:hAnsi="宋体" w:eastAsia="仿宋_GB2312" w:cs="仿宋_GB2312"/>
          <w:sz w:val="32"/>
          <w:szCs w:val="32"/>
        </w:rPr>
        <w:t>元。</w:t>
      </w:r>
    </w:p>
    <w:bookmarkEnd w:id="0"/>
    <w:p>
      <w:pPr>
        <w:numPr>
          <w:ilvl w:val="0"/>
          <w:numId w:val="2"/>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收入情况说明</w:t>
      </w:r>
    </w:p>
    <w:p>
      <w:pPr>
        <w:snapToGrid w:val="0"/>
        <w:spacing w:line="560" w:lineRule="exact"/>
        <w:ind w:left="147" w:leftChars="70" w:firstLine="480" w:firstLineChars="150"/>
        <w:rPr>
          <w:rFonts w:ascii="仿宋_GB2312" w:hAnsi="宋体" w:eastAsia="仿宋_GB2312"/>
          <w:sz w:val="32"/>
          <w:szCs w:val="32"/>
        </w:rPr>
      </w:pPr>
      <w:r>
        <w:rPr>
          <w:rFonts w:hint="eastAsia" w:ascii="仿宋_GB2312" w:hAnsi="宋体" w:eastAsia="仿宋_GB2312" w:cs="仿宋_GB2312"/>
          <w:sz w:val="32"/>
          <w:szCs w:val="32"/>
        </w:rPr>
        <w:t>2016年本年收入合计</w:t>
      </w:r>
      <w:r>
        <w:rPr>
          <w:rFonts w:hint="eastAsia" w:ascii="仿宋_GB2312" w:hAnsi="宋体" w:eastAsia="仿宋_GB2312"/>
          <w:sz w:val="32"/>
          <w:szCs w:val="32"/>
        </w:rPr>
        <w:t>59,421,668.47</w:t>
      </w:r>
      <w:r>
        <w:rPr>
          <w:rFonts w:hint="eastAsia" w:ascii="仿宋_GB2312" w:hAnsi="宋体" w:eastAsia="仿宋_GB2312" w:cs="仿宋_GB2312"/>
          <w:sz w:val="32"/>
          <w:szCs w:val="32"/>
        </w:rPr>
        <w:t>元，其中：财政拨款收入</w:t>
      </w:r>
      <w:r>
        <w:rPr>
          <w:rFonts w:hint="eastAsia" w:ascii="仿宋_GB2312" w:hAnsi="宋体" w:eastAsia="仿宋_GB2312"/>
          <w:sz w:val="32"/>
          <w:szCs w:val="32"/>
        </w:rPr>
        <w:t>59,421,668.47</w:t>
      </w:r>
      <w:r>
        <w:rPr>
          <w:rFonts w:hint="eastAsia" w:ascii="仿宋_GB2312" w:hAnsi="宋体" w:eastAsia="仿宋_GB2312" w:cs="仿宋_GB2312"/>
          <w:sz w:val="32"/>
          <w:szCs w:val="32"/>
        </w:rPr>
        <w:t>元，无事业收入，无经营收入，无其他收入。</w:t>
      </w:r>
    </w:p>
    <w:p>
      <w:pPr>
        <w:snapToGrid w:val="0"/>
        <w:spacing w:line="560" w:lineRule="exact"/>
        <w:ind w:left="147" w:leftChars="70" w:firstLine="480" w:firstLineChars="150"/>
        <w:rPr>
          <w:rFonts w:ascii="仿宋_GB2312" w:hAnsi="宋体" w:eastAsia="仿宋_GB2312"/>
          <w:sz w:val="32"/>
          <w:szCs w:val="32"/>
        </w:rPr>
      </w:pPr>
      <w:r>
        <w:rPr>
          <w:rFonts w:hint="eastAsia" w:ascii="仿宋_GB2312" w:hAnsi="宋体" w:eastAsia="仿宋_GB2312" w:cs="仿宋_GB2312"/>
          <w:sz w:val="32"/>
          <w:szCs w:val="32"/>
        </w:rPr>
        <w:t>三、支出情况说明</w:t>
      </w:r>
    </w:p>
    <w:p>
      <w:pPr>
        <w:snapToGrid w:val="0"/>
        <w:spacing w:line="560" w:lineRule="exact"/>
        <w:ind w:left="210" w:leftChars="100" w:firstLine="480" w:firstLineChars="150"/>
        <w:rPr>
          <w:rFonts w:ascii="仿宋_GB2312" w:hAnsi="宋体" w:eastAsia="仿宋_GB2312"/>
          <w:sz w:val="32"/>
          <w:szCs w:val="32"/>
        </w:rPr>
      </w:pPr>
      <w:r>
        <w:rPr>
          <w:rFonts w:hint="eastAsia" w:ascii="仿宋_GB2312" w:hAnsi="宋体" w:eastAsia="仿宋_GB2312" w:cs="仿宋_GB2312"/>
          <w:sz w:val="32"/>
          <w:szCs w:val="32"/>
        </w:rPr>
        <w:t>本年支出合计</w:t>
      </w:r>
      <w:r>
        <w:rPr>
          <w:rFonts w:hint="eastAsia" w:ascii="仿宋_GB2312" w:hAnsi="宋体" w:eastAsia="仿宋_GB2312"/>
          <w:sz w:val="32"/>
          <w:szCs w:val="32"/>
        </w:rPr>
        <w:t>57,361,668.47</w:t>
      </w:r>
      <w:r>
        <w:rPr>
          <w:rFonts w:hint="eastAsia" w:ascii="仿宋_GB2312" w:hAnsi="宋体" w:eastAsia="仿宋_GB2312" w:cs="仿宋_GB2312"/>
          <w:sz w:val="32"/>
          <w:szCs w:val="32"/>
        </w:rPr>
        <w:t>元，其中：基本支出</w:t>
      </w:r>
      <w:r>
        <w:rPr>
          <w:rFonts w:hint="eastAsia" w:ascii="仿宋_GB2312" w:hAnsi="宋体" w:eastAsia="仿宋_GB2312"/>
          <w:sz w:val="32"/>
          <w:szCs w:val="32"/>
        </w:rPr>
        <w:t>4,116,668.47</w:t>
      </w:r>
      <w:r>
        <w:rPr>
          <w:rFonts w:hint="eastAsia" w:ascii="仿宋_GB2312" w:hAnsi="宋体" w:eastAsia="仿宋_GB2312" w:cs="仿宋_GB2312"/>
          <w:sz w:val="32"/>
          <w:szCs w:val="32"/>
        </w:rPr>
        <w:t>元，项目支出</w:t>
      </w:r>
      <w:r>
        <w:rPr>
          <w:rFonts w:hint="eastAsia" w:ascii="仿宋_GB2312" w:hAnsi="宋体" w:eastAsia="仿宋_GB2312"/>
          <w:sz w:val="32"/>
          <w:szCs w:val="32"/>
        </w:rPr>
        <w:t>53,245,000</w:t>
      </w:r>
      <w:r>
        <w:rPr>
          <w:rFonts w:hint="eastAsia" w:ascii="仿宋_GB2312" w:hAnsi="宋体" w:eastAsia="仿宋_GB2312" w:cs="仿宋_GB2312"/>
          <w:sz w:val="32"/>
          <w:szCs w:val="32"/>
        </w:rPr>
        <w:t>元，无经营支出。</w:t>
      </w:r>
    </w:p>
    <w:p>
      <w:pPr>
        <w:snapToGrid w:val="0"/>
        <w:spacing w:line="560" w:lineRule="exact"/>
        <w:ind w:left="210" w:leftChars="100" w:firstLine="480" w:firstLineChars="150"/>
        <w:rPr>
          <w:rFonts w:ascii="仿宋_GB2312" w:hAnsi="宋体" w:eastAsia="仿宋_GB2312"/>
          <w:sz w:val="32"/>
          <w:szCs w:val="32"/>
        </w:rPr>
      </w:pPr>
      <w:r>
        <w:rPr>
          <w:rFonts w:hint="eastAsia" w:ascii="仿宋_GB2312" w:hAnsi="宋体" w:eastAsia="仿宋_GB2312" w:cs="仿宋_GB2312"/>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2016年结转结余资金2,060,000.00元（其中：财政拨款基本支出结转结余0元，项目支出结转结余2,060,000.00元，用于地震灾后恢复重建的支出）。</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五、“三公”经费、会议费和培训费支出情况说明</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2016年“三公”经费实际支出</w:t>
      </w:r>
      <w:r>
        <w:rPr>
          <w:rFonts w:hint="eastAsia" w:ascii="仿宋_GB2312" w:hAnsi="宋体" w:eastAsia="仿宋_GB2312"/>
          <w:sz w:val="32"/>
          <w:szCs w:val="32"/>
        </w:rPr>
        <w:t>74，000</w:t>
      </w:r>
      <w:r>
        <w:rPr>
          <w:rFonts w:hint="eastAsia" w:ascii="仿宋_GB2312" w:hAnsi="宋体" w:eastAsia="仿宋_GB2312" w:cs="仿宋_GB2312"/>
          <w:sz w:val="32"/>
          <w:szCs w:val="32"/>
        </w:rPr>
        <w:t>元，其中：因公出国费用0批次，共组团0批次0人次,无出国事由；公务接待费</w:t>
      </w:r>
      <w:r>
        <w:rPr>
          <w:rFonts w:hint="eastAsia" w:ascii="仿宋_GB2312" w:hAnsi="宋体" w:eastAsia="仿宋_GB2312"/>
          <w:sz w:val="32"/>
          <w:szCs w:val="32"/>
        </w:rPr>
        <w:t>26,000.00</w:t>
      </w:r>
      <w:r>
        <w:rPr>
          <w:rFonts w:hint="eastAsia" w:ascii="仿宋_GB2312" w:hAnsi="宋体" w:eastAsia="仿宋_GB2312" w:cs="仿宋_GB2312"/>
          <w:sz w:val="32"/>
          <w:szCs w:val="32"/>
        </w:rPr>
        <w:t>元，共接待</w:t>
      </w:r>
      <w:r>
        <w:rPr>
          <w:rFonts w:hint="eastAsia" w:ascii="仿宋_GB2312" w:hAnsi="宋体" w:eastAsia="仿宋_GB2312"/>
          <w:sz w:val="32"/>
          <w:szCs w:val="32"/>
        </w:rPr>
        <w:t>28</w:t>
      </w:r>
      <w:r>
        <w:rPr>
          <w:rFonts w:hint="eastAsia" w:ascii="仿宋_GB2312" w:hAnsi="宋体" w:eastAsia="仿宋_GB2312" w:cs="仿宋_GB2312"/>
          <w:sz w:val="32"/>
          <w:szCs w:val="32"/>
        </w:rPr>
        <w:t>批次</w:t>
      </w:r>
      <w:r>
        <w:rPr>
          <w:rFonts w:hint="eastAsia" w:ascii="仿宋_GB2312" w:hAnsi="宋体" w:eastAsia="仿宋_GB2312"/>
          <w:sz w:val="32"/>
          <w:szCs w:val="32"/>
        </w:rPr>
        <w:t>96</w:t>
      </w:r>
      <w:r>
        <w:rPr>
          <w:rFonts w:hint="eastAsia" w:ascii="仿宋_GB2312" w:hAnsi="宋体" w:eastAsia="仿宋_GB2312" w:cs="仿宋_GB2312"/>
          <w:sz w:val="32"/>
          <w:szCs w:val="32"/>
        </w:rPr>
        <w:t>人次；无公务用车购置，年末公务用车保有量为</w:t>
      </w:r>
      <w:r>
        <w:rPr>
          <w:rFonts w:hint="eastAsia" w:ascii="仿宋_GB2312" w:hAnsi="宋体" w:eastAsia="仿宋_GB2312"/>
          <w:sz w:val="32"/>
          <w:szCs w:val="32"/>
        </w:rPr>
        <w:t>2</w:t>
      </w:r>
      <w:r>
        <w:rPr>
          <w:rFonts w:hint="eastAsia" w:ascii="仿宋_GB2312" w:hAnsi="宋体" w:eastAsia="仿宋_GB2312" w:cs="仿宋_GB2312"/>
          <w:sz w:val="32"/>
          <w:szCs w:val="32"/>
        </w:rPr>
        <w:t>辆；公务用车维护费</w:t>
      </w:r>
      <w:r>
        <w:rPr>
          <w:rFonts w:hint="eastAsia" w:ascii="仿宋_GB2312" w:hAnsi="宋体" w:eastAsia="仿宋_GB2312"/>
          <w:sz w:val="32"/>
          <w:szCs w:val="32"/>
        </w:rPr>
        <w:t>48,000.00</w:t>
      </w:r>
      <w:r>
        <w:rPr>
          <w:rFonts w:hint="eastAsia" w:ascii="仿宋_GB2312" w:hAnsi="宋体" w:eastAsia="仿宋_GB2312" w:cs="仿宋_GB2312"/>
          <w:sz w:val="32"/>
          <w:szCs w:val="32"/>
        </w:rPr>
        <w:t>元。</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“三公”经费较上年相比</w:t>
      </w:r>
      <w:r>
        <w:rPr>
          <w:rFonts w:hint="eastAsia" w:ascii="仿宋_GB2312" w:hAnsi="宋体" w:eastAsia="仿宋_GB2312"/>
          <w:sz w:val="32"/>
          <w:szCs w:val="32"/>
        </w:rPr>
        <w:t>少支出15，000</w:t>
      </w:r>
      <w:r>
        <w:rPr>
          <w:rFonts w:hint="eastAsia" w:ascii="仿宋_GB2312" w:hAnsi="宋体" w:eastAsia="仿宋_GB2312" w:cs="仿宋_GB2312"/>
          <w:sz w:val="32"/>
          <w:szCs w:val="32"/>
        </w:rPr>
        <w:t>元，其中：公务用车维护费</w:t>
      </w:r>
      <w:r>
        <w:rPr>
          <w:rFonts w:hint="eastAsia" w:ascii="仿宋_GB2312" w:hAnsi="宋体" w:eastAsia="仿宋_GB2312"/>
          <w:sz w:val="32"/>
          <w:szCs w:val="32"/>
        </w:rPr>
        <w:t>少支出12，000</w:t>
      </w:r>
      <w:r>
        <w:rPr>
          <w:rFonts w:hint="eastAsia" w:ascii="仿宋_GB2312" w:hAnsi="宋体" w:eastAsia="仿宋_GB2312" w:cs="仿宋_GB2312"/>
          <w:sz w:val="32"/>
          <w:szCs w:val="32"/>
        </w:rPr>
        <w:t>元,公务接待费</w:t>
      </w:r>
      <w:r>
        <w:rPr>
          <w:rFonts w:hint="eastAsia" w:ascii="仿宋_GB2312" w:hAnsi="宋体" w:eastAsia="仿宋_GB2312"/>
          <w:sz w:val="32"/>
          <w:szCs w:val="32"/>
        </w:rPr>
        <w:t>少支出3，000</w:t>
      </w:r>
      <w:r>
        <w:rPr>
          <w:rFonts w:hint="eastAsia" w:ascii="仿宋_GB2312" w:hAnsi="宋体" w:eastAsia="仿宋_GB2312" w:cs="仿宋_GB2312"/>
          <w:sz w:val="32"/>
          <w:szCs w:val="32"/>
        </w:rPr>
        <w:t>元；无公务用车购置费，无因公出国费用。主要原因为：</w:t>
      </w:r>
      <w:r>
        <w:rPr>
          <w:rFonts w:hint="eastAsia" w:ascii="仿宋_GB2312" w:hAnsi="宋体" w:eastAsia="仿宋_GB2312"/>
          <w:sz w:val="32"/>
          <w:szCs w:val="32"/>
        </w:rPr>
        <w:t>贯彻落实中央八项规定严格控制</w:t>
      </w:r>
      <w:r>
        <w:rPr>
          <w:rFonts w:hint="eastAsia" w:ascii="仿宋_GB2312" w:hAnsi="宋体" w:eastAsia="仿宋_GB2312" w:cs="仿宋_GB2312"/>
          <w:sz w:val="32"/>
          <w:szCs w:val="32"/>
        </w:rPr>
        <w:t>“三公”经费支出</w:t>
      </w:r>
      <w:r>
        <w:rPr>
          <w:rFonts w:hint="eastAsia" w:ascii="仿宋_GB2312" w:hAnsi="宋体" w:eastAsia="仿宋_GB2312"/>
          <w:sz w:val="32"/>
          <w:szCs w:val="32"/>
        </w:rPr>
        <w:t>。</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2016年无会议费及培训费支出</w:t>
      </w:r>
      <w:r>
        <w:rPr>
          <w:rFonts w:hint="eastAsia" w:ascii="仿宋_GB2312" w:hAnsi="宋体" w:eastAsia="仿宋_GB2312"/>
          <w:sz w:val="32"/>
          <w:szCs w:val="32"/>
        </w:rPr>
        <w:t>。</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六、预算执行情况说明</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2016年本年收入</w:t>
      </w:r>
      <w:r>
        <w:rPr>
          <w:rFonts w:hint="eastAsia" w:ascii="仿宋_GB2312" w:hAnsi="宋体" w:eastAsia="仿宋_GB2312"/>
          <w:sz w:val="32"/>
          <w:szCs w:val="32"/>
        </w:rPr>
        <w:t>59,421,668.47</w:t>
      </w:r>
      <w:r>
        <w:rPr>
          <w:rFonts w:hint="eastAsia" w:ascii="仿宋_GB2312" w:hAnsi="宋体" w:eastAsia="仿宋_GB2312" w:cs="仿宋_GB2312"/>
          <w:sz w:val="32"/>
          <w:szCs w:val="32"/>
        </w:rPr>
        <w:t xml:space="preserve">元，比2015年增加43，796，624.52元，增加原因：同比财政拨款项目资金增加。 </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2016年本年支出</w:t>
      </w:r>
      <w:r>
        <w:rPr>
          <w:rFonts w:ascii="仿宋_GB2312" w:hAnsi="宋体" w:eastAsia="仿宋_GB2312"/>
          <w:sz w:val="32"/>
          <w:szCs w:val="32"/>
        </w:rPr>
        <w:t>57361668.47</w:t>
      </w:r>
      <w:r>
        <w:rPr>
          <w:rFonts w:hint="eastAsia" w:ascii="仿宋_GB2312" w:hAnsi="宋体" w:eastAsia="仿宋_GB2312" w:cs="仿宋_GB2312"/>
          <w:sz w:val="32"/>
          <w:szCs w:val="32"/>
        </w:rPr>
        <w:t>元，比2015年增加43，796，624.52元，增加原因：同比财政拨款项目资金增加。</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2016年财政拨款支出</w:t>
      </w:r>
      <w:r>
        <w:rPr>
          <w:rFonts w:ascii="仿宋_GB2312" w:hAnsi="宋体" w:eastAsia="仿宋_GB2312"/>
          <w:sz w:val="32"/>
          <w:szCs w:val="32"/>
        </w:rPr>
        <w:t>57361668.47</w:t>
      </w:r>
      <w:r>
        <w:rPr>
          <w:rFonts w:hint="eastAsia" w:ascii="仿宋_GB2312" w:hAnsi="宋体" w:eastAsia="仿宋_GB2312" w:cs="仿宋_GB2312"/>
          <w:sz w:val="32"/>
          <w:szCs w:val="32"/>
        </w:rPr>
        <w:t>元，年初预算数3,163,948.98元，部分财政拨款项目资金年初未做预算安排。</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七、决算公开其他重要事项情况说明</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（一）机关运行经费支出情况</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2016年叶城县发展和改革委员会机关运行经费支出.93，000元，比2015年减少7，000元，降低7% ，主要原因是：按照八项规定要求严格控制单位各类经费支出。</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（二）政府采购支出情况</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2016年，叶城县发展和改革委员会政府采购支出总额0元，其中政府采购货物支出0元，政府采购工程支出0元，政府采购服务支出0元。喀什地区为偏远地区，参与招投标的供应商基本为中小微企业。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（三）国有资产占用情况</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截止2016年12月31日，本单位共有车辆2辆，其中一般公务用车2辆，一般工作用车0辆，专业用车0辆，其他车辆0辆，无其他用车，单位价值在50万元以上的设备0台（套），价值0元。</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（四）民生项目、重点支出项目绩效评价结果</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2016年，叶城县发展和改革委员会共组织对 5个项目进行了预算绩效评价，涉及一般公共预算当年财政拨款</w:t>
      </w:r>
      <w:r>
        <w:rPr>
          <w:rFonts w:ascii="仿宋_GB2312" w:hAnsi="宋体" w:eastAsia="仿宋_GB2312" w:cs="仿宋_GB2312"/>
          <w:sz w:val="32"/>
          <w:szCs w:val="32"/>
        </w:rPr>
        <w:t>35,305,000.00</w:t>
      </w:r>
      <w:r>
        <w:rPr>
          <w:rFonts w:hint="eastAsia" w:ascii="仿宋_GB2312" w:hAnsi="宋体" w:eastAsia="仿宋_GB2312" w:cs="仿宋_GB2312"/>
          <w:sz w:val="32"/>
          <w:szCs w:val="32"/>
        </w:rPr>
        <w:t>元。绩效评价结果：喀什机场维护费项目实施充分发挥财政资金的导向和激励作用，积极培育喀什机场航线、航班，充分调动航空公司在喀什扩大经营的积极性，进一步提升喀什机场竞争力，巩固和开发喀什客源市场的专项补助资金。便民服务办公室建设项目实施使农村党员和基层党组织的关系得到进一步密切和加强。本着为民、利民、便民，让农村群众共步共享经济社会发展的成果，切切实实拥有不断丰富和满足的获得感。小城镇基础设施建设项目开展能够更好</w:t>
      </w:r>
      <w:r>
        <w:rPr>
          <w:rFonts w:hint="eastAsia" w:ascii="仿宋_GB2312" w:hAnsi="宋体" w:eastAsia="仿宋_GB2312" w:cs="仿宋_GB2312"/>
          <w:sz w:val="32"/>
          <w:szCs w:val="32"/>
          <w:lang w:eastAsia="zh-CN"/>
        </w:rPr>
        <w:t>地</w:t>
      </w:r>
      <w:r>
        <w:rPr>
          <w:rFonts w:hint="eastAsia" w:ascii="仿宋_GB2312" w:hAnsi="宋体" w:eastAsia="仿宋_GB2312" w:cs="仿宋_GB2312"/>
          <w:sz w:val="32"/>
          <w:szCs w:val="32"/>
        </w:rPr>
        <w:t>为广大农牧民群众服务，方便农牧民群众的生产、生活需要，能够有效的改善了党群干群关系，进一步树立村级党支部威信和</w:t>
      </w:r>
      <w:bookmarkStart w:id="1" w:name="_GoBack"/>
      <w:bookmarkEnd w:id="1"/>
      <w:r>
        <w:rPr>
          <w:rFonts w:hint="eastAsia" w:ascii="仿宋_GB2312" w:hAnsi="宋体" w:eastAsia="仿宋_GB2312" w:cs="仿宋_GB2312"/>
          <w:sz w:val="32"/>
          <w:szCs w:val="32"/>
        </w:rPr>
        <w:t>良好形象。对于构建和谐文明社会、全面建设小康社会具有非常重要的作用。本项目的建设，对提高农牧民的生活水平，改善生活条件都将起到促进作用，从而为该村及周边农牧民群众的生产、生活提供保障，为该村群众脱贫致富谋发展奠定基础。</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（五）事业收入明细、经营收入明细</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按收入项目分别列示：本单位是行政单位，无事业收入和经营收入。</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八、专业名词解释</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（一）财政拨款收入：指单位本年度从本级财政部门取得得财政拨款。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（二）事业收入：指事业单位开展专业业务活动及辅助活动所取得的收入。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（三）经营收入：指事业单位在专业业务活动及其辅助活动之外开展非独立核算经营活动取得的收入。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（四）其他收入：指除上述“财政拨款收入”、“事业收入”、“经营收入”等以外的收入。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（六）年初结转和结余：指以前年度尚未完成、结转到本年按有关规定继续使用的资金。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（七）结余分配：指事业单位按规定提取的职工福利基</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金、事业基金和缴纳的所得税，以及建设单位按规定应交回的基本建设竣工项目结余资金。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（八）年末结转和结余：指本年度或以前年度预算安排、</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因客观条件发生变化无法按原计划实施，需要延迟到以后年度按有关规定继续使用的资金。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（九）基本支出：指为保障机构正常运转、完成日常工作任务而发生的人员支出和公用支出。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（十）项目支出：指在基本支出之外为完成特定行政任务和事业发展目标所发生的支出。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（十一）经营支出：指事业单位在专业业务活动及其辅助活动之外开展非独立核算经营活动发生的支出。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xml:space="preserve">（十二）“三公”经费：纳入财政预决算管理的“三公”经费，是指各单位用财政拨款安排的因公出国费、公务用车购置及运行费和公务接待费。其中，因公出国费反映单位公务出国的国际旅费、国外城市间交通费、住宿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6</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ACD"/>
    <w:multiLevelType w:val="multilevel"/>
    <w:tmpl w:val="3C693ACD"/>
    <w:lvl w:ilvl="0" w:tentative="0">
      <w:start w:val="1"/>
      <w:numFmt w:val="japaneseCounting"/>
      <w:lvlText w:val="%1、"/>
      <w:lvlJc w:val="left"/>
      <w:pPr>
        <w:ind w:left="1322" w:hanging="720"/>
      </w:pPr>
      <w:rPr>
        <w:rFonts w:hint="default" w:cs="Times New Roman"/>
      </w:rPr>
    </w:lvl>
    <w:lvl w:ilvl="1" w:tentative="0">
      <w:start w:val="1"/>
      <w:numFmt w:val="lowerLetter"/>
      <w:lvlText w:val="%2)"/>
      <w:lvlJc w:val="left"/>
      <w:pPr>
        <w:ind w:left="1442" w:hanging="420"/>
      </w:pPr>
      <w:rPr>
        <w:rFonts w:cs="Times New Roman"/>
      </w:rPr>
    </w:lvl>
    <w:lvl w:ilvl="2" w:tentative="0">
      <w:start w:val="1"/>
      <w:numFmt w:val="lowerRoman"/>
      <w:lvlText w:val="%3."/>
      <w:lvlJc w:val="right"/>
      <w:pPr>
        <w:ind w:left="1862" w:hanging="420"/>
      </w:pPr>
      <w:rPr>
        <w:rFonts w:cs="Times New Roman"/>
      </w:rPr>
    </w:lvl>
    <w:lvl w:ilvl="3" w:tentative="0">
      <w:start w:val="1"/>
      <w:numFmt w:val="decimal"/>
      <w:lvlText w:val="%4."/>
      <w:lvlJc w:val="left"/>
      <w:pPr>
        <w:ind w:left="2282" w:hanging="420"/>
      </w:pPr>
      <w:rPr>
        <w:rFonts w:cs="Times New Roman"/>
      </w:rPr>
    </w:lvl>
    <w:lvl w:ilvl="4" w:tentative="0">
      <w:start w:val="1"/>
      <w:numFmt w:val="lowerLetter"/>
      <w:lvlText w:val="%5)"/>
      <w:lvlJc w:val="left"/>
      <w:pPr>
        <w:ind w:left="2702" w:hanging="420"/>
      </w:pPr>
      <w:rPr>
        <w:rFonts w:cs="Times New Roman"/>
      </w:rPr>
    </w:lvl>
    <w:lvl w:ilvl="5" w:tentative="0">
      <w:start w:val="1"/>
      <w:numFmt w:val="lowerRoman"/>
      <w:lvlText w:val="%6."/>
      <w:lvlJc w:val="right"/>
      <w:pPr>
        <w:ind w:left="3122" w:hanging="420"/>
      </w:pPr>
      <w:rPr>
        <w:rFonts w:cs="Times New Roman"/>
      </w:rPr>
    </w:lvl>
    <w:lvl w:ilvl="6" w:tentative="0">
      <w:start w:val="1"/>
      <w:numFmt w:val="decimal"/>
      <w:lvlText w:val="%7."/>
      <w:lvlJc w:val="left"/>
      <w:pPr>
        <w:ind w:left="3542" w:hanging="420"/>
      </w:pPr>
      <w:rPr>
        <w:rFonts w:cs="Times New Roman"/>
      </w:rPr>
    </w:lvl>
    <w:lvl w:ilvl="7" w:tentative="0">
      <w:start w:val="1"/>
      <w:numFmt w:val="lowerLetter"/>
      <w:lvlText w:val="%8)"/>
      <w:lvlJc w:val="left"/>
      <w:pPr>
        <w:ind w:left="3962" w:hanging="420"/>
      </w:pPr>
      <w:rPr>
        <w:rFonts w:cs="Times New Roman"/>
      </w:rPr>
    </w:lvl>
    <w:lvl w:ilvl="8" w:tentative="0">
      <w:start w:val="1"/>
      <w:numFmt w:val="lowerRoman"/>
      <w:lvlText w:val="%9."/>
      <w:lvlJc w:val="right"/>
      <w:pPr>
        <w:ind w:left="4382" w:hanging="420"/>
      </w:pPr>
      <w:rPr>
        <w:rFonts w:cs="Times New Roman"/>
      </w:rPr>
    </w:lvl>
  </w:abstractNum>
  <w:abstractNum w:abstractNumId="1">
    <w:nsid w:val="51056E6B"/>
    <w:multiLevelType w:val="multilevel"/>
    <w:tmpl w:val="51056E6B"/>
    <w:lvl w:ilvl="0" w:tentative="0">
      <w:start w:val="2"/>
      <w:numFmt w:val="japaneseCounting"/>
      <w:lvlText w:val="%1、"/>
      <w:lvlJc w:val="left"/>
      <w:pPr>
        <w:ind w:left="1320" w:hanging="720"/>
      </w:pPr>
      <w:rPr>
        <w:rFonts w:hint="default" w:cs="Times New Roman"/>
      </w:rPr>
    </w:lvl>
    <w:lvl w:ilvl="1" w:tentative="0">
      <w:start w:val="1"/>
      <w:numFmt w:val="lowerLetter"/>
      <w:lvlText w:val="%2)"/>
      <w:lvlJc w:val="left"/>
      <w:pPr>
        <w:ind w:left="1440" w:hanging="420"/>
      </w:pPr>
      <w:rPr>
        <w:rFonts w:cs="Times New Roman"/>
      </w:rPr>
    </w:lvl>
    <w:lvl w:ilvl="2" w:tentative="0">
      <w:start w:val="1"/>
      <w:numFmt w:val="lowerRoman"/>
      <w:lvlText w:val="%3."/>
      <w:lvlJc w:val="right"/>
      <w:pPr>
        <w:ind w:left="1860" w:hanging="420"/>
      </w:pPr>
      <w:rPr>
        <w:rFonts w:cs="Times New Roman"/>
      </w:rPr>
    </w:lvl>
    <w:lvl w:ilvl="3" w:tentative="0">
      <w:start w:val="1"/>
      <w:numFmt w:val="decimal"/>
      <w:lvlText w:val="%4."/>
      <w:lvlJc w:val="left"/>
      <w:pPr>
        <w:ind w:left="2280" w:hanging="420"/>
      </w:pPr>
      <w:rPr>
        <w:rFonts w:cs="Times New Roman"/>
      </w:rPr>
    </w:lvl>
    <w:lvl w:ilvl="4" w:tentative="0">
      <w:start w:val="1"/>
      <w:numFmt w:val="lowerLetter"/>
      <w:lvlText w:val="%5)"/>
      <w:lvlJc w:val="left"/>
      <w:pPr>
        <w:ind w:left="2700" w:hanging="420"/>
      </w:pPr>
      <w:rPr>
        <w:rFonts w:cs="Times New Roman"/>
      </w:rPr>
    </w:lvl>
    <w:lvl w:ilvl="5" w:tentative="0">
      <w:start w:val="1"/>
      <w:numFmt w:val="lowerRoman"/>
      <w:lvlText w:val="%6."/>
      <w:lvlJc w:val="right"/>
      <w:pPr>
        <w:ind w:left="3120" w:hanging="420"/>
      </w:pPr>
      <w:rPr>
        <w:rFonts w:cs="Times New Roman"/>
      </w:rPr>
    </w:lvl>
    <w:lvl w:ilvl="6" w:tentative="0">
      <w:start w:val="1"/>
      <w:numFmt w:val="decimal"/>
      <w:lvlText w:val="%7."/>
      <w:lvlJc w:val="left"/>
      <w:pPr>
        <w:ind w:left="3540" w:hanging="420"/>
      </w:pPr>
      <w:rPr>
        <w:rFonts w:cs="Times New Roman"/>
      </w:rPr>
    </w:lvl>
    <w:lvl w:ilvl="7" w:tentative="0">
      <w:start w:val="1"/>
      <w:numFmt w:val="lowerLetter"/>
      <w:lvlText w:val="%8)"/>
      <w:lvlJc w:val="left"/>
      <w:pPr>
        <w:ind w:left="3960" w:hanging="420"/>
      </w:pPr>
      <w:rPr>
        <w:rFonts w:cs="Times New Roman"/>
      </w:rPr>
    </w:lvl>
    <w:lvl w:ilvl="8" w:tentative="0">
      <w:start w:val="1"/>
      <w:numFmt w:val="lowerRoman"/>
      <w:lvlText w:val="%9."/>
      <w:lvlJc w:val="right"/>
      <w:pPr>
        <w:ind w:left="4380"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2159"/>
    <w:rsid w:val="00006A87"/>
    <w:rsid w:val="00012D74"/>
    <w:rsid w:val="000147F0"/>
    <w:rsid w:val="00024B7F"/>
    <w:rsid w:val="00034248"/>
    <w:rsid w:val="00052FE0"/>
    <w:rsid w:val="00054384"/>
    <w:rsid w:val="000703F5"/>
    <w:rsid w:val="00070B61"/>
    <w:rsid w:val="000775E8"/>
    <w:rsid w:val="00086A97"/>
    <w:rsid w:val="00091F7F"/>
    <w:rsid w:val="00094D69"/>
    <w:rsid w:val="000A5172"/>
    <w:rsid w:val="000A5DE3"/>
    <w:rsid w:val="000A65DB"/>
    <w:rsid w:val="000B1596"/>
    <w:rsid w:val="000B5213"/>
    <w:rsid w:val="000B6A6D"/>
    <w:rsid w:val="000C3B20"/>
    <w:rsid w:val="000D30E7"/>
    <w:rsid w:val="000E4053"/>
    <w:rsid w:val="000E5B19"/>
    <w:rsid w:val="000E7FFD"/>
    <w:rsid w:val="0010183B"/>
    <w:rsid w:val="00133E34"/>
    <w:rsid w:val="00140E78"/>
    <w:rsid w:val="00142BCE"/>
    <w:rsid w:val="00147040"/>
    <w:rsid w:val="00151463"/>
    <w:rsid w:val="00170582"/>
    <w:rsid w:val="00176F78"/>
    <w:rsid w:val="001870FE"/>
    <w:rsid w:val="001943AB"/>
    <w:rsid w:val="001951DE"/>
    <w:rsid w:val="001B67E2"/>
    <w:rsid w:val="001D09C9"/>
    <w:rsid w:val="001E4658"/>
    <w:rsid w:val="001E7C6A"/>
    <w:rsid w:val="001F2B9D"/>
    <w:rsid w:val="001F33C0"/>
    <w:rsid w:val="001F6EF5"/>
    <w:rsid w:val="0020099B"/>
    <w:rsid w:val="00204C21"/>
    <w:rsid w:val="00205C3B"/>
    <w:rsid w:val="00207283"/>
    <w:rsid w:val="00210AE7"/>
    <w:rsid w:val="00232A73"/>
    <w:rsid w:val="00242FE4"/>
    <w:rsid w:val="00262C89"/>
    <w:rsid w:val="00265B72"/>
    <w:rsid w:val="002743C3"/>
    <w:rsid w:val="00287A2E"/>
    <w:rsid w:val="002B5B38"/>
    <w:rsid w:val="002C37F3"/>
    <w:rsid w:val="002C4236"/>
    <w:rsid w:val="002C677C"/>
    <w:rsid w:val="002C740B"/>
    <w:rsid w:val="002D02F4"/>
    <w:rsid w:val="00303B2E"/>
    <w:rsid w:val="00315221"/>
    <w:rsid w:val="003158E9"/>
    <w:rsid w:val="003166A5"/>
    <w:rsid w:val="00331FF5"/>
    <w:rsid w:val="00333969"/>
    <w:rsid w:val="003472C5"/>
    <w:rsid w:val="00347942"/>
    <w:rsid w:val="00347996"/>
    <w:rsid w:val="00350B5B"/>
    <w:rsid w:val="00356508"/>
    <w:rsid w:val="003632BC"/>
    <w:rsid w:val="00363699"/>
    <w:rsid w:val="00374661"/>
    <w:rsid w:val="0038477E"/>
    <w:rsid w:val="003878E2"/>
    <w:rsid w:val="003978C1"/>
    <w:rsid w:val="003B0831"/>
    <w:rsid w:val="003B594E"/>
    <w:rsid w:val="003B6F2B"/>
    <w:rsid w:val="003C2E54"/>
    <w:rsid w:val="003C7047"/>
    <w:rsid w:val="003D0C72"/>
    <w:rsid w:val="003E0D94"/>
    <w:rsid w:val="003E4DAB"/>
    <w:rsid w:val="004011AD"/>
    <w:rsid w:val="0040177E"/>
    <w:rsid w:val="00406AB0"/>
    <w:rsid w:val="004152DE"/>
    <w:rsid w:val="00417715"/>
    <w:rsid w:val="00420614"/>
    <w:rsid w:val="00423272"/>
    <w:rsid w:val="0043072D"/>
    <w:rsid w:val="00434EEE"/>
    <w:rsid w:val="004420EE"/>
    <w:rsid w:val="00445215"/>
    <w:rsid w:val="0045212A"/>
    <w:rsid w:val="00457BD9"/>
    <w:rsid w:val="00462CE7"/>
    <w:rsid w:val="004743B3"/>
    <w:rsid w:val="00476C45"/>
    <w:rsid w:val="00486188"/>
    <w:rsid w:val="00487059"/>
    <w:rsid w:val="004A08C1"/>
    <w:rsid w:val="004A28B1"/>
    <w:rsid w:val="004B6AAB"/>
    <w:rsid w:val="004D2787"/>
    <w:rsid w:val="004D48D7"/>
    <w:rsid w:val="004D65D7"/>
    <w:rsid w:val="004D6F93"/>
    <w:rsid w:val="0050291C"/>
    <w:rsid w:val="005213FB"/>
    <w:rsid w:val="00526C4B"/>
    <w:rsid w:val="005272D8"/>
    <w:rsid w:val="00530671"/>
    <w:rsid w:val="00532879"/>
    <w:rsid w:val="005329A5"/>
    <w:rsid w:val="00552B99"/>
    <w:rsid w:val="00563497"/>
    <w:rsid w:val="00565025"/>
    <w:rsid w:val="005664FA"/>
    <w:rsid w:val="005766BD"/>
    <w:rsid w:val="00592401"/>
    <w:rsid w:val="00595CD5"/>
    <w:rsid w:val="005A0EA5"/>
    <w:rsid w:val="005B007A"/>
    <w:rsid w:val="005D008D"/>
    <w:rsid w:val="005D5345"/>
    <w:rsid w:val="005D6922"/>
    <w:rsid w:val="005F2C17"/>
    <w:rsid w:val="00642F1B"/>
    <w:rsid w:val="00643A9B"/>
    <w:rsid w:val="0064551F"/>
    <w:rsid w:val="00647EAC"/>
    <w:rsid w:val="006537AC"/>
    <w:rsid w:val="00672B4C"/>
    <w:rsid w:val="006773BD"/>
    <w:rsid w:val="00687879"/>
    <w:rsid w:val="00696752"/>
    <w:rsid w:val="006A1621"/>
    <w:rsid w:val="006A2219"/>
    <w:rsid w:val="006A56FC"/>
    <w:rsid w:val="006A7356"/>
    <w:rsid w:val="006B522D"/>
    <w:rsid w:val="006D4B96"/>
    <w:rsid w:val="006F1159"/>
    <w:rsid w:val="006F13E9"/>
    <w:rsid w:val="006F3090"/>
    <w:rsid w:val="006F3AD3"/>
    <w:rsid w:val="006F7FA7"/>
    <w:rsid w:val="006F7FA8"/>
    <w:rsid w:val="00700977"/>
    <w:rsid w:val="00703A15"/>
    <w:rsid w:val="00706ADE"/>
    <w:rsid w:val="007226FB"/>
    <w:rsid w:val="0076482E"/>
    <w:rsid w:val="007741AC"/>
    <w:rsid w:val="00774810"/>
    <w:rsid w:val="00782159"/>
    <w:rsid w:val="00792DDA"/>
    <w:rsid w:val="00793D15"/>
    <w:rsid w:val="007978CD"/>
    <w:rsid w:val="007A2BDC"/>
    <w:rsid w:val="007B7E7F"/>
    <w:rsid w:val="007D75E2"/>
    <w:rsid w:val="007F238C"/>
    <w:rsid w:val="008012F4"/>
    <w:rsid w:val="008104D1"/>
    <w:rsid w:val="00815033"/>
    <w:rsid w:val="00823645"/>
    <w:rsid w:val="00833FFF"/>
    <w:rsid w:val="0084025C"/>
    <w:rsid w:val="00842279"/>
    <w:rsid w:val="00844D3A"/>
    <w:rsid w:val="00847706"/>
    <w:rsid w:val="00854186"/>
    <w:rsid w:val="00856370"/>
    <w:rsid w:val="00863E30"/>
    <w:rsid w:val="008664F8"/>
    <w:rsid w:val="00877032"/>
    <w:rsid w:val="00880D0D"/>
    <w:rsid w:val="008872A2"/>
    <w:rsid w:val="00895A64"/>
    <w:rsid w:val="00895BE7"/>
    <w:rsid w:val="008A0DC9"/>
    <w:rsid w:val="008A5C2E"/>
    <w:rsid w:val="008B02AA"/>
    <w:rsid w:val="008C5ABD"/>
    <w:rsid w:val="008D28A9"/>
    <w:rsid w:val="008E26A2"/>
    <w:rsid w:val="008F51D4"/>
    <w:rsid w:val="009078E5"/>
    <w:rsid w:val="00910498"/>
    <w:rsid w:val="00912ADD"/>
    <w:rsid w:val="00921F8C"/>
    <w:rsid w:val="00954B4B"/>
    <w:rsid w:val="00986E5F"/>
    <w:rsid w:val="009A7D21"/>
    <w:rsid w:val="009B07D0"/>
    <w:rsid w:val="009B77FB"/>
    <w:rsid w:val="009C453B"/>
    <w:rsid w:val="009C7F6B"/>
    <w:rsid w:val="009D6D68"/>
    <w:rsid w:val="009D7AE1"/>
    <w:rsid w:val="009F1B75"/>
    <w:rsid w:val="009F39C7"/>
    <w:rsid w:val="009F6D25"/>
    <w:rsid w:val="00A013AA"/>
    <w:rsid w:val="00A079A0"/>
    <w:rsid w:val="00A31B1C"/>
    <w:rsid w:val="00A32422"/>
    <w:rsid w:val="00A3418E"/>
    <w:rsid w:val="00A407D1"/>
    <w:rsid w:val="00A40D0D"/>
    <w:rsid w:val="00A45652"/>
    <w:rsid w:val="00A63C42"/>
    <w:rsid w:val="00A65801"/>
    <w:rsid w:val="00A87B5D"/>
    <w:rsid w:val="00A97E66"/>
    <w:rsid w:val="00AA1759"/>
    <w:rsid w:val="00AA3003"/>
    <w:rsid w:val="00AB7375"/>
    <w:rsid w:val="00AC139B"/>
    <w:rsid w:val="00AC4897"/>
    <w:rsid w:val="00AD4AEF"/>
    <w:rsid w:val="00AD7784"/>
    <w:rsid w:val="00AF250C"/>
    <w:rsid w:val="00B0409B"/>
    <w:rsid w:val="00B21656"/>
    <w:rsid w:val="00B24563"/>
    <w:rsid w:val="00B27ABE"/>
    <w:rsid w:val="00B635BA"/>
    <w:rsid w:val="00B8239F"/>
    <w:rsid w:val="00B919A9"/>
    <w:rsid w:val="00BA2AE3"/>
    <w:rsid w:val="00BB2497"/>
    <w:rsid w:val="00BB372B"/>
    <w:rsid w:val="00BC02DD"/>
    <w:rsid w:val="00BC2082"/>
    <w:rsid w:val="00BE7CA8"/>
    <w:rsid w:val="00C07847"/>
    <w:rsid w:val="00C1106A"/>
    <w:rsid w:val="00C15174"/>
    <w:rsid w:val="00C17D9A"/>
    <w:rsid w:val="00C337C1"/>
    <w:rsid w:val="00C4155A"/>
    <w:rsid w:val="00C45F21"/>
    <w:rsid w:val="00C519BC"/>
    <w:rsid w:val="00C55E43"/>
    <w:rsid w:val="00C605BD"/>
    <w:rsid w:val="00C61DC5"/>
    <w:rsid w:val="00C62423"/>
    <w:rsid w:val="00C6606B"/>
    <w:rsid w:val="00C709B8"/>
    <w:rsid w:val="00C738B3"/>
    <w:rsid w:val="00C801A2"/>
    <w:rsid w:val="00C85D23"/>
    <w:rsid w:val="00C90A6C"/>
    <w:rsid w:val="00C955CC"/>
    <w:rsid w:val="00CA6F46"/>
    <w:rsid w:val="00CB3117"/>
    <w:rsid w:val="00CD2E4F"/>
    <w:rsid w:val="00CE1862"/>
    <w:rsid w:val="00CE37ED"/>
    <w:rsid w:val="00CF0C27"/>
    <w:rsid w:val="00D16906"/>
    <w:rsid w:val="00D36C62"/>
    <w:rsid w:val="00D409F0"/>
    <w:rsid w:val="00D42B34"/>
    <w:rsid w:val="00D4613F"/>
    <w:rsid w:val="00D5318C"/>
    <w:rsid w:val="00D554FC"/>
    <w:rsid w:val="00D756A7"/>
    <w:rsid w:val="00D7653B"/>
    <w:rsid w:val="00D81E3D"/>
    <w:rsid w:val="00D94040"/>
    <w:rsid w:val="00D949F7"/>
    <w:rsid w:val="00DA057C"/>
    <w:rsid w:val="00DA16BE"/>
    <w:rsid w:val="00DB13AB"/>
    <w:rsid w:val="00DB2FC5"/>
    <w:rsid w:val="00DB6DE4"/>
    <w:rsid w:val="00DC6432"/>
    <w:rsid w:val="00DD2307"/>
    <w:rsid w:val="00DD3AA3"/>
    <w:rsid w:val="00DE344D"/>
    <w:rsid w:val="00DE619D"/>
    <w:rsid w:val="00E25614"/>
    <w:rsid w:val="00E339F2"/>
    <w:rsid w:val="00E6440B"/>
    <w:rsid w:val="00E774D0"/>
    <w:rsid w:val="00E8388E"/>
    <w:rsid w:val="00E932DD"/>
    <w:rsid w:val="00EA5F52"/>
    <w:rsid w:val="00EB563F"/>
    <w:rsid w:val="00EB7DD0"/>
    <w:rsid w:val="00EC1979"/>
    <w:rsid w:val="00EC23FD"/>
    <w:rsid w:val="00EC282F"/>
    <w:rsid w:val="00EC4973"/>
    <w:rsid w:val="00ED7C8E"/>
    <w:rsid w:val="00EE2E07"/>
    <w:rsid w:val="00EE66B1"/>
    <w:rsid w:val="00EF3B2C"/>
    <w:rsid w:val="00EF7B17"/>
    <w:rsid w:val="00F0364D"/>
    <w:rsid w:val="00F06CB4"/>
    <w:rsid w:val="00F16C5D"/>
    <w:rsid w:val="00F27A7E"/>
    <w:rsid w:val="00F453E0"/>
    <w:rsid w:val="00F47660"/>
    <w:rsid w:val="00F50351"/>
    <w:rsid w:val="00F56B89"/>
    <w:rsid w:val="00F627E2"/>
    <w:rsid w:val="00F81C9E"/>
    <w:rsid w:val="00F820FC"/>
    <w:rsid w:val="00F846E6"/>
    <w:rsid w:val="00FA08FE"/>
    <w:rsid w:val="00FA1E3A"/>
    <w:rsid w:val="00FB5D79"/>
    <w:rsid w:val="00FB61FC"/>
    <w:rsid w:val="00FC1406"/>
    <w:rsid w:val="00FD4B5A"/>
    <w:rsid w:val="00FF2271"/>
    <w:rsid w:val="00FF4D45"/>
    <w:rsid w:val="00FF5D03"/>
    <w:rsid w:val="2F3C7B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uiPriority w:val="99"/>
    <w:pPr>
      <w:ind w:left="100" w:leftChars="2500"/>
    </w:pPr>
    <w:rPr>
      <w:kern w:val="0"/>
    </w:rPr>
  </w:style>
  <w:style w:type="paragraph" w:styleId="3">
    <w:name w:val="Balloon Text"/>
    <w:basedOn w:val="1"/>
    <w:link w:val="13"/>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99"/>
    <w:rPr>
      <w:rFonts w:cs="Times New Roman"/>
    </w:rPr>
  </w:style>
  <w:style w:type="character" w:customStyle="1" w:styleId="10">
    <w:name w:val="日期 Char"/>
    <w:link w:val="2"/>
    <w:semiHidden/>
    <w:locked/>
    <w:uiPriority w:val="99"/>
    <w:rPr>
      <w:rFonts w:cs="Times New Roman"/>
      <w:sz w:val="21"/>
      <w:szCs w:val="21"/>
    </w:rPr>
  </w:style>
  <w:style w:type="character" w:customStyle="1" w:styleId="11">
    <w:name w:val="页眉 Char"/>
    <w:link w:val="5"/>
    <w:qFormat/>
    <w:locked/>
    <w:uiPriority w:val="99"/>
    <w:rPr>
      <w:rFonts w:cs="Times New Roman"/>
      <w:kern w:val="2"/>
      <w:sz w:val="18"/>
      <w:szCs w:val="18"/>
    </w:rPr>
  </w:style>
  <w:style w:type="character" w:customStyle="1" w:styleId="12">
    <w:name w:val="页脚 Char"/>
    <w:link w:val="4"/>
    <w:qFormat/>
    <w:locked/>
    <w:uiPriority w:val="99"/>
    <w:rPr>
      <w:rFonts w:cs="Times New Roman"/>
      <w:kern w:val="2"/>
      <w:sz w:val="18"/>
      <w:szCs w:val="18"/>
    </w:rPr>
  </w:style>
  <w:style w:type="character" w:customStyle="1" w:styleId="13">
    <w:name w:val="批注框文本 Char"/>
    <w:link w:val="3"/>
    <w:qFormat/>
    <w:locked/>
    <w:uiPriority w:val="99"/>
    <w:rPr>
      <w:rFonts w:cs="Times New Roman"/>
      <w:kern w:val="2"/>
      <w:sz w:val="18"/>
      <w:szCs w:val="18"/>
    </w:rPr>
  </w:style>
  <w:style w:type="paragraph" w:styleId="14">
    <w:name w:val="List Paragraph"/>
    <w:basedOn w:val="1"/>
    <w:qFormat/>
    <w:uiPriority w:val="99"/>
    <w:pPr>
      <w:ind w:firstLine="420" w:firstLineChars="200"/>
    </w:pPr>
  </w:style>
  <w:style w:type="paragraph" w:customStyle="1" w:styleId="15">
    <w:name w:val="p0"/>
    <w:basedOn w:val="1"/>
    <w:uiPriority w:val="99"/>
    <w:pPr>
      <w:widowControl/>
    </w:pPr>
    <w:rPr>
      <w:kern w:val="0"/>
    </w:rPr>
  </w:style>
  <w:style w:type="paragraph" w:customStyle="1" w:styleId="16">
    <w:name w:val="notice_title"/>
    <w:basedOn w:val="1"/>
    <w:uiPriority w:val="99"/>
    <w:pPr>
      <w:widowControl/>
      <w:spacing w:after="225"/>
      <w:jc w:val="center"/>
    </w:pPr>
    <w:rPr>
      <w:rFonts w:ascii="宋体" w:hAnsi="宋体" w:cs="宋体"/>
      <w:b/>
      <w:bCs/>
      <w:color w:val="771325"/>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Pages>
  <Words>563</Words>
  <Characters>3215</Characters>
  <Lines>26</Lines>
  <Paragraphs>7</Paragraphs>
  <TotalTime>146</TotalTime>
  <ScaleCrop>false</ScaleCrop>
  <LinksUpToDate>false</LinksUpToDate>
  <CharactersWithSpaces>3771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2016-08-10T08:30:00Z</dcterms:created>
  <dc:creator>许梦如</dc:creator>
  <cp:lastModifiedBy>Administrator</cp:lastModifiedBy>
  <cp:lastPrinted>2016-08-03T02:49:00Z</cp:lastPrinted>
  <dcterms:modified xsi:type="dcterms:W3CDTF">2025-02-12T03:47:28Z</dcterms:modified>
  <dc:title>喀什地区部门决算和三公经费</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