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atLeast"/>
        <w:rPr>
          <w:rFonts w:ascii="仿宋_GB2312" w:eastAsia="仿宋_GB2312"/>
          <w:sz w:val="32"/>
          <w:szCs w:val="32"/>
        </w:rPr>
      </w:pPr>
      <w:r>
        <w:rPr>
          <w:rFonts w:hint="eastAsia" w:ascii="仿宋_GB2312" w:eastAsia="仿宋_GB2312" w:cs="仿宋_GB2312"/>
          <w:sz w:val="32"/>
          <w:szCs w:val="32"/>
        </w:rPr>
        <w:t>附件1：</w:t>
      </w:r>
    </w:p>
    <w:p>
      <w:pPr>
        <w:spacing w:line="560" w:lineRule="atLeast"/>
        <w:jc w:val="center"/>
        <w:rPr>
          <w:rFonts w:ascii="仿宋_GB2312" w:hAnsi="宋体" w:eastAsia="仿宋_GB2312" w:cs="仿宋_GB2312"/>
          <w:b/>
          <w:sz w:val="44"/>
          <w:szCs w:val="44"/>
        </w:rPr>
      </w:pPr>
      <w:r>
        <w:rPr>
          <w:rFonts w:hint="eastAsia" w:ascii="仿宋_GB2312" w:hAnsi="宋体" w:eastAsia="仿宋_GB2312" w:cs="仿宋_GB2312"/>
          <w:b/>
          <w:sz w:val="44"/>
          <w:szCs w:val="44"/>
        </w:rPr>
        <w:t>2016年喀什地区叶城县团委部门决算</w:t>
      </w:r>
    </w:p>
    <w:p>
      <w:pPr>
        <w:spacing w:line="560" w:lineRule="atLeast"/>
        <w:jc w:val="center"/>
        <w:rPr>
          <w:rFonts w:ascii="仿宋_GB2312" w:hAnsi="宋体" w:eastAsia="仿宋_GB2312"/>
          <w:b/>
          <w:bCs/>
          <w:sz w:val="32"/>
          <w:szCs w:val="32"/>
        </w:rPr>
      </w:pPr>
    </w:p>
    <w:p>
      <w:pPr>
        <w:spacing w:line="560" w:lineRule="atLeast"/>
        <w:ind w:firstLine="643" w:firstLineChars="200"/>
        <w:rPr>
          <w:rFonts w:ascii="仿宋_GB2312" w:eastAsia="仿宋_GB2312"/>
          <w:b/>
          <w:bCs/>
          <w:sz w:val="32"/>
          <w:szCs w:val="32"/>
        </w:rPr>
      </w:pPr>
      <w:r>
        <w:rPr>
          <w:rFonts w:hint="eastAsia" w:ascii="仿宋_GB2312" w:eastAsia="仿宋_GB2312" w:cs="仿宋_GB2312"/>
          <w:b/>
          <w:bCs/>
          <w:sz w:val="32"/>
          <w:szCs w:val="32"/>
        </w:rPr>
        <w:t>第一部分 单位概述</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单位性质为行政单位，全额拨款，执行会计制度为行政会计制度。独立编制机构1个，独立编制机构与上年无变动。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一、主要职能： </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 xml:space="preserve">领导全县共青团工作。主要负责协助、参与、处理社会上与青少年利益相关的工作；负责县未成年人保护方面的日常工作；负责、指导并组织面向全县青少年的思想理论教育、宣传文化活动，培养、选拔、推荐优秀青年等相关工作。 </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二、机构人员情况：编制6人，按照编委文件填报，实际实有在职人数5人，离退休0人，属于一般公共预算财政拨款开支5人，其中：在职5人，离退休0人。</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三、决算单位构成</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纳入叶城县团委2016年部门决算编制范围的单位名单见下表：</w:t>
      </w:r>
    </w:p>
    <w:tbl>
      <w:tblPr>
        <w:tblStyle w:val="6"/>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74"/>
        <w:gridCol w:w="3907"/>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4" w:type="dxa"/>
          </w:tcPr>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序号</w:t>
            </w:r>
          </w:p>
        </w:tc>
        <w:tc>
          <w:tcPr>
            <w:tcW w:w="3907" w:type="dxa"/>
          </w:tcPr>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单位名称</w:t>
            </w:r>
          </w:p>
        </w:tc>
        <w:tc>
          <w:tcPr>
            <w:tcW w:w="2841" w:type="dxa"/>
          </w:tcPr>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4" w:type="dxa"/>
          </w:tcPr>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1</w:t>
            </w:r>
          </w:p>
        </w:tc>
        <w:tc>
          <w:tcPr>
            <w:tcW w:w="3907" w:type="dxa"/>
          </w:tcPr>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叶城县团委</w:t>
            </w:r>
          </w:p>
        </w:tc>
        <w:tc>
          <w:tcPr>
            <w:tcW w:w="2841" w:type="dxa"/>
          </w:tcPr>
          <w:p>
            <w:pPr>
              <w:spacing w:line="560" w:lineRule="atLeast"/>
              <w:ind w:firstLine="640" w:firstLineChars="200"/>
              <w:rPr>
                <w:rFonts w:ascii="仿宋_GB2312" w:hAnsi="宋体" w:eastAsia="仿宋_GB2312"/>
                <w:sz w:val="32"/>
                <w:szCs w:val="32"/>
              </w:rPr>
            </w:pPr>
          </w:p>
        </w:tc>
      </w:tr>
    </w:tbl>
    <w:p>
      <w:pPr>
        <w:spacing w:line="560" w:lineRule="atLeast"/>
        <w:ind w:firstLine="640" w:firstLineChars="200"/>
        <w:rPr>
          <w:rFonts w:ascii="仿宋_GB2312" w:hAnsi="宋体" w:eastAsia="仿宋_GB2312"/>
          <w:sz w:val="32"/>
          <w:szCs w:val="32"/>
        </w:rPr>
      </w:pPr>
      <w:bookmarkStart w:id="0" w:name="YS060102"/>
      <w:r>
        <w:rPr>
          <w:rFonts w:hint="eastAsia" w:ascii="仿宋_GB2312" w:hAnsi="宋体" w:eastAsia="仿宋_GB2312"/>
          <w:sz w:val="32"/>
          <w:szCs w:val="32"/>
        </w:rPr>
        <w:t>四、机构设置</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根据职责，纳入2016年部门决算编制范围的有1个内设机构。</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办公室</w:t>
      </w:r>
    </w:p>
    <w:p>
      <w:pPr>
        <w:snapToGrid w:val="0"/>
        <w:spacing w:line="560" w:lineRule="atLeast"/>
        <w:ind w:firstLine="643" w:firstLineChars="200"/>
        <w:rPr>
          <w:rFonts w:ascii="仿宋_GB2312" w:hAnsi="宋体" w:eastAsia="仿宋_GB2312"/>
          <w:b/>
          <w:bCs/>
          <w:sz w:val="32"/>
          <w:szCs w:val="32"/>
        </w:rPr>
      </w:pPr>
      <w:r>
        <w:rPr>
          <w:rFonts w:hint="eastAsia" w:ascii="仿宋_GB2312" w:hAnsi="宋体" w:eastAsia="仿宋_GB2312" w:cs="仿宋_GB2312"/>
          <w:b/>
          <w:bCs/>
          <w:sz w:val="32"/>
          <w:szCs w:val="32"/>
        </w:rPr>
        <w:t xml:space="preserve">第二部分 </w:t>
      </w:r>
      <w:r>
        <w:rPr>
          <w:rFonts w:hint="eastAsia" w:ascii="仿宋_GB2312" w:eastAsia="仿宋_GB2312" w:cs="仿宋_GB2312"/>
          <w:b/>
          <w:sz w:val="32"/>
          <w:szCs w:val="32"/>
        </w:rPr>
        <w:t>叶城县团委</w:t>
      </w:r>
      <w:r>
        <w:rPr>
          <w:rFonts w:hint="eastAsia" w:ascii="仿宋_GB2312" w:hAnsi="宋体" w:eastAsia="仿宋_GB2312" w:cs="仿宋_GB2312"/>
          <w:b/>
          <w:bCs/>
          <w:sz w:val="32"/>
          <w:szCs w:val="32"/>
        </w:rPr>
        <w:t>2016年度部门决算报表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一、收入支出决算总表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二、财政拨款收入支出决算总表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三、收入支出决算表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四、收入决算表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五、支出决算表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六、支出决算明细表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七、基本支出决算明细表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八、项目支出决算明细表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九、项目收入支出决算表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十、行政事业类项目收入支出决算表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十一、基本建设类项目收入支出决算表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十二、一般公共预算财政拨款收入支出决算表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十三、一般公共预算财政拨款支出决算明细表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十四、一般公共预算财政拨款基本支出决算表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十五、一般公共预算财政拨款项目支出决算表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十六、政府性基金预算财政拨款收入支出决算表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十七、政府性基金预算财政拨款基本支出决算明细表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十八、政府性基金预算财政拨款项目支出决算明细表</w:t>
      </w:r>
    </w:p>
    <w:p>
      <w:pPr>
        <w:spacing w:line="560" w:lineRule="atLeast"/>
        <w:ind w:firstLine="640" w:firstLineChars="200"/>
        <w:rPr>
          <w:rFonts w:ascii="仿宋_GB2312" w:hAnsi="宋体" w:eastAsia="仿宋_GB2312"/>
          <w:b/>
          <w:sz w:val="32"/>
          <w:szCs w:val="32"/>
        </w:rPr>
      </w:pPr>
      <w:r>
        <w:rPr>
          <w:rFonts w:hint="eastAsia" w:ascii="仿宋_GB2312" w:hAnsi="宋体" w:eastAsia="仿宋_GB2312"/>
          <w:sz w:val="32"/>
          <w:szCs w:val="32"/>
        </w:rPr>
        <w:t>十九、政府性基金预算财政拨款支出决算明细表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二十、财政专户管理资金收入支出决算表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二十一、资产负债表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二十二、资产情况表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二十三、部门决算相关信息统计表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二十四、政府采购情况表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二十五、2016年项目支出专项资金决算公开表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二十六、2016年对个人和家庭的补助项目支出专项资金决算公开表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二十七、2016年度财政拨款“三公”经费支出表及说明</w:t>
      </w:r>
    </w:p>
    <w:p>
      <w:pPr>
        <w:snapToGrid w:val="0"/>
        <w:spacing w:line="560" w:lineRule="atLeast"/>
        <w:ind w:firstLine="643" w:firstLineChars="200"/>
        <w:rPr>
          <w:rFonts w:ascii="仿宋_GB2312" w:hAnsi="宋体" w:eastAsia="仿宋_GB2312"/>
          <w:b/>
          <w:bCs/>
          <w:sz w:val="32"/>
          <w:szCs w:val="32"/>
        </w:rPr>
      </w:pPr>
      <w:r>
        <w:rPr>
          <w:rFonts w:hint="eastAsia" w:ascii="仿宋_GB2312" w:hAnsi="宋体" w:eastAsia="仿宋_GB2312" w:cs="仿宋_GB2312"/>
          <w:b/>
          <w:bCs/>
          <w:sz w:val="32"/>
          <w:szCs w:val="32"/>
        </w:rPr>
        <w:t xml:space="preserve">第三部分  </w:t>
      </w:r>
      <w:r>
        <w:rPr>
          <w:rFonts w:hint="eastAsia" w:ascii="仿宋_GB2312" w:eastAsia="仿宋_GB2312" w:cs="仿宋_GB2312"/>
          <w:b/>
          <w:sz w:val="32"/>
          <w:szCs w:val="32"/>
        </w:rPr>
        <w:t>叶城县团委</w:t>
      </w:r>
      <w:r>
        <w:rPr>
          <w:rFonts w:hint="eastAsia" w:ascii="仿宋_GB2312" w:hAnsi="宋体" w:eastAsia="仿宋_GB2312" w:cs="仿宋_GB2312"/>
          <w:b/>
          <w:bCs/>
          <w:sz w:val="32"/>
          <w:szCs w:val="32"/>
        </w:rPr>
        <w:t>2016年度部门决算情况说明</w:t>
      </w:r>
    </w:p>
    <w:p>
      <w:pPr>
        <w:snapToGrid w:val="0"/>
        <w:spacing w:line="560" w:lineRule="atLeas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一、部门收入支出决算总体情况说明：</w:t>
      </w:r>
    </w:p>
    <w:p>
      <w:pPr>
        <w:snapToGrid w:val="0"/>
        <w:spacing w:line="560" w:lineRule="atLeas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2016年全年收入合计</w:t>
      </w:r>
      <w:r>
        <w:rPr>
          <w:rFonts w:hint="eastAsia" w:ascii="仿宋_GB2312" w:hAnsi="宋体" w:eastAsia="仿宋_GB2312"/>
          <w:sz w:val="32"/>
          <w:szCs w:val="32"/>
        </w:rPr>
        <w:t>4,986,025.53</w:t>
      </w:r>
      <w:r>
        <w:rPr>
          <w:rFonts w:hint="eastAsia" w:ascii="仿宋_GB2312" w:hAnsi="宋体" w:eastAsia="仿宋_GB2312" w:cs="仿宋_GB2312"/>
          <w:sz w:val="32"/>
          <w:szCs w:val="32"/>
        </w:rPr>
        <w:t>元，支出合计</w:t>
      </w:r>
      <w:r>
        <w:rPr>
          <w:rFonts w:hint="eastAsia" w:ascii="仿宋_GB2312" w:hAnsi="宋体" w:eastAsia="仿宋_GB2312"/>
          <w:sz w:val="32"/>
          <w:szCs w:val="32"/>
        </w:rPr>
        <w:t>4,986,025.53</w:t>
      </w:r>
      <w:r>
        <w:rPr>
          <w:rFonts w:hint="eastAsia" w:ascii="仿宋_GB2312" w:hAnsi="宋体" w:eastAsia="仿宋_GB2312" w:cs="仿宋_GB2312"/>
          <w:sz w:val="32"/>
          <w:szCs w:val="32"/>
        </w:rPr>
        <w:t>元，其中基本支出</w:t>
      </w:r>
      <w:r>
        <w:rPr>
          <w:rFonts w:hint="eastAsia" w:ascii="仿宋_GB2312" w:hAnsi="宋体" w:eastAsia="仿宋_GB2312"/>
          <w:sz w:val="32"/>
          <w:szCs w:val="32"/>
        </w:rPr>
        <w:t>912,325.53</w:t>
      </w:r>
      <w:r>
        <w:rPr>
          <w:rFonts w:hint="eastAsia" w:ascii="仿宋_GB2312" w:hAnsi="宋体" w:eastAsia="仿宋_GB2312" w:cs="仿宋_GB2312"/>
          <w:sz w:val="32"/>
          <w:szCs w:val="32"/>
        </w:rPr>
        <w:t>元，项目支出</w:t>
      </w:r>
      <w:r>
        <w:rPr>
          <w:rFonts w:hint="eastAsia" w:ascii="仿宋_GB2312" w:hAnsi="宋体" w:eastAsia="仿宋_GB2312"/>
          <w:sz w:val="32"/>
          <w:szCs w:val="32"/>
        </w:rPr>
        <w:t>4,073,700.00</w:t>
      </w:r>
      <w:r>
        <w:rPr>
          <w:rFonts w:hint="eastAsia" w:ascii="仿宋_GB2312" w:hAnsi="宋体" w:eastAsia="仿宋_GB2312" w:cs="仿宋_GB2312"/>
          <w:sz w:val="32"/>
          <w:szCs w:val="32"/>
        </w:rPr>
        <w:t>元。</w:t>
      </w:r>
    </w:p>
    <w:bookmarkEnd w:id="0"/>
    <w:p>
      <w:pPr>
        <w:numPr>
          <w:ilvl w:val="0"/>
          <w:numId w:val="1"/>
        </w:numPr>
        <w:snapToGrid w:val="0"/>
        <w:spacing w:line="560" w:lineRule="atLeast"/>
        <w:rPr>
          <w:rFonts w:ascii="仿宋_GB2312" w:hAnsi="宋体" w:eastAsia="仿宋_GB2312"/>
          <w:sz w:val="32"/>
          <w:szCs w:val="32"/>
        </w:rPr>
      </w:pPr>
      <w:r>
        <w:rPr>
          <w:rFonts w:hint="eastAsia" w:ascii="仿宋_GB2312" w:hAnsi="宋体" w:eastAsia="仿宋_GB2312" w:cs="仿宋_GB2312"/>
          <w:sz w:val="32"/>
          <w:szCs w:val="32"/>
        </w:rPr>
        <w:t>收入情况说明</w:t>
      </w:r>
    </w:p>
    <w:p>
      <w:pPr>
        <w:snapToGrid w:val="0"/>
        <w:spacing w:line="560" w:lineRule="atLeast"/>
        <w:ind w:left="147" w:leftChars="70" w:firstLine="480" w:firstLineChars="150"/>
        <w:rPr>
          <w:rFonts w:ascii="仿宋_GB2312" w:hAnsi="宋体" w:eastAsia="仿宋_GB2312"/>
          <w:sz w:val="32"/>
          <w:szCs w:val="32"/>
        </w:rPr>
      </w:pPr>
      <w:r>
        <w:rPr>
          <w:rFonts w:hint="eastAsia" w:ascii="仿宋_GB2312" w:hAnsi="宋体" w:eastAsia="仿宋_GB2312" w:cs="仿宋_GB2312"/>
          <w:sz w:val="32"/>
          <w:szCs w:val="32"/>
        </w:rPr>
        <w:t>2016年本年收入合计</w:t>
      </w:r>
      <w:r>
        <w:rPr>
          <w:rFonts w:hint="eastAsia" w:ascii="仿宋_GB2312" w:hAnsi="宋体" w:eastAsia="仿宋_GB2312"/>
          <w:sz w:val="32"/>
          <w:szCs w:val="32"/>
        </w:rPr>
        <w:t>4,986,025.53</w:t>
      </w:r>
      <w:r>
        <w:rPr>
          <w:rFonts w:hint="eastAsia" w:ascii="仿宋_GB2312" w:hAnsi="宋体" w:eastAsia="仿宋_GB2312" w:cs="仿宋_GB2312"/>
          <w:sz w:val="32"/>
          <w:szCs w:val="32"/>
        </w:rPr>
        <w:t>元，其中：财政拨款收入</w:t>
      </w:r>
      <w:r>
        <w:rPr>
          <w:rFonts w:hint="eastAsia" w:ascii="仿宋_GB2312" w:hAnsi="宋体" w:eastAsia="仿宋_GB2312"/>
          <w:sz w:val="32"/>
          <w:szCs w:val="32"/>
        </w:rPr>
        <w:t>2,746,025.53</w:t>
      </w:r>
      <w:r>
        <w:rPr>
          <w:rFonts w:hint="eastAsia" w:ascii="仿宋_GB2312" w:hAnsi="宋体" w:eastAsia="仿宋_GB2312" w:cs="仿宋_GB2312"/>
          <w:sz w:val="32"/>
          <w:szCs w:val="32"/>
        </w:rPr>
        <w:t>元，无事业收入，无经营收入，其他收入2,240,000元。</w:t>
      </w:r>
    </w:p>
    <w:p>
      <w:pPr>
        <w:snapToGrid w:val="0"/>
        <w:spacing w:line="560" w:lineRule="atLeast"/>
        <w:ind w:left="147" w:leftChars="70" w:firstLine="480" w:firstLineChars="150"/>
        <w:rPr>
          <w:rFonts w:ascii="仿宋_GB2312" w:hAnsi="宋体" w:eastAsia="仿宋_GB2312"/>
          <w:sz w:val="32"/>
          <w:szCs w:val="32"/>
        </w:rPr>
      </w:pPr>
      <w:r>
        <w:rPr>
          <w:rFonts w:hint="eastAsia" w:ascii="仿宋_GB2312" w:hAnsi="宋体" w:eastAsia="仿宋_GB2312" w:cs="仿宋_GB2312"/>
          <w:sz w:val="32"/>
          <w:szCs w:val="32"/>
        </w:rPr>
        <w:t>三、支出情况说明</w:t>
      </w:r>
    </w:p>
    <w:p>
      <w:pPr>
        <w:snapToGrid w:val="0"/>
        <w:spacing w:line="560" w:lineRule="atLeast"/>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本年支出合计</w:t>
      </w:r>
      <w:r>
        <w:rPr>
          <w:rFonts w:hint="eastAsia" w:ascii="仿宋_GB2312" w:hAnsi="宋体" w:eastAsia="仿宋_GB2312"/>
          <w:sz w:val="32"/>
          <w:szCs w:val="32"/>
        </w:rPr>
        <w:t>4,986,025.53</w:t>
      </w:r>
      <w:r>
        <w:rPr>
          <w:rFonts w:hint="eastAsia" w:ascii="仿宋_GB2312" w:hAnsi="宋体" w:eastAsia="仿宋_GB2312" w:cs="仿宋_GB2312"/>
          <w:sz w:val="32"/>
          <w:szCs w:val="32"/>
        </w:rPr>
        <w:t>元，其中：基本支出</w:t>
      </w:r>
      <w:r>
        <w:rPr>
          <w:rFonts w:hint="eastAsia" w:ascii="仿宋_GB2312" w:hAnsi="宋体" w:eastAsia="仿宋_GB2312"/>
          <w:sz w:val="32"/>
          <w:szCs w:val="32"/>
        </w:rPr>
        <w:t>912,325.53</w:t>
      </w:r>
      <w:r>
        <w:rPr>
          <w:rFonts w:hint="eastAsia" w:ascii="仿宋_GB2312" w:hAnsi="宋体" w:eastAsia="仿宋_GB2312" w:cs="仿宋_GB2312"/>
          <w:sz w:val="32"/>
          <w:szCs w:val="32"/>
        </w:rPr>
        <w:t>元，项目支出</w:t>
      </w:r>
      <w:r>
        <w:rPr>
          <w:rFonts w:hint="eastAsia" w:ascii="仿宋_GB2312" w:hAnsi="宋体" w:eastAsia="仿宋_GB2312"/>
          <w:sz w:val="32"/>
          <w:szCs w:val="32"/>
        </w:rPr>
        <w:t>4,073,700.00</w:t>
      </w:r>
      <w:r>
        <w:rPr>
          <w:rFonts w:hint="eastAsia" w:ascii="仿宋_GB2312" w:hAnsi="宋体" w:eastAsia="仿宋_GB2312" w:cs="仿宋_GB2312"/>
          <w:sz w:val="32"/>
          <w:szCs w:val="32"/>
        </w:rPr>
        <w:t>元，无经营支出。</w:t>
      </w:r>
    </w:p>
    <w:p>
      <w:pPr>
        <w:snapToGrid w:val="0"/>
        <w:spacing w:line="560" w:lineRule="atLeast"/>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四、年末结转结余情况说明</w:t>
      </w:r>
    </w:p>
    <w:p>
      <w:pPr>
        <w:snapToGrid w:val="0"/>
        <w:spacing w:line="560" w:lineRule="atLeas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2016年结转结余资金0元（其中：财政拨款基本支出结转结余0元，主要为本年无年末结转结余资金，项目支出结转结余0元，主要为本年无年末结转结余资金）。</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五、“三公”经费、会议费和培训费支出情况说明</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2016年“三公”经费实际支出0元，其中：因公出国费用元，共组团0批次人次,出国事由；公务接待费0元，共接待0批次人次；公务用车购置0元，年末公务用车保有量为0辆；公务用车维护费0元。</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三公”经费较上年相比多（少）支出0元，其中：因公出国费用多（少）支0元；公务接待费多（少）支出0元；公务用车购置费多（少）支出0元；公务用车维护费多（少）支出0元。主要原因为：“三公”经费较上年相比</w:t>
      </w:r>
      <w:r>
        <w:rPr>
          <w:rFonts w:hint="eastAsia" w:ascii="仿宋_GB2312" w:hAnsi="宋体" w:eastAsia="仿宋_GB2312"/>
          <w:sz w:val="32"/>
          <w:szCs w:val="32"/>
        </w:rPr>
        <w:t>没有变动,本单位无“三公”经费支出。</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2016年会议费0元，主要是： 本单位无会议费。</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2016年培训费0元，主要是：本单位无培训费。</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六、预算执行情况说明</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2016年本年收入</w:t>
      </w:r>
      <w:r>
        <w:rPr>
          <w:rFonts w:hint="eastAsia" w:ascii="仿宋_GB2312" w:hAnsi="宋体" w:eastAsia="仿宋_GB2312"/>
          <w:sz w:val="32"/>
          <w:szCs w:val="32"/>
        </w:rPr>
        <w:t>4,986,025.53</w:t>
      </w:r>
      <w:r>
        <w:rPr>
          <w:rFonts w:hint="eastAsia" w:ascii="仿宋_GB2312" w:hAnsi="宋体" w:eastAsia="仿宋_GB2312" w:cs="仿宋_GB2312"/>
          <w:sz w:val="32"/>
          <w:szCs w:val="32"/>
        </w:rPr>
        <w:t xml:space="preserve">元，比2015年增加4,091,058.44元，增加原因：财政拨款项目资金增加。 </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2016年本年支出</w:t>
      </w:r>
      <w:r>
        <w:rPr>
          <w:rFonts w:hint="eastAsia" w:ascii="仿宋_GB2312" w:hAnsi="宋体" w:eastAsia="仿宋_GB2312"/>
          <w:sz w:val="32"/>
          <w:szCs w:val="32"/>
        </w:rPr>
        <w:t>4,986,025.53</w:t>
      </w:r>
      <w:r>
        <w:rPr>
          <w:rFonts w:hint="eastAsia" w:ascii="仿宋_GB2312" w:hAnsi="宋体" w:eastAsia="仿宋_GB2312" w:cs="仿宋_GB2312"/>
          <w:sz w:val="32"/>
          <w:szCs w:val="32"/>
        </w:rPr>
        <w:t>元，比2015年增加4,091,058.44元，增加原因：财政拨款项目资金增加。</w:t>
      </w:r>
    </w:p>
    <w:p>
      <w:pPr>
        <w:snapToGrid w:val="0"/>
        <w:spacing w:line="560" w:lineRule="atLeast"/>
        <w:ind w:firstLine="480" w:firstLineChars="150"/>
        <w:rPr>
          <w:rFonts w:ascii="仿宋_GB2312" w:hAnsi="宋体" w:eastAsia="仿宋_GB2312"/>
          <w:sz w:val="32"/>
          <w:szCs w:val="32"/>
        </w:rPr>
      </w:pPr>
      <w:r>
        <w:rPr>
          <w:rFonts w:hint="eastAsia" w:ascii="仿宋_GB2312" w:hAnsi="宋体" w:eastAsia="仿宋_GB2312" w:cs="仿宋_GB2312"/>
          <w:sz w:val="32"/>
          <w:szCs w:val="32"/>
        </w:rPr>
        <w:t>2016年财政拨款支出2,746,025.53元，年初预算数689,981.84元，差异原因为2016年提高干部职工工资标准及部分财政拨款项目年初未</w:t>
      </w:r>
      <w:r>
        <w:rPr>
          <w:rFonts w:hint="eastAsia" w:ascii="仿宋_GB2312" w:hAnsi="宋体" w:eastAsia="仿宋_GB2312" w:cs="仿宋_GB2312"/>
          <w:sz w:val="32"/>
          <w:szCs w:val="32"/>
          <w:lang w:eastAsia="zh-CN"/>
        </w:rPr>
        <w:t>安</w:t>
      </w:r>
      <w:bookmarkStart w:id="1" w:name="_GoBack"/>
      <w:bookmarkEnd w:id="1"/>
      <w:r>
        <w:rPr>
          <w:rFonts w:hint="eastAsia" w:ascii="仿宋_GB2312" w:hAnsi="宋体" w:eastAsia="仿宋_GB2312" w:cs="仿宋_GB2312"/>
          <w:sz w:val="32"/>
          <w:szCs w:val="32"/>
        </w:rPr>
        <w:t>排预算。</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七、决算公开其他重要事项情况说明</w:t>
      </w:r>
    </w:p>
    <w:p>
      <w:pPr>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（一）机关运行经费支出情况</w:t>
      </w:r>
    </w:p>
    <w:p>
      <w:pPr>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2016年叶城县团委机关运行经费支出32,500.00元，与去年相比增加3,500元，增加比率12.07%，主要原因是：工作力度加大机关运行经费增加。</w:t>
      </w:r>
    </w:p>
    <w:p>
      <w:pPr>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（二）政府采购支出情况</w:t>
      </w:r>
    </w:p>
    <w:p>
      <w:pPr>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2016年，叶城县团委政府采购支出总额0元，其中政府采购货物支出0元，政府采购工程支出0元，政府采购服务支出0元。喀什地区为偏远地区，参与招投标的供应商基本为中小微企业。    </w:t>
      </w:r>
    </w:p>
    <w:p>
      <w:pPr>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（三）国有资产占用情况</w:t>
      </w:r>
    </w:p>
    <w:p>
      <w:pPr>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截止2016年12月31日，本单位共有车辆0辆，其中一般公务用车0辆，一般工作用车0辆，专业用车0辆，其他车辆0辆，无其他用车，单位价值在50万元以上的设备0台（套），价值0元。</w:t>
      </w:r>
    </w:p>
    <w:p>
      <w:pPr>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（四）民生项目、重点支出项目绩效评价结果</w:t>
      </w:r>
    </w:p>
    <w:p>
      <w:pPr>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2016年，叶城县团委共组织对 5个项目进行了预算绩效评价，涉及一般公共预算当年财政拨款4,073,700.00元。绩效评价结果：五四活动经费的拨付，集中表彰了2015年涌现出来的先进团组织，树立模范，引导各族青年紧跟党走，坚定长治久安的信心.西部计划志愿者生活补助资金的拨付为打造自治区级优秀志愿者项目县和着力促进我县志愿者服务更具全面起到了积极作用，吸引了越来越多的有志青年服务叶城，建设叶城。“手拉手”夏令营经费的拨付，进一步促进了两地儿童交流交往交融，夯实团结根基。基层乡镇（街道）团组织工作经费的拨付，保障了我县基层各级团组织的各项工作、活动等有序开展，进一步凝聚了基层青年共识，促进了我县基层共青团工作再上新台阶起到了积极的作用。</w:t>
      </w:r>
    </w:p>
    <w:p>
      <w:pPr>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（五）事业收入明细、经营收入明细</w:t>
      </w:r>
    </w:p>
    <w:p>
      <w:pPr>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按收入项目分别列示：本单位是行政单位，无事业收入和经营收入。</w:t>
      </w:r>
    </w:p>
    <w:p>
      <w:pPr>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八、专业名词解释</w:t>
      </w:r>
    </w:p>
    <w:p>
      <w:pPr>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（一）财政拨款收入：指单位本年度从本级财政部门取得得财政拨款。 </w:t>
      </w:r>
    </w:p>
    <w:p>
      <w:pPr>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（二）事业收入：指事业单位开展专业业务活动及辅助活动所取得的收入。 </w:t>
      </w:r>
    </w:p>
    <w:p>
      <w:pPr>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（三）经营收入：指事业单位在专业业务活动及其辅助活动之外开展非独立核算经营活动取得的收入。 </w:t>
      </w:r>
    </w:p>
    <w:p>
      <w:pPr>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（四）其他收入：指除上述“财政拨款收入”、“事业收入”、“经营收入”等以外的收入。 </w:t>
      </w:r>
    </w:p>
    <w:p>
      <w:pPr>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（六）年初结转和结余：指以前年度尚未完成、结转到本年按有关规定继续使用的资金。 </w:t>
      </w:r>
    </w:p>
    <w:p>
      <w:pPr>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（七）结余分配：指事业单位按规定提取的职工福利基</w:t>
      </w:r>
    </w:p>
    <w:p>
      <w:pPr>
        <w:spacing w:line="560" w:lineRule="atLeast"/>
        <w:rPr>
          <w:rFonts w:ascii="仿宋_GB2312" w:hAnsi="宋体" w:eastAsia="仿宋_GB2312" w:cs="仿宋_GB2312"/>
          <w:sz w:val="32"/>
          <w:szCs w:val="32"/>
        </w:rPr>
      </w:pPr>
      <w:r>
        <w:rPr>
          <w:rFonts w:hint="eastAsia" w:ascii="仿宋_GB2312" w:hAnsi="宋体" w:eastAsia="仿宋_GB2312" w:cs="仿宋_GB2312"/>
          <w:sz w:val="32"/>
          <w:szCs w:val="32"/>
        </w:rPr>
        <w:t xml:space="preserve">金、事业基金和缴纳的所得税，以及建设单位按规定应交回的基本建设竣工项目结余资金。 </w:t>
      </w:r>
    </w:p>
    <w:p>
      <w:pPr>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（八）年末结转和结余：指本年度或以前年度预算安排、</w:t>
      </w:r>
    </w:p>
    <w:p>
      <w:pPr>
        <w:spacing w:line="560" w:lineRule="atLeast"/>
        <w:rPr>
          <w:rFonts w:ascii="仿宋_GB2312" w:hAnsi="宋体" w:eastAsia="仿宋_GB2312" w:cs="仿宋_GB2312"/>
          <w:sz w:val="32"/>
          <w:szCs w:val="32"/>
        </w:rPr>
      </w:pPr>
      <w:r>
        <w:rPr>
          <w:rFonts w:hint="eastAsia" w:ascii="仿宋_GB2312" w:hAnsi="宋体" w:eastAsia="仿宋_GB2312" w:cs="仿宋_GB2312"/>
          <w:sz w:val="32"/>
          <w:szCs w:val="32"/>
        </w:rPr>
        <w:t xml:space="preserve">因客观条件发生变化无法按原计划实施，需要延迟到以后年度按有关规定继续使用的资金。 </w:t>
      </w:r>
    </w:p>
    <w:p>
      <w:pPr>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（九）基本支出：指为保障机构正常运转、完成日常工作任务而发生的人员支出和公用支出。 </w:t>
      </w:r>
    </w:p>
    <w:p>
      <w:pPr>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（十）项目支出：指在基本支出之外为完成特定行政任务和事业发展目标所发生的支出。 </w:t>
      </w:r>
    </w:p>
    <w:p>
      <w:pPr>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（十一）经营支出：指事业单位在专业业务活动及其辅助活动之外开展非独立核算经营活动发生的支出。 </w:t>
      </w:r>
    </w:p>
    <w:p>
      <w:pPr>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056E6B"/>
    <w:multiLevelType w:val="multilevel"/>
    <w:tmpl w:val="51056E6B"/>
    <w:lvl w:ilvl="0" w:tentative="0">
      <w:start w:val="2"/>
      <w:numFmt w:val="japaneseCounting"/>
      <w:lvlText w:val="%1、"/>
      <w:lvlJc w:val="left"/>
      <w:pPr>
        <w:ind w:left="1320" w:hanging="720"/>
      </w:pPr>
      <w:rPr>
        <w:rFonts w:hint="default" w:cs="Times New Roman"/>
      </w:rPr>
    </w:lvl>
    <w:lvl w:ilvl="1" w:tentative="0">
      <w:start w:val="1"/>
      <w:numFmt w:val="lowerLetter"/>
      <w:lvlText w:val="%2)"/>
      <w:lvlJc w:val="left"/>
      <w:pPr>
        <w:ind w:left="1440" w:hanging="420"/>
      </w:pPr>
      <w:rPr>
        <w:rFonts w:cs="Times New Roman"/>
      </w:rPr>
    </w:lvl>
    <w:lvl w:ilvl="2" w:tentative="0">
      <w:start w:val="1"/>
      <w:numFmt w:val="lowerRoman"/>
      <w:lvlText w:val="%3."/>
      <w:lvlJc w:val="right"/>
      <w:pPr>
        <w:ind w:left="1860" w:hanging="420"/>
      </w:pPr>
      <w:rPr>
        <w:rFonts w:cs="Times New Roman"/>
      </w:rPr>
    </w:lvl>
    <w:lvl w:ilvl="3" w:tentative="0">
      <w:start w:val="1"/>
      <w:numFmt w:val="decimal"/>
      <w:lvlText w:val="%4."/>
      <w:lvlJc w:val="left"/>
      <w:pPr>
        <w:ind w:left="2280" w:hanging="420"/>
      </w:pPr>
      <w:rPr>
        <w:rFonts w:cs="Times New Roman"/>
      </w:rPr>
    </w:lvl>
    <w:lvl w:ilvl="4" w:tentative="0">
      <w:start w:val="1"/>
      <w:numFmt w:val="lowerLetter"/>
      <w:lvlText w:val="%5)"/>
      <w:lvlJc w:val="left"/>
      <w:pPr>
        <w:ind w:left="2700" w:hanging="420"/>
      </w:pPr>
      <w:rPr>
        <w:rFonts w:cs="Times New Roman"/>
      </w:rPr>
    </w:lvl>
    <w:lvl w:ilvl="5" w:tentative="0">
      <w:start w:val="1"/>
      <w:numFmt w:val="lowerRoman"/>
      <w:lvlText w:val="%6."/>
      <w:lvlJc w:val="right"/>
      <w:pPr>
        <w:ind w:left="3120" w:hanging="420"/>
      </w:pPr>
      <w:rPr>
        <w:rFonts w:cs="Times New Roman"/>
      </w:rPr>
    </w:lvl>
    <w:lvl w:ilvl="6" w:tentative="0">
      <w:start w:val="1"/>
      <w:numFmt w:val="decimal"/>
      <w:lvlText w:val="%7."/>
      <w:lvlJc w:val="left"/>
      <w:pPr>
        <w:ind w:left="3540" w:hanging="420"/>
      </w:pPr>
      <w:rPr>
        <w:rFonts w:cs="Times New Roman"/>
      </w:rPr>
    </w:lvl>
    <w:lvl w:ilvl="7" w:tentative="0">
      <w:start w:val="1"/>
      <w:numFmt w:val="lowerLetter"/>
      <w:lvlText w:val="%8)"/>
      <w:lvlJc w:val="left"/>
      <w:pPr>
        <w:ind w:left="3960" w:hanging="420"/>
      </w:pPr>
      <w:rPr>
        <w:rFonts w:cs="Times New Roman"/>
      </w:rPr>
    </w:lvl>
    <w:lvl w:ilvl="8" w:tentative="0">
      <w:start w:val="1"/>
      <w:numFmt w:val="lowerRoman"/>
      <w:lvlText w:val="%9."/>
      <w:lvlJc w:val="right"/>
      <w:pPr>
        <w:ind w:left="43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12D74"/>
    <w:rsid w:val="00024B7F"/>
    <w:rsid w:val="00034248"/>
    <w:rsid w:val="00052FE0"/>
    <w:rsid w:val="00054384"/>
    <w:rsid w:val="000703F5"/>
    <w:rsid w:val="00070B61"/>
    <w:rsid w:val="000775E8"/>
    <w:rsid w:val="00086A97"/>
    <w:rsid w:val="00091F7F"/>
    <w:rsid w:val="00094D69"/>
    <w:rsid w:val="000A5DE3"/>
    <w:rsid w:val="000A65DB"/>
    <w:rsid w:val="000B1596"/>
    <w:rsid w:val="000B5213"/>
    <w:rsid w:val="000C3B20"/>
    <w:rsid w:val="000D7C23"/>
    <w:rsid w:val="000E5B19"/>
    <w:rsid w:val="000E7FFD"/>
    <w:rsid w:val="0010183B"/>
    <w:rsid w:val="00120177"/>
    <w:rsid w:val="00124481"/>
    <w:rsid w:val="00140E78"/>
    <w:rsid w:val="00142BCE"/>
    <w:rsid w:val="00143DEA"/>
    <w:rsid w:val="00147040"/>
    <w:rsid w:val="00151463"/>
    <w:rsid w:val="00170582"/>
    <w:rsid w:val="001870FE"/>
    <w:rsid w:val="001877A5"/>
    <w:rsid w:val="001943AB"/>
    <w:rsid w:val="001D09C9"/>
    <w:rsid w:val="001E4658"/>
    <w:rsid w:val="001E7C6A"/>
    <w:rsid w:val="001F152B"/>
    <w:rsid w:val="001F2B9D"/>
    <w:rsid w:val="001F33C0"/>
    <w:rsid w:val="001F6EF5"/>
    <w:rsid w:val="0020099B"/>
    <w:rsid w:val="00201C40"/>
    <w:rsid w:val="00205C3B"/>
    <w:rsid w:val="002377C8"/>
    <w:rsid w:val="00242FE4"/>
    <w:rsid w:val="00246825"/>
    <w:rsid w:val="00262C89"/>
    <w:rsid w:val="00265B72"/>
    <w:rsid w:val="002743C3"/>
    <w:rsid w:val="00287A2E"/>
    <w:rsid w:val="002B5B38"/>
    <w:rsid w:val="002C37F3"/>
    <w:rsid w:val="002C677C"/>
    <w:rsid w:val="002C740B"/>
    <w:rsid w:val="002D02F4"/>
    <w:rsid w:val="00303B2E"/>
    <w:rsid w:val="003158E9"/>
    <w:rsid w:val="003166A5"/>
    <w:rsid w:val="00333969"/>
    <w:rsid w:val="00345BA3"/>
    <w:rsid w:val="003472C5"/>
    <w:rsid w:val="00347942"/>
    <w:rsid w:val="00347996"/>
    <w:rsid w:val="00350B5B"/>
    <w:rsid w:val="003632BC"/>
    <w:rsid w:val="003646D4"/>
    <w:rsid w:val="00374661"/>
    <w:rsid w:val="00374FB0"/>
    <w:rsid w:val="003978C1"/>
    <w:rsid w:val="003A1E35"/>
    <w:rsid w:val="003A2D9C"/>
    <w:rsid w:val="003B0831"/>
    <w:rsid w:val="003B594E"/>
    <w:rsid w:val="003C2E54"/>
    <w:rsid w:val="003D0C72"/>
    <w:rsid w:val="003E0D94"/>
    <w:rsid w:val="004011AD"/>
    <w:rsid w:val="0040177E"/>
    <w:rsid w:val="00405551"/>
    <w:rsid w:val="00406AB0"/>
    <w:rsid w:val="00417715"/>
    <w:rsid w:val="00420614"/>
    <w:rsid w:val="004217DC"/>
    <w:rsid w:val="0043072D"/>
    <w:rsid w:val="00434EEE"/>
    <w:rsid w:val="00442BE3"/>
    <w:rsid w:val="00445215"/>
    <w:rsid w:val="0045212A"/>
    <w:rsid w:val="00457BD9"/>
    <w:rsid w:val="004743B3"/>
    <w:rsid w:val="00486188"/>
    <w:rsid w:val="0048644F"/>
    <w:rsid w:val="00487059"/>
    <w:rsid w:val="00487F34"/>
    <w:rsid w:val="004A08C1"/>
    <w:rsid w:val="004A28B1"/>
    <w:rsid w:val="004A38FD"/>
    <w:rsid w:val="004B021A"/>
    <w:rsid w:val="004B67A8"/>
    <w:rsid w:val="004B6AAB"/>
    <w:rsid w:val="004D2787"/>
    <w:rsid w:val="004D48D7"/>
    <w:rsid w:val="004D65D7"/>
    <w:rsid w:val="004D6F93"/>
    <w:rsid w:val="0050291C"/>
    <w:rsid w:val="00502D5A"/>
    <w:rsid w:val="005272D8"/>
    <w:rsid w:val="00532879"/>
    <w:rsid w:val="005505EC"/>
    <w:rsid w:val="00552B99"/>
    <w:rsid w:val="00565025"/>
    <w:rsid w:val="005766BD"/>
    <w:rsid w:val="0057722F"/>
    <w:rsid w:val="00592401"/>
    <w:rsid w:val="00595CD5"/>
    <w:rsid w:val="005A0EA5"/>
    <w:rsid w:val="005A3F50"/>
    <w:rsid w:val="005B007A"/>
    <w:rsid w:val="005D008D"/>
    <w:rsid w:val="005D5345"/>
    <w:rsid w:val="005D6922"/>
    <w:rsid w:val="00626B62"/>
    <w:rsid w:val="00642F1B"/>
    <w:rsid w:val="00647EAC"/>
    <w:rsid w:val="006537AC"/>
    <w:rsid w:val="00672B4C"/>
    <w:rsid w:val="006773BD"/>
    <w:rsid w:val="00687879"/>
    <w:rsid w:val="00696752"/>
    <w:rsid w:val="006A1621"/>
    <w:rsid w:val="006A2219"/>
    <w:rsid w:val="006A2D5A"/>
    <w:rsid w:val="006A56FC"/>
    <w:rsid w:val="006A7356"/>
    <w:rsid w:val="006B7A0D"/>
    <w:rsid w:val="006D4B96"/>
    <w:rsid w:val="006F1159"/>
    <w:rsid w:val="006F13E9"/>
    <w:rsid w:val="006F3090"/>
    <w:rsid w:val="006F3AD3"/>
    <w:rsid w:val="006F7FA8"/>
    <w:rsid w:val="00700977"/>
    <w:rsid w:val="007226FB"/>
    <w:rsid w:val="00730895"/>
    <w:rsid w:val="00736E12"/>
    <w:rsid w:val="0074587E"/>
    <w:rsid w:val="00774810"/>
    <w:rsid w:val="00782159"/>
    <w:rsid w:val="00793D15"/>
    <w:rsid w:val="007978CD"/>
    <w:rsid w:val="007A2BDC"/>
    <w:rsid w:val="007B7E7F"/>
    <w:rsid w:val="007D75E2"/>
    <w:rsid w:val="007F0145"/>
    <w:rsid w:val="007F1AA3"/>
    <w:rsid w:val="007F238C"/>
    <w:rsid w:val="008012F4"/>
    <w:rsid w:val="008104D1"/>
    <w:rsid w:val="00815033"/>
    <w:rsid w:val="00842279"/>
    <w:rsid w:val="00844D3A"/>
    <w:rsid w:val="00847706"/>
    <w:rsid w:val="00854186"/>
    <w:rsid w:val="008664F8"/>
    <w:rsid w:val="00877032"/>
    <w:rsid w:val="00880D0D"/>
    <w:rsid w:val="008872A2"/>
    <w:rsid w:val="00895A64"/>
    <w:rsid w:val="00895BE7"/>
    <w:rsid w:val="008A0DC9"/>
    <w:rsid w:val="008A5C2E"/>
    <w:rsid w:val="008B02AA"/>
    <w:rsid w:val="008B2CB3"/>
    <w:rsid w:val="008C5ABD"/>
    <w:rsid w:val="008D28A9"/>
    <w:rsid w:val="008E148C"/>
    <w:rsid w:val="008E26A2"/>
    <w:rsid w:val="008F7124"/>
    <w:rsid w:val="009078E5"/>
    <w:rsid w:val="00910498"/>
    <w:rsid w:val="009110E4"/>
    <w:rsid w:val="00912ADD"/>
    <w:rsid w:val="00921F8C"/>
    <w:rsid w:val="00951035"/>
    <w:rsid w:val="00954B4B"/>
    <w:rsid w:val="00965635"/>
    <w:rsid w:val="00986E5F"/>
    <w:rsid w:val="00991339"/>
    <w:rsid w:val="009A7D21"/>
    <w:rsid w:val="009B6406"/>
    <w:rsid w:val="009B6887"/>
    <w:rsid w:val="009C453B"/>
    <w:rsid w:val="009C7F6B"/>
    <w:rsid w:val="009F1B75"/>
    <w:rsid w:val="009F39C7"/>
    <w:rsid w:val="009F6D25"/>
    <w:rsid w:val="00A013AA"/>
    <w:rsid w:val="00A32422"/>
    <w:rsid w:val="00A3418E"/>
    <w:rsid w:val="00A407D1"/>
    <w:rsid w:val="00A4345C"/>
    <w:rsid w:val="00A6016B"/>
    <w:rsid w:val="00A63C42"/>
    <w:rsid w:val="00A65801"/>
    <w:rsid w:val="00A70C32"/>
    <w:rsid w:val="00A83175"/>
    <w:rsid w:val="00A8451B"/>
    <w:rsid w:val="00A87B5D"/>
    <w:rsid w:val="00A97E66"/>
    <w:rsid w:val="00AA1759"/>
    <w:rsid w:val="00AA3003"/>
    <w:rsid w:val="00AB2245"/>
    <w:rsid w:val="00AC139B"/>
    <w:rsid w:val="00AC2C75"/>
    <w:rsid w:val="00AC4897"/>
    <w:rsid w:val="00AD07CD"/>
    <w:rsid w:val="00AD7784"/>
    <w:rsid w:val="00AE3233"/>
    <w:rsid w:val="00B0409B"/>
    <w:rsid w:val="00B21656"/>
    <w:rsid w:val="00B24563"/>
    <w:rsid w:val="00B4420D"/>
    <w:rsid w:val="00B635BA"/>
    <w:rsid w:val="00B919A9"/>
    <w:rsid w:val="00BA3675"/>
    <w:rsid w:val="00BB0CC7"/>
    <w:rsid w:val="00BB2497"/>
    <w:rsid w:val="00BB372B"/>
    <w:rsid w:val="00BB5020"/>
    <w:rsid w:val="00C0090A"/>
    <w:rsid w:val="00C03E22"/>
    <w:rsid w:val="00C15174"/>
    <w:rsid w:val="00C17D9A"/>
    <w:rsid w:val="00C25783"/>
    <w:rsid w:val="00C337C1"/>
    <w:rsid w:val="00C4155A"/>
    <w:rsid w:val="00C45F21"/>
    <w:rsid w:val="00C519BC"/>
    <w:rsid w:val="00C55E43"/>
    <w:rsid w:val="00C605BD"/>
    <w:rsid w:val="00C61DC5"/>
    <w:rsid w:val="00C62423"/>
    <w:rsid w:val="00C64525"/>
    <w:rsid w:val="00C709B8"/>
    <w:rsid w:val="00C955CC"/>
    <w:rsid w:val="00CA6F46"/>
    <w:rsid w:val="00CB3117"/>
    <w:rsid w:val="00CC736F"/>
    <w:rsid w:val="00CE1862"/>
    <w:rsid w:val="00CE37ED"/>
    <w:rsid w:val="00CE7457"/>
    <w:rsid w:val="00D16906"/>
    <w:rsid w:val="00D36C62"/>
    <w:rsid w:val="00D4613F"/>
    <w:rsid w:val="00D5318C"/>
    <w:rsid w:val="00D554FC"/>
    <w:rsid w:val="00D81E3D"/>
    <w:rsid w:val="00D9273D"/>
    <w:rsid w:val="00D949F7"/>
    <w:rsid w:val="00DA057C"/>
    <w:rsid w:val="00DA16BE"/>
    <w:rsid w:val="00DB13AB"/>
    <w:rsid w:val="00DB2FC5"/>
    <w:rsid w:val="00DE344D"/>
    <w:rsid w:val="00DE619D"/>
    <w:rsid w:val="00E339F2"/>
    <w:rsid w:val="00E42C88"/>
    <w:rsid w:val="00E558EB"/>
    <w:rsid w:val="00E72EFB"/>
    <w:rsid w:val="00E774D0"/>
    <w:rsid w:val="00E8388E"/>
    <w:rsid w:val="00EA0C15"/>
    <w:rsid w:val="00EA5F52"/>
    <w:rsid w:val="00EB563F"/>
    <w:rsid w:val="00EB7DD0"/>
    <w:rsid w:val="00EC1979"/>
    <w:rsid w:val="00EC282F"/>
    <w:rsid w:val="00EC7CCF"/>
    <w:rsid w:val="00ED7C8E"/>
    <w:rsid w:val="00EE2E07"/>
    <w:rsid w:val="00EE66B1"/>
    <w:rsid w:val="00EF3B2C"/>
    <w:rsid w:val="00EF604B"/>
    <w:rsid w:val="00EF7B17"/>
    <w:rsid w:val="00F0364D"/>
    <w:rsid w:val="00F06CB4"/>
    <w:rsid w:val="00F16C5D"/>
    <w:rsid w:val="00F3069F"/>
    <w:rsid w:val="00F33CB2"/>
    <w:rsid w:val="00F453E0"/>
    <w:rsid w:val="00F627E2"/>
    <w:rsid w:val="00F81C9E"/>
    <w:rsid w:val="00F820FC"/>
    <w:rsid w:val="00FA08FE"/>
    <w:rsid w:val="00FB61FC"/>
    <w:rsid w:val="00FC1406"/>
    <w:rsid w:val="00FF5D03"/>
    <w:rsid w:val="1A0E7D5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uiPriority w:val="99"/>
    <w:pPr>
      <w:ind w:left="100" w:leftChars="2500"/>
    </w:pPr>
    <w:rPr>
      <w:kern w:val="0"/>
    </w:rPr>
  </w:style>
  <w:style w:type="paragraph" w:styleId="3">
    <w:name w:val="Balloon Text"/>
    <w:basedOn w:val="1"/>
    <w:link w:val="13"/>
    <w:semiHidden/>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uiPriority w:val="99"/>
    <w:rPr>
      <w:rFonts w:cs="Times New Roman"/>
    </w:rPr>
  </w:style>
  <w:style w:type="character" w:customStyle="1" w:styleId="10">
    <w:name w:val="日期 Char"/>
    <w:basedOn w:val="8"/>
    <w:link w:val="2"/>
    <w:semiHidden/>
    <w:locked/>
    <w:uiPriority w:val="99"/>
    <w:rPr>
      <w:rFonts w:cs="Times New Roman"/>
      <w:sz w:val="21"/>
      <w:szCs w:val="21"/>
    </w:rPr>
  </w:style>
  <w:style w:type="character" w:customStyle="1" w:styleId="11">
    <w:name w:val="页眉 Char"/>
    <w:basedOn w:val="8"/>
    <w:link w:val="5"/>
    <w:locked/>
    <w:uiPriority w:val="99"/>
    <w:rPr>
      <w:rFonts w:cs="Times New Roman"/>
      <w:kern w:val="2"/>
      <w:sz w:val="18"/>
      <w:szCs w:val="18"/>
    </w:rPr>
  </w:style>
  <w:style w:type="character" w:customStyle="1" w:styleId="12">
    <w:name w:val="页脚 Char"/>
    <w:basedOn w:val="8"/>
    <w:link w:val="4"/>
    <w:qFormat/>
    <w:locked/>
    <w:uiPriority w:val="99"/>
    <w:rPr>
      <w:rFonts w:cs="Times New Roman"/>
      <w:kern w:val="2"/>
      <w:sz w:val="18"/>
      <w:szCs w:val="18"/>
    </w:rPr>
  </w:style>
  <w:style w:type="character" w:customStyle="1" w:styleId="13">
    <w:name w:val="批注框文本 Char"/>
    <w:basedOn w:val="8"/>
    <w:link w:val="3"/>
    <w:locked/>
    <w:uiPriority w:val="99"/>
    <w:rPr>
      <w:rFonts w:cs="Times New Roman"/>
      <w:kern w:val="2"/>
      <w:sz w:val="18"/>
      <w:szCs w:val="18"/>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8</Pages>
  <Words>2989</Words>
  <Characters>390</Characters>
  <Lines>3</Lines>
  <Paragraphs>6</Paragraphs>
  <TotalTime>149</TotalTime>
  <ScaleCrop>false</ScaleCrop>
  <LinksUpToDate>false</LinksUpToDate>
  <CharactersWithSpaces>3373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2016-08-10T08:30:00Z</dcterms:created>
  <dc:creator>许梦如</dc:creator>
  <cp:lastModifiedBy>Administrator</cp:lastModifiedBy>
  <cp:lastPrinted>2017-06-13T10:02:00Z</cp:lastPrinted>
  <dcterms:modified xsi:type="dcterms:W3CDTF">2023-11-22T07:52:55Z</dcterms:modified>
  <dc:title>喀什地区部门决算和三公经费</dc:title>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