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w:t>
      </w:r>
      <w:r>
        <w:rPr>
          <w:rFonts w:hint="eastAsia" w:ascii="仿宋_GB2312" w:hAnsi="宋体" w:eastAsia="仿宋_GB2312" w:cs="仿宋_GB2312"/>
          <w:b/>
          <w:sz w:val="44"/>
          <w:szCs w:val="44"/>
          <w:lang w:eastAsia="zh-CN"/>
        </w:rPr>
        <w:t>委</w:t>
      </w:r>
      <w:r>
        <w:rPr>
          <w:rFonts w:hint="eastAsia" w:ascii="仿宋_GB2312" w:hAnsi="宋体" w:eastAsia="仿宋_GB2312" w:cs="仿宋_GB2312"/>
          <w:b/>
          <w:sz w:val="44"/>
          <w:szCs w:val="44"/>
        </w:rPr>
        <w:t>宣传部部门决算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480" w:firstLineChars="150"/>
        <w:rPr>
          <w:rFonts w:ascii="仿宋_GB2312" w:hAnsi="宋体" w:eastAsia="仿宋_GB2312"/>
          <w:sz w:val="32"/>
          <w:szCs w:val="32"/>
        </w:rPr>
      </w:pPr>
      <w:r>
        <w:rPr>
          <w:rFonts w:hint="eastAsia" w:ascii="仿宋_GB2312" w:hAnsi="宋体" w:eastAsia="仿宋_GB2312"/>
          <w:sz w:val="32"/>
          <w:szCs w:val="32"/>
        </w:rPr>
        <w:t>（1）、负责组织党的任务和路线、方针、政策的宣传；</w:t>
      </w:r>
    </w:p>
    <w:p>
      <w:pPr>
        <w:spacing w:line="560" w:lineRule="exact"/>
        <w:ind w:firstLine="480" w:firstLineChars="150"/>
        <w:rPr>
          <w:rFonts w:ascii="仿宋_GB2312" w:hAnsi="宋体" w:eastAsia="仿宋_GB2312"/>
          <w:sz w:val="32"/>
          <w:szCs w:val="32"/>
        </w:rPr>
      </w:pPr>
      <w:r>
        <w:rPr>
          <w:rFonts w:hint="eastAsia" w:ascii="仿宋_GB2312" w:hAnsi="宋体" w:eastAsia="仿宋_GB2312"/>
          <w:sz w:val="32"/>
          <w:szCs w:val="32"/>
        </w:rPr>
        <w:t>（2）、负责组织、指导全县各级党组织理论教育、</w:t>
      </w:r>
      <w:r>
        <w:fldChar w:fldCharType="begin"/>
      </w:r>
      <w:r>
        <w:instrText xml:space="preserve"> HYPERLINK "http://www.oh100.com/zuowen/xuexi/" \t "_blank" </w:instrText>
      </w:r>
      <w:r>
        <w:fldChar w:fldCharType="separate"/>
      </w:r>
      <w:r>
        <w:rPr>
          <w:rFonts w:hint="eastAsia" w:ascii="仿宋_GB2312" w:hAnsi="宋体" w:eastAsia="仿宋_GB2312"/>
          <w:sz w:val="32"/>
          <w:szCs w:val="32"/>
        </w:rPr>
        <w:t>学习</w:t>
      </w:r>
      <w:r>
        <w:rPr>
          <w:rFonts w:hint="eastAsia" w:ascii="仿宋_GB2312" w:hAnsi="宋体" w:eastAsia="仿宋_GB2312"/>
          <w:sz w:val="32"/>
          <w:szCs w:val="32"/>
        </w:rPr>
        <w:fldChar w:fldCharType="end"/>
      </w:r>
      <w:r>
        <w:rPr>
          <w:rFonts w:hint="eastAsia" w:ascii="仿宋_GB2312" w:hAnsi="宋体" w:eastAsia="仿宋_GB2312"/>
          <w:sz w:val="32"/>
          <w:szCs w:val="32"/>
        </w:rPr>
        <w:t>、宣传、研究工作；会同有关部门做好党员、干部的教育工作。</w:t>
      </w:r>
    </w:p>
    <w:p>
      <w:pPr>
        <w:spacing w:line="560" w:lineRule="exact"/>
        <w:ind w:firstLine="480" w:firstLineChars="150"/>
        <w:rPr>
          <w:rFonts w:ascii="仿宋_GB2312" w:hAnsi="宋体" w:eastAsia="仿宋_GB2312"/>
          <w:sz w:val="32"/>
          <w:szCs w:val="32"/>
        </w:rPr>
      </w:pPr>
      <w:r>
        <w:rPr>
          <w:rFonts w:hint="eastAsia" w:ascii="仿宋_GB2312" w:hAnsi="宋体" w:eastAsia="仿宋_GB2312"/>
          <w:sz w:val="32"/>
          <w:szCs w:val="32"/>
        </w:rPr>
        <w:t>（3）、负责全县精神文明建设工作的规划和组织实施；承担全县精神文明建设指导委员会办公室的日常工作。</w:t>
      </w:r>
    </w:p>
    <w:p>
      <w:pPr>
        <w:spacing w:line="560" w:lineRule="exact"/>
        <w:ind w:firstLine="480" w:firstLineChars="150"/>
        <w:rPr>
          <w:rFonts w:ascii="仿宋_GB2312" w:eastAsia="仿宋_GB2312"/>
          <w:sz w:val="32"/>
          <w:szCs w:val="32"/>
        </w:rPr>
      </w:pPr>
      <w:r>
        <w:rPr>
          <w:rFonts w:hint="eastAsia" w:ascii="仿宋_GB2312" w:hAnsi="宋体" w:eastAsia="仿宋_GB2312"/>
          <w:sz w:val="32"/>
          <w:szCs w:val="32"/>
        </w:rPr>
        <w:t>（4）、完成县委和上级宣传部门交办的其它工作任务。</w:t>
      </w:r>
      <w:r>
        <w:rPr>
          <w:rFonts w:hint="eastAsia" w:ascii="仿宋_GB2312" w:eastAsia="仿宋_GB2312"/>
          <w:sz w:val="32"/>
          <w:szCs w:val="32"/>
        </w:rPr>
        <w:t xml:space="preserve"> </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编制33人，按照编委文件填报，实际实有在职人数18人，离退休0人，属于一般公共预算财政拨款开支13人，其中：在职13人，离退休0人。属于一般公共预算财政补助开支5人，其中：在职5人，离退休0人。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纳入叶城县</w:t>
      </w:r>
      <w:r>
        <w:rPr>
          <w:rFonts w:hint="eastAsia" w:ascii="仿宋_GB2312" w:eastAsia="仿宋_GB2312" w:cs="仿宋_GB2312"/>
          <w:sz w:val="32"/>
          <w:szCs w:val="32"/>
          <w:lang w:eastAsia="zh-CN"/>
        </w:rPr>
        <w:t>委</w:t>
      </w:r>
      <w:r>
        <w:rPr>
          <w:rFonts w:hint="eastAsia" w:ascii="仿宋_GB2312" w:eastAsia="仿宋_GB2312" w:cs="仿宋_GB2312"/>
          <w:sz w:val="32"/>
          <w:szCs w:val="32"/>
        </w:rPr>
        <w:t>宣传部2016年部门决算编制范围的单位名单见下表：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叶城县</w:t>
            </w:r>
            <w:r>
              <w:rPr>
                <w:rFonts w:hint="eastAsia" w:ascii="仿宋_GB2312" w:eastAsia="仿宋_GB2312" w:cs="仿宋_GB2312"/>
                <w:sz w:val="32"/>
                <w:szCs w:val="32"/>
                <w:lang w:eastAsia="zh-CN"/>
              </w:rPr>
              <w:t>委</w:t>
            </w:r>
            <w:r>
              <w:rPr>
                <w:rFonts w:hint="eastAsia" w:ascii="仿宋_GB2312" w:eastAsia="仿宋_GB2312" w:cs="仿宋_GB2312"/>
                <w:sz w:val="32"/>
                <w:szCs w:val="32"/>
              </w:rPr>
              <w:t>宣传部</w:t>
            </w:r>
          </w:p>
        </w:tc>
        <w:tc>
          <w:tcPr>
            <w:tcW w:w="2841" w:type="dxa"/>
          </w:tcPr>
          <w:p>
            <w:pPr>
              <w:spacing w:line="560" w:lineRule="exact"/>
              <w:rPr>
                <w:rFonts w:ascii="仿宋_GB2312"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根据职责，纳入2016年部门决算编制范围的有6个内设机构。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办公室、文明办、双拥办、社科联、文管办、宣传。</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w:t>
      </w:r>
      <w:r>
        <w:rPr>
          <w:rFonts w:hint="eastAsia" w:ascii="仿宋_GB2312" w:eastAsia="仿宋_GB2312" w:cs="仿宋_GB2312"/>
          <w:b/>
          <w:sz w:val="32"/>
          <w:szCs w:val="32"/>
          <w:lang w:eastAsia="zh-CN"/>
        </w:rPr>
        <w:t>委</w:t>
      </w:r>
      <w:r>
        <w:rPr>
          <w:rFonts w:hint="eastAsia" w:ascii="仿宋_GB2312" w:eastAsia="仿宋_GB2312" w:cs="仿宋_GB2312"/>
          <w:b/>
          <w:sz w:val="32"/>
          <w:szCs w:val="32"/>
        </w:rPr>
        <w:t>宣传部</w:t>
      </w:r>
      <w:r>
        <w:rPr>
          <w:rFonts w:hint="eastAsia" w:ascii="仿宋_GB2312" w:hAnsi="宋体" w:eastAsia="仿宋_GB2312" w:cs="仿宋_GB2312"/>
          <w:b/>
          <w:bCs/>
          <w:sz w:val="32"/>
          <w:szCs w:val="32"/>
        </w:rPr>
        <w:t>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w:t>
      </w:r>
      <w:r>
        <w:rPr>
          <w:rFonts w:hint="eastAsia" w:ascii="仿宋_GB2312" w:eastAsia="仿宋_GB2312" w:cs="仿宋_GB2312"/>
          <w:b/>
          <w:sz w:val="32"/>
          <w:szCs w:val="32"/>
          <w:lang w:eastAsia="zh-CN"/>
        </w:rPr>
        <w:t>委</w:t>
      </w:r>
      <w:r>
        <w:rPr>
          <w:rFonts w:hint="eastAsia" w:ascii="仿宋_GB2312" w:eastAsia="仿宋_GB2312" w:cs="仿宋_GB2312"/>
          <w:b/>
          <w:sz w:val="32"/>
          <w:szCs w:val="32"/>
        </w:rPr>
        <w:t>宣传部</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8,804,750.62</w:t>
      </w:r>
      <w:r>
        <w:rPr>
          <w:rFonts w:hint="eastAsia" w:ascii="仿宋_GB2312" w:hAnsi="宋体" w:eastAsia="仿宋_GB2312" w:cs="仿宋_GB2312"/>
          <w:sz w:val="32"/>
          <w:szCs w:val="32"/>
        </w:rPr>
        <w:t>元，支出合计</w:t>
      </w:r>
      <w:r>
        <w:rPr>
          <w:rFonts w:hint="eastAsia" w:ascii="仿宋_GB2312" w:hAnsi="宋体" w:eastAsia="仿宋_GB2312"/>
          <w:sz w:val="32"/>
          <w:szCs w:val="32"/>
        </w:rPr>
        <w:t>8,804,750.62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2,920,179.62</w:t>
      </w:r>
      <w:r>
        <w:rPr>
          <w:rFonts w:hint="eastAsia" w:ascii="仿宋_GB2312" w:hAnsi="宋体" w:eastAsia="仿宋_GB2312" w:cs="仿宋_GB2312"/>
          <w:sz w:val="32"/>
          <w:szCs w:val="32"/>
        </w:rPr>
        <w:t>元，项目支出</w:t>
      </w:r>
      <w:r>
        <w:rPr>
          <w:rFonts w:hint="eastAsia" w:ascii="仿宋_GB2312" w:hAnsi="宋体" w:eastAsia="仿宋_GB2312"/>
          <w:sz w:val="32"/>
          <w:szCs w:val="32"/>
        </w:rPr>
        <w:t>5,884,571.00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8,804,750.62</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5,804,750.62</w:t>
      </w:r>
      <w:r>
        <w:rPr>
          <w:rFonts w:hint="eastAsia" w:ascii="仿宋_GB2312" w:hAnsi="宋体" w:eastAsia="仿宋_GB2312" w:cs="仿宋_GB2312"/>
          <w:sz w:val="32"/>
          <w:szCs w:val="32"/>
        </w:rPr>
        <w:t>元，无事业收入，无经营收入，其他收入3,000,000元。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8,804,750.62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2,920,179.62</w:t>
      </w:r>
      <w:r>
        <w:rPr>
          <w:rFonts w:hint="eastAsia" w:ascii="仿宋_GB2312" w:hAnsi="宋体" w:eastAsia="仿宋_GB2312" w:cs="仿宋_GB2312"/>
          <w:sz w:val="32"/>
          <w:szCs w:val="32"/>
        </w:rPr>
        <w:t>元，项目支出</w:t>
      </w:r>
      <w:r>
        <w:rPr>
          <w:rFonts w:hint="eastAsia" w:ascii="仿宋_GB2312" w:hAnsi="宋体" w:eastAsia="仿宋_GB2312"/>
          <w:sz w:val="32"/>
          <w:szCs w:val="32"/>
        </w:rPr>
        <w:t>5,884,571.00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65,000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0</w:t>
      </w:r>
      <w:r>
        <w:rPr>
          <w:rFonts w:hint="eastAsia" w:ascii="仿宋_GB2312" w:hAnsi="宋体" w:eastAsia="仿宋_GB2312" w:cs="仿宋_GB2312"/>
          <w:sz w:val="32"/>
          <w:szCs w:val="32"/>
        </w:rPr>
        <w:t>元，共接待</w:t>
      </w:r>
      <w:r>
        <w:rPr>
          <w:rFonts w:hint="eastAsia" w:ascii="仿宋_GB2312" w:hAnsi="宋体" w:eastAsia="仿宋_GB2312"/>
          <w:sz w:val="32"/>
          <w:szCs w:val="32"/>
        </w:rPr>
        <w:t>0</w:t>
      </w:r>
      <w:r>
        <w:rPr>
          <w:rFonts w:hint="eastAsia" w:ascii="仿宋_GB2312" w:hAnsi="宋体" w:eastAsia="仿宋_GB2312" w:cs="仿宋_GB2312"/>
          <w:sz w:val="32"/>
          <w:szCs w:val="32"/>
        </w:rPr>
        <w:t>批次</w:t>
      </w:r>
      <w:r>
        <w:rPr>
          <w:rFonts w:hint="eastAsia" w:ascii="仿宋_GB2312" w:hAnsi="宋体" w:eastAsia="仿宋_GB2312"/>
          <w:sz w:val="32"/>
          <w:szCs w:val="32"/>
        </w:rPr>
        <w:t>0</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3</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65,000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少支出68,000.00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少支出65,000.00</w:t>
      </w:r>
      <w:r>
        <w:rPr>
          <w:rFonts w:hint="eastAsia" w:ascii="仿宋_GB2312" w:hAnsi="宋体" w:eastAsia="仿宋_GB2312" w:cs="仿宋_GB2312"/>
          <w:sz w:val="32"/>
          <w:szCs w:val="32"/>
        </w:rPr>
        <w:t>元,公务接待费</w:t>
      </w:r>
      <w:r>
        <w:rPr>
          <w:rFonts w:hint="eastAsia" w:ascii="仿宋_GB2312" w:hAnsi="宋体" w:eastAsia="仿宋_GB2312"/>
          <w:sz w:val="32"/>
          <w:szCs w:val="32"/>
        </w:rPr>
        <w:t>少支出3,000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严格执行八项规定压缩</w:t>
      </w:r>
      <w:r>
        <w:rPr>
          <w:rFonts w:hint="eastAsia" w:ascii="仿宋_GB2312" w:hAnsi="宋体" w:eastAsia="仿宋_GB2312" w:cs="仿宋_GB2312"/>
          <w:sz w:val="32"/>
          <w:szCs w:val="32"/>
        </w:rPr>
        <w:t>“三公”</w:t>
      </w:r>
      <w:r>
        <w:rPr>
          <w:rFonts w:hint="eastAsia" w:ascii="仿宋_GB2312" w:hAnsi="宋体" w:eastAsia="仿宋_GB2312"/>
          <w:sz w:val="32"/>
          <w:szCs w:val="32"/>
        </w:rPr>
        <w:t>费用。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2016年培训费9,000.00元。主要用于组织乡镇及县直部门信息员培训。</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8,804,750.62</w:t>
      </w:r>
      <w:r>
        <w:rPr>
          <w:rFonts w:hint="eastAsia" w:ascii="仿宋_GB2312" w:hAnsi="宋体" w:eastAsia="仿宋_GB2312" w:cs="仿宋_GB2312"/>
          <w:sz w:val="32"/>
          <w:szCs w:val="32"/>
        </w:rPr>
        <w:t xml:space="preserve">元，比2015年增加625,163.45元，增加原因：人员工资调增及补发。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8,804,750.62</w:t>
      </w:r>
      <w:r>
        <w:rPr>
          <w:rFonts w:hint="eastAsia" w:ascii="仿宋_GB2312" w:hAnsi="宋体" w:eastAsia="仿宋_GB2312" w:cs="仿宋_GB2312"/>
          <w:sz w:val="32"/>
          <w:szCs w:val="32"/>
        </w:rPr>
        <w:t xml:space="preserve">元，比2015年增加625,163.45元，增加原因：人员工资调增及补发。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2016年财政拨款支出5,804,750.62元，年初预算数5,197,076.58元，差异原因为2016年提高干部职工工资标准，年初未安排预算。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w:t>
      </w:r>
      <w:r>
        <w:rPr>
          <w:rFonts w:hint="eastAsia" w:ascii="仿宋_GB2312" w:hAnsi="宋体" w:eastAsia="仿宋_GB2312" w:cs="仿宋_GB2312"/>
          <w:sz w:val="32"/>
          <w:szCs w:val="32"/>
          <w:lang w:eastAsia="zh-CN"/>
        </w:rPr>
        <w:t>委</w:t>
      </w:r>
      <w:r>
        <w:rPr>
          <w:rFonts w:hint="eastAsia" w:ascii="仿宋_GB2312" w:hAnsi="宋体" w:eastAsia="仿宋_GB2312" w:cs="仿宋_GB2312"/>
          <w:sz w:val="32"/>
          <w:szCs w:val="32"/>
        </w:rPr>
        <w:t>宣传部机关运行经费支出108,000.00元，比上年相比增加7,000.00，主要原因是：同比下乡大宣讲工作量增加经费增多。</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w:t>
      </w:r>
      <w:r>
        <w:rPr>
          <w:rFonts w:hint="eastAsia" w:ascii="仿宋_GB2312" w:hAnsi="宋体" w:eastAsia="仿宋_GB2312" w:cs="仿宋_GB2312"/>
          <w:sz w:val="32"/>
          <w:szCs w:val="32"/>
          <w:lang w:eastAsia="zh-CN"/>
        </w:rPr>
        <w:t>委</w:t>
      </w:r>
      <w:r>
        <w:rPr>
          <w:rFonts w:hint="eastAsia" w:ascii="仿宋_GB2312" w:hAnsi="宋体" w:eastAsia="仿宋_GB2312" w:cs="仿宋_GB2312"/>
          <w:sz w:val="32"/>
          <w:szCs w:val="32"/>
        </w:rPr>
        <w:t xml:space="preserve">宣传部政府采购支出总额0元，其中政府采购货物支出0元，政府采购工程支出0元，政府采购服务支出0元。喀什地区为偏远地区，参与招投标的供应商基本为中小微企业。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截止2016年12月31日，本单位共有车辆3辆，其中一般公务用车3辆，一般工作用车0辆，专业用车0辆，其他车辆0辆，无其他用车，单位价值在50万元以上的设备0台（套），价值0元。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w:t>
      </w:r>
      <w:r>
        <w:rPr>
          <w:rFonts w:hint="eastAsia" w:ascii="仿宋_GB2312" w:hAnsi="宋体" w:eastAsia="仿宋_GB2312" w:cs="仿宋_GB2312"/>
          <w:sz w:val="32"/>
          <w:szCs w:val="32"/>
          <w:lang w:eastAsia="zh-CN"/>
        </w:rPr>
        <w:t>委</w:t>
      </w:r>
      <w:bookmarkStart w:id="1" w:name="_GoBack"/>
      <w:bookmarkEnd w:id="1"/>
      <w:r>
        <w:rPr>
          <w:rFonts w:hint="eastAsia" w:ascii="仿宋_GB2312" w:hAnsi="宋体" w:eastAsia="仿宋_GB2312" w:cs="仿宋_GB2312"/>
          <w:sz w:val="32"/>
          <w:szCs w:val="32"/>
        </w:rPr>
        <w:t>宣传部共组织对9个项目进行了预算绩效评价，涉及一般公共预算当年财政拨款5,884,571.00元。绩效评价结果：宣传项目费用的投入宣传了叶城形象，引进先进文化,展现叶城之美，促进各族群众和谐共处,加大了文化宣传,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55EE8"/>
    <w:rsid w:val="000703F5"/>
    <w:rsid w:val="00070B61"/>
    <w:rsid w:val="000775E8"/>
    <w:rsid w:val="00083CC8"/>
    <w:rsid w:val="00086A97"/>
    <w:rsid w:val="00091F7F"/>
    <w:rsid w:val="00094D69"/>
    <w:rsid w:val="000A5DE3"/>
    <w:rsid w:val="000A65DB"/>
    <w:rsid w:val="000B1596"/>
    <w:rsid w:val="000B25D7"/>
    <w:rsid w:val="000B5213"/>
    <w:rsid w:val="000C3B20"/>
    <w:rsid w:val="000D7C23"/>
    <w:rsid w:val="000E5B19"/>
    <w:rsid w:val="000E7FFD"/>
    <w:rsid w:val="0010183B"/>
    <w:rsid w:val="00120177"/>
    <w:rsid w:val="00140E78"/>
    <w:rsid w:val="00142BCE"/>
    <w:rsid w:val="00147040"/>
    <w:rsid w:val="00151463"/>
    <w:rsid w:val="00170582"/>
    <w:rsid w:val="001870FE"/>
    <w:rsid w:val="001943AB"/>
    <w:rsid w:val="001C1F93"/>
    <w:rsid w:val="001D09C9"/>
    <w:rsid w:val="001E4658"/>
    <w:rsid w:val="001E7C6A"/>
    <w:rsid w:val="001F2B9D"/>
    <w:rsid w:val="001F33C0"/>
    <w:rsid w:val="001F6EF5"/>
    <w:rsid w:val="0020099B"/>
    <w:rsid w:val="00205C3B"/>
    <w:rsid w:val="00235D10"/>
    <w:rsid w:val="00242FE4"/>
    <w:rsid w:val="00262C89"/>
    <w:rsid w:val="00265B72"/>
    <w:rsid w:val="002743C3"/>
    <w:rsid w:val="00287A2E"/>
    <w:rsid w:val="002A6396"/>
    <w:rsid w:val="002A745B"/>
    <w:rsid w:val="002B5B38"/>
    <w:rsid w:val="002C37F3"/>
    <w:rsid w:val="002C677C"/>
    <w:rsid w:val="002C740B"/>
    <w:rsid w:val="002D02F4"/>
    <w:rsid w:val="00303B2E"/>
    <w:rsid w:val="003158E9"/>
    <w:rsid w:val="003166A5"/>
    <w:rsid w:val="00333969"/>
    <w:rsid w:val="003472C5"/>
    <w:rsid w:val="00347942"/>
    <w:rsid w:val="00347996"/>
    <w:rsid w:val="00350B5B"/>
    <w:rsid w:val="003632BC"/>
    <w:rsid w:val="00374661"/>
    <w:rsid w:val="003978C1"/>
    <w:rsid w:val="003A612F"/>
    <w:rsid w:val="003B0831"/>
    <w:rsid w:val="003B594E"/>
    <w:rsid w:val="003C2E54"/>
    <w:rsid w:val="003D0C72"/>
    <w:rsid w:val="003E0D94"/>
    <w:rsid w:val="003E5165"/>
    <w:rsid w:val="004011AD"/>
    <w:rsid w:val="0040177E"/>
    <w:rsid w:val="00406AB0"/>
    <w:rsid w:val="00417715"/>
    <w:rsid w:val="00420614"/>
    <w:rsid w:val="004261DF"/>
    <w:rsid w:val="0043072D"/>
    <w:rsid w:val="00434EEE"/>
    <w:rsid w:val="00445215"/>
    <w:rsid w:val="0045212A"/>
    <w:rsid w:val="004561B1"/>
    <w:rsid w:val="00457BD9"/>
    <w:rsid w:val="00466293"/>
    <w:rsid w:val="004743B3"/>
    <w:rsid w:val="00486188"/>
    <w:rsid w:val="00487059"/>
    <w:rsid w:val="004944B0"/>
    <w:rsid w:val="004A08C1"/>
    <w:rsid w:val="004A28B1"/>
    <w:rsid w:val="004B4FA7"/>
    <w:rsid w:val="004B67A8"/>
    <w:rsid w:val="004B6AAB"/>
    <w:rsid w:val="004D2787"/>
    <w:rsid w:val="004D299A"/>
    <w:rsid w:val="004D48D7"/>
    <w:rsid w:val="004D65D7"/>
    <w:rsid w:val="004D6F93"/>
    <w:rsid w:val="0050291C"/>
    <w:rsid w:val="005272D8"/>
    <w:rsid w:val="00532879"/>
    <w:rsid w:val="00552B99"/>
    <w:rsid w:val="00565025"/>
    <w:rsid w:val="005766BD"/>
    <w:rsid w:val="00584730"/>
    <w:rsid w:val="00592401"/>
    <w:rsid w:val="00595CD5"/>
    <w:rsid w:val="005A0EA5"/>
    <w:rsid w:val="005B007A"/>
    <w:rsid w:val="005D008D"/>
    <w:rsid w:val="005D5345"/>
    <w:rsid w:val="005D6922"/>
    <w:rsid w:val="005F7418"/>
    <w:rsid w:val="00623569"/>
    <w:rsid w:val="00626B62"/>
    <w:rsid w:val="00642F1B"/>
    <w:rsid w:val="00646E96"/>
    <w:rsid w:val="00647EAC"/>
    <w:rsid w:val="006537AC"/>
    <w:rsid w:val="00672B4C"/>
    <w:rsid w:val="006773BD"/>
    <w:rsid w:val="00687775"/>
    <w:rsid w:val="00687879"/>
    <w:rsid w:val="00696752"/>
    <w:rsid w:val="006A1621"/>
    <w:rsid w:val="006A2219"/>
    <w:rsid w:val="006A56FC"/>
    <w:rsid w:val="006A7356"/>
    <w:rsid w:val="006D4B96"/>
    <w:rsid w:val="006F1159"/>
    <w:rsid w:val="006F13E9"/>
    <w:rsid w:val="006F3090"/>
    <w:rsid w:val="006F3AD3"/>
    <w:rsid w:val="006F7FA8"/>
    <w:rsid w:val="00700977"/>
    <w:rsid w:val="007226FB"/>
    <w:rsid w:val="007229E2"/>
    <w:rsid w:val="00757297"/>
    <w:rsid w:val="00774810"/>
    <w:rsid w:val="007757A7"/>
    <w:rsid w:val="00782159"/>
    <w:rsid w:val="0078626E"/>
    <w:rsid w:val="0078768C"/>
    <w:rsid w:val="00793D15"/>
    <w:rsid w:val="007978CD"/>
    <w:rsid w:val="007A2BDC"/>
    <w:rsid w:val="007B7E7F"/>
    <w:rsid w:val="007D75E2"/>
    <w:rsid w:val="007E381D"/>
    <w:rsid w:val="007F238C"/>
    <w:rsid w:val="008012F4"/>
    <w:rsid w:val="008104D1"/>
    <w:rsid w:val="00815033"/>
    <w:rsid w:val="00835126"/>
    <w:rsid w:val="00842279"/>
    <w:rsid w:val="00844D3A"/>
    <w:rsid w:val="00847706"/>
    <w:rsid w:val="00854186"/>
    <w:rsid w:val="00857675"/>
    <w:rsid w:val="008664F8"/>
    <w:rsid w:val="00877032"/>
    <w:rsid w:val="00877068"/>
    <w:rsid w:val="00880D0D"/>
    <w:rsid w:val="008872A2"/>
    <w:rsid w:val="00895A64"/>
    <w:rsid w:val="00895BE7"/>
    <w:rsid w:val="008A0DC9"/>
    <w:rsid w:val="008A5C2E"/>
    <w:rsid w:val="008B02AA"/>
    <w:rsid w:val="008C0326"/>
    <w:rsid w:val="008C5ABD"/>
    <w:rsid w:val="008C5F25"/>
    <w:rsid w:val="008D28A9"/>
    <w:rsid w:val="008E148C"/>
    <w:rsid w:val="008E26A2"/>
    <w:rsid w:val="009078E5"/>
    <w:rsid w:val="00910498"/>
    <w:rsid w:val="00912ADD"/>
    <w:rsid w:val="0091565B"/>
    <w:rsid w:val="00921F8C"/>
    <w:rsid w:val="00922DBB"/>
    <w:rsid w:val="0095286A"/>
    <w:rsid w:val="00954B4B"/>
    <w:rsid w:val="00975423"/>
    <w:rsid w:val="00986E5F"/>
    <w:rsid w:val="009A7D21"/>
    <w:rsid w:val="009C453B"/>
    <w:rsid w:val="009C7F6B"/>
    <w:rsid w:val="009F1B75"/>
    <w:rsid w:val="009F39C7"/>
    <w:rsid w:val="009F6D25"/>
    <w:rsid w:val="00A013AA"/>
    <w:rsid w:val="00A32422"/>
    <w:rsid w:val="00A3418E"/>
    <w:rsid w:val="00A407D1"/>
    <w:rsid w:val="00A61451"/>
    <w:rsid w:val="00A63C42"/>
    <w:rsid w:val="00A65801"/>
    <w:rsid w:val="00A87B5D"/>
    <w:rsid w:val="00A97E66"/>
    <w:rsid w:val="00AA1759"/>
    <w:rsid w:val="00AA3003"/>
    <w:rsid w:val="00AA3DB4"/>
    <w:rsid w:val="00AB2AA6"/>
    <w:rsid w:val="00AC139B"/>
    <w:rsid w:val="00AC2546"/>
    <w:rsid w:val="00AC4897"/>
    <w:rsid w:val="00AD3E6D"/>
    <w:rsid w:val="00AD7784"/>
    <w:rsid w:val="00AF31B1"/>
    <w:rsid w:val="00AF5A4A"/>
    <w:rsid w:val="00B0409B"/>
    <w:rsid w:val="00B21656"/>
    <w:rsid w:val="00B24563"/>
    <w:rsid w:val="00B635BA"/>
    <w:rsid w:val="00B6527D"/>
    <w:rsid w:val="00B71A6D"/>
    <w:rsid w:val="00B919A9"/>
    <w:rsid w:val="00BB2497"/>
    <w:rsid w:val="00BB372B"/>
    <w:rsid w:val="00BE0AD4"/>
    <w:rsid w:val="00C0577D"/>
    <w:rsid w:val="00C15174"/>
    <w:rsid w:val="00C17D9A"/>
    <w:rsid w:val="00C337C1"/>
    <w:rsid w:val="00C4155A"/>
    <w:rsid w:val="00C43E5B"/>
    <w:rsid w:val="00C45F21"/>
    <w:rsid w:val="00C519BC"/>
    <w:rsid w:val="00C55E43"/>
    <w:rsid w:val="00C605BD"/>
    <w:rsid w:val="00C61DC5"/>
    <w:rsid w:val="00C62423"/>
    <w:rsid w:val="00C709B8"/>
    <w:rsid w:val="00C955CC"/>
    <w:rsid w:val="00CA6F46"/>
    <w:rsid w:val="00CB2599"/>
    <w:rsid w:val="00CB3117"/>
    <w:rsid w:val="00CC736F"/>
    <w:rsid w:val="00CE1862"/>
    <w:rsid w:val="00CE37ED"/>
    <w:rsid w:val="00CE7457"/>
    <w:rsid w:val="00D16906"/>
    <w:rsid w:val="00D356BC"/>
    <w:rsid w:val="00D36C62"/>
    <w:rsid w:val="00D4613F"/>
    <w:rsid w:val="00D5318C"/>
    <w:rsid w:val="00D554FC"/>
    <w:rsid w:val="00D5572D"/>
    <w:rsid w:val="00D81E3D"/>
    <w:rsid w:val="00D949F7"/>
    <w:rsid w:val="00DA057C"/>
    <w:rsid w:val="00DA16BE"/>
    <w:rsid w:val="00DB13AB"/>
    <w:rsid w:val="00DB2FC5"/>
    <w:rsid w:val="00DD3D55"/>
    <w:rsid w:val="00DE344D"/>
    <w:rsid w:val="00DE619D"/>
    <w:rsid w:val="00E02BF1"/>
    <w:rsid w:val="00E156D5"/>
    <w:rsid w:val="00E339F2"/>
    <w:rsid w:val="00E46054"/>
    <w:rsid w:val="00E774D0"/>
    <w:rsid w:val="00E8388E"/>
    <w:rsid w:val="00EA5F52"/>
    <w:rsid w:val="00EB563F"/>
    <w:rsid w:val="00EB7DD0"/>
    <w:rsid w:val="00EC1979"/>
    <w:rsid w:val="00EC282F"/>
    <w:rsid w:val="00ED7C8E"/>
    <w:rsid w:val="00EE2E07"/>
    <w:rsid w:val="00EE66B1"/>
    <w:rsid w:val="00EF0B91"/>
    <w:rsid w:val="00EF3B2C"/>
    <w:rsid w:val="00EF7B17"/>
    <w:rsid w:val="00F0364D"/>
    <w:rsid w:val="00F06CB4"/>
    <w:rsid w:val="00F16C5D"/>
    <w:rsid w:val="00F453E0"/>
    <w:rsid w:val="00F627E2"/>
    <w:rsid w:val="00F74EEB"/>
    <w:rsid w:val="00F81C9E"/>
    <w:rsid w:val="00F820FC"/>
    <w:rsid w:val="00F93B25"/>
    <w:rsid w:val="00FA08FE"/>
    <w:rsid w:val="00FB61FC"/>
    <w:rsid w:val="00FC1406"/>
    <w:rsid w:val="00FC434E"/>
    <w:rsid w:val="00FE6915"/>
    <w:rsid w:val="00FF335F"/>
    <w:rsid w:val="00FF5D03"/>
    <w:rsid w:val="577A74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509</Words>
  <Characters>2906</Characters>
  <Lines>24</Lines>
  <Paragraphs>6</Paragraphs>
  <TotalTime>145</TotalTime>
  <ScaleCrop>false</ScaleCrop>
  <LinksUpToDate>false</LinksUpToDate>
  <CharactersWithSpaces>3409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2023-10-13T10:20:19Z</dcterms:modified>
  <dc:title>喀什地区部门决算和三公经费</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