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2016年喀什地区叶城县旅游局部门决算</w:t>
      </w:r>
    </w:p>
    <w:p>
      <w:pPr>
        <w:spacing w:line="560" w:lineRule="exact"/>
        <w:jc w:val="center"/>
        <w:rPr>
          <w:rFonts w:ascii="仿宋_GB2312" w:hAnsi="宋体"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（一）贯彻执行国家旅游业政策、标准、规划，结合叶城县实际制定研究叶城县旅游业发展规划，并组织实施，指导县旅游工作。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（二）研究拟定叶城县旅游市场开发战略，组织叶城旅游整体形象的对外宣传和重大促销活动，组织、指导重要旅游产品的开发。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（三）指导旅游对外交流与合作，指导旅游行业精神文明建设及评先创优工作；推进旅游信息化建设工作。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（四）承办县委、县人民政府交办的其他事项。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二、机构人员情况：编制12人，按照编委文件填报，实际实有在职人数10人，离退休0人，属于一般公共预算财政拨款开支10人，其中：在职10人，离退休0人。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纳入叶城县旅游局2016年部门决算编制范围的单位名单见下表：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5"/>
        <w:gridCol w:w="376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76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376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叶城县旅游局</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根据职责，纳入2016年部门决算编制范围的有2个内设机构。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办公室、综合科。</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第二部分   叶城县旅游局2016年度部门决算报表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第三部分  叶城县旅游局2016年度部门决算情况说明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2016年全年收入合计46,894,840.02元，支出合计46,894,840.02元，其中基本支出1,726,890.02元，项目支出45,167,950元。</w:t>
      </w:r>
    </w:p>
    <w:bookmarkEnd w:id="0"/>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2016年本年收入合计46,894,840.02元，其中：财政拨款收入8,524,840.02元，无事业收入，无经营收入，其他收入38,370,000元。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本年支出合计46,894,840.02元，其中：基本支出1,726,890.02元，项目支出45,167,950元，无经营支出。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2016年“三公”经费实际支出15，000元，其中：因公出国费用0批次，共组团0批次0人次,无出国事由；公务接待费0元，共接待0批次0人次；无公务用车购置，年末公务用车保有量为1辆；公务用车维护费15，000元。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“三公”经费较上年相比少支出25,000元，其中：公务用车维护费与上年一致,公务接待费少支出25，000元；无公务用车购置费，无因公出国费用。主要原因为：按照八项规定要求严格控制单位经费支出。</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2016年培训费元，主要是：本单位无培训费。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2016年本年收入46,894,840.02元，比2015年增加25,991,323.62元，增加原因：财政拨款项目资金增加。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2016年本年支出46,894,840.02元，比2015年增加25,991,323.62元，增加原因：财政拨款项目资金增加。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2016年财政拨款支出8,524,840.02元，年初预算数1,270,015.22元，差异原因为2016年提高干部职工工资标准及部分财政拨款项目资金年初未</w:t>
      </w:r>
      <w:r>
        <w:rPr>
          <w:rFonts w:hint="eastAsia" w:ascii="仿宋_GB2312" w:hAnsi="宋体" w:eastAsia="仿宋_GB2312"/>
          <w:sz w:val="32"/>
          <w:szCs w:val="32"/>
          <w:lang w:eastAsia="zh-CN"/>
        </w:rPr>
        <w:t>安</w:t>
      </w:r>
      <w:bookmarkStart w:id="1" w:name="_GoBack"/>
      <w:bookmarkEnd w:id="1"/>
      <w:r>
        <w:rPr>
          <w:rFonts w:hint="eastAsia" w:ascii="仿宋_GB2312" w:hAnsi="宋体" w:eastAsia="仿宋_GB2312"/>
          <w:sz w:val="32"/>
          <w:szCs w:val="32"/>
        </w:rPr>
        <w:t>排预算。</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2016年叶城县旅游局机关运行经费支出46，500元，比2015年减少5,950元，降低11.34% ，主要原因是：按照八项规定要求严格控制单位各类经费支出。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2016年，叶城县旅游局政府采购支出总额1,768,585.10元，其中政府采购货物支出1,163,585.10元，政府采购工程支出605,000元，政府采购服务支出0元。喀什地区为偏远地区，参与招投标的供应商基本为中小微企业。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截止2016年12月31日，本单位共有车辆1辆，其中一般公务用车1辆，一般工作用车0辆，专业用车0辆，其他车辆0辆，无其他用车，单位价值在50万元以上的设备0台（套），价值0元。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2016年，叶城县旅游局共组织对 4个项目进行了预算绩效评价，涉及一般公共预算当年财政拨款</w:t>
      </w:r>
      <w:r>
        <w:rPr>
          <w:rFonts w:ascii="仿宋_GB2312" w:hAnsi="宋体" w:eastAsia="仿宋_GB2312"/>
          <w:sz w:val="32"/>
          <w:szCs w:val="32"/>
        </w:rPr>
        <w:t>3,250,000.00</w:t>
      </w:r>
      <w:r>
        <w:rPr>
          <w:rFonts w:hint="eastAsia" w:ascii="仿宋_GB2312" w:hAnsi="宋体" w:eastAsia="仿宋_GB2312"/>
          <w:sz w:val="32"/>
          <w:szCs w:val="32"/>
        </w:rPr>
        <w:t>元。绩效评价结果：旅游发展、管理、服务项目资金的投入加快了叶城县重点旅游景区道路的新建、提等升级和水、电、讯等基础设施建设，为大力发展旅游业扩大经济总量，优化经济结构、建设生态叶城、文明叶城、提升了综合竞争力，实现富民强县，使旅游业成为宣传叶城推广叶城的新名片做出了贡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40A03"/>
    <w:rsid w:val="00052FE0"/>
    <w:rsid w:val="00054384"/>
    <w:rsid w:val="000703F5"/>
    <w:rsid w:val="00070B61"/>
    <w:rsid w:val="000775E8"/>
    <w:rsid w:val="00086A97"/>
    <w:rsid w:val="00091F7F"/>
    <w:rsid w:val="00094D69"/>
    <w:rsid w:val="000A5DE3"/>
    <w:rsid w:val="000A65DB"/>
    <w:rsid w:val="000B1596"/>
    <w:rsid w:val="000B5213"/>
    <w:rsid w:val="000C3B20"/>
    <w:rsid w:val="000D5EBF"/>
    <w:rsid w:val="000E5B19"/>
    <w:rsid w:val="000E7FFD"/>
    <w:rsid w:val="000F3074"/>
    <w:rsid w:val="0010183B"/>
    <w:rsid w:val="00140E78"/>
    <w:rsid w:val="00142BCE"/>
    <w:rsid w:val="00147040"/>
    <w:rsid w:val="00151463"/>
    <w:rsid w:val="00170582"/>
    <w:rsid w:val="00170A5E"/>
    <w:rsid w:val="00184F51"/>
    <w:rsid w:val="001870FE"/>
    <w:rsid w:val="001943AB"/>
    <w:rsid w:val="00197059"/>
    <w:rsid w:val="001D09C9"/>
    <w:rsid w:val="001E4658"/>
    <w:rsid w:val="001E4791"/>
    <w:rsid w:val="001E7C6A"/>
    <w:rsid w:val="001F2B9D"/>
    <w:rsid w:val="001F33C0"/>
    <w:rsid w:val="001F6EF5"/>
    <w:rsid w:val="0020099B"/>
    <w:rsid w:val="00205C3B"/>
    <w:rsid w:val="00242FE4"/>
    <w:rsid w:val="00262C89"/>
    <w:rsid w:val="00265B72"/>
    <w:rsid w:val="002743C3"/>
    <w:rsid w:val="00274795"/>
    <w:rsid w:val="00283A16"/>
    <w:rsid w:val="00287A2E"/>
    <w:rsid w:val="002B5B38"/>
    <w:rsid w:val="002C37F3"/>
    <w:rsid w:val="002C677C"/>
    <w:rsid w:val="002C740B"/>
    <w:rsid w:val="002D02F4"/>
    <w:rsid w:val="002F5AFF"/>
    <w:rsid w:val="00303B2E"/>
    <w:rsid w:val="003158E9"/>
    <w:rsid w:val="003166A5"/>
    <w:rsid w:val="003173CF"/>
    <w:rsid w:val="00333969"/>
    <w:rsid w:val="003472C5"/>
    <w:rsid w:val="00347942"/>
    <w:rsid w:val="00347996"/>
    <w:rsid w:val="00350B5B"/>
    <w:rsid w:val="00350D29"/>
    <w:rsid w:val="003632BC"/>
    <w:rsid w:val="00365642"/>
    <w:rsid w:val="00374661"/>
    <w:rsid w:val="00374FA4"/>
    <w:rsid w:val="003978C1"/>
    <w:rsid w:val="003B0831"/>
    <w:rsid w:val="003B3661"/>
    <w:rsid w:val="003B594E"/>
    <w:rsid w:val="003B5F0B"/>
    <w:rsid w:val="003B7599"/>
    <w:rsid w:val="003C077B"/>
    <w:rsid w:val="003C2E54"/>
    <w:rsid w:val="003D0C72"/>
    <w:rsid w:val="003E0C21"/>
    <w:rsid w:val="003E0D94"/>
    <w:rsid w:val="004011AD"/>
    <w:rsid w:val="0040177E"/>
    <w:rsid w:val="00406AB0"/>
    <w:rsid w:val="00417715"/>
    <w:rsid w:val="00420614"/>
    <w:rsid w:val="0043072D"/>
    <w:rsid w:val="00434EEE"/>
    <w:rsid w:val="00445215"/>
    <w:rsid w:val="0045212A"/>
    <w:rsid w:val="00457BD9"/>
    <w:rsid w:val="004743B3"/>
    <w:rsid w:val="00486188"/>
    <w:rsid w:val="00487059"/>
    <w:rsid w:val="004A08C1"/>
    <w:rsid w:val="004A28B1"/>
    <w:rsid w:val="004B6AAB"/>
    <w:rsid w:val="004D2787"/>
    <w:rsid w:val="004D48D7"/>
    <w:rsid w:val="004D63E4"/>
    <w:rsid w:val="004D65D7"/>
    <w:rsid w:val="004D6F93"/>
    <w:rsid w:val="004F5B3E"/>
    <w:rsid w:val="0050291C"/>
    <w:rsid w:val="00512994"/>
    <w:rsid w:val="00514DEB"/>
    <w:rsid w:val="00527058"/>
    <w:rsid w:val="005272D8"/>
    <w:rsid w:val="00532879"/>
    <w:rsid w:val="00552B99"/>
    <w:rsid w:val="00565025"/>
    <w:rsid w:val="005766BD"/>
    <w:rsid w:val="00592401"/>
    <w:rsid w:val="00595CD5"/>
    <w:rsid w:val="005A0EA5"/>
    <w:rsid w:val="005B007A"/>
    <w:rsid w:val="005D008D"/>
    <w:rsid w:val="005D5345"/>
    <w:rsid w:val="005D6922"/>
    <w:rsid w:val="00614608"/>
    <w:rsid w:val="00622A1A"/>
    <w:rsid w:val="00624CDE"/>
    <w:rsid w:val="00642F1B"/>
    <w:rsid w:val="00647EAC"/>
    <w:rsid w:val="006537AC"/>
    <w:rsid w:val="00672B4C"/>
    <w:rsid w:val="006773BD"/>
    <w:rsid w:val="00687879"/>
    <w:rsid w:val="00696752"/>
    <w:rsid w:val="00696D79"/>
    <w:rsid w:val="006A1621"/>
    <w:rsid w:val="006A2219"/>
    <w:rsid w:val="006A56FC"/>
    <w:rsid w:val="006A7356"/>
    <w:rsid w:val="006D4B96"/>
    <w:rsid w:val="006F1159"/>
    <w:rsid w:val="006F13E9"/>
    <w:rsid w:val="006F2414"/>
    <w:rsid w:val="006F3090"/>
    <w:rsid w:val="006F3AD3"/>
    <w:rsid w:val="006F7FA8"/>
    <w:rsid w:val="00700977"/>
    <w:rsid w:val="007226FB"/>
    <w:rsid w:val="00741870"/>
    <w:rsid w:val="0074529A"/>
    <w:rsid w:val="00774810"/>
    <w:rsid w:val="00782159"/>
    <w:rsid w:val="00793D15"/>
    <w:rsid w:val="007978CD"/>
    <w:rsid w:val="007A2BDC"/>
    <w:rsid w:val="007B72A9"/>
    <w:rsid w:val="007B7E7F"/>
    <w:rsid w:val="007C5693"/>
    <w:rsid w:val="007D75E2"/>
    <w:rsid w:val="007F238C"/>
    <w:rsid w:val="00800A10"/>
    <w:rsid w:val="008012F4"/>
    <w:rsid w:val="008104D1"/>
    <w:rsid w:val="00815033"/>
    <w:rsid w:val="008364DB"/>
    <w:rsid w:val="00842279"/>
    <w:rsid w:val="00844D3A"/>
    <w:rsid w:val="00847706"/>
    <w:rsid w:val="00854186"/>
    <w:rsid w:val="008574F7"/>
    <w:rsid w:val="008664F8"/>
    <w:rsid w:val="00877032"/>
    <w:rsid w:val="00880D0D"/>
    <w:rsid w:val="008872A2"/>
    <w:rsid w:val="00887F44"/>
    <w:rsid w:val="00895A64"/>
    <w:rsid w:val="00895BE7"/>
    <w:rsid w:val="0089765B"/>
    <w:rsid w:val="008A0DC9"/>
    <w:rsid w:val="008A5C2E"/>
    <w:rsid w:val="008B02AA"/>
    <w:rsid w:val="008C1654"/>
    <w:rsid w:val="008C5ABD"/>
    <w:rsid w:val="008D06C3"/>
    <w:rsid w:val="008D08F8"/>
    <w:rsid w:val="008D28A9"/>
    <w:rsid w:val="008D314F"/>
    <w:rsid w:val="008E26A2"/>
    <w:rsid w:val="008E562E"/>
    <w:rsid w:val="009078E5"/>
    <w:rsid w:val="00910498"/>
    <w:rsid w:val="00912ADD"/>
    <w:rsid w:val="00921F8C"/>
    <w:rsid w:val="00943A7D"/>
    <w:rsid w:val="00954B4B"/>
    <w:rsid w:val="00986E5F"/>
    <w:rsid w:val="009A7D21"/>
    <w:rsid w:val="009C453B"/>
    <w:rsid w:val="009C7F6B"/>
    <w:rsid w:val="009D3BF9"/>
    <w:rsid w:val="009F1B75"/>
    <w:rsid w:val="009F39C7"/>
    <w:rsid w:val="009F6D25"/>
    <w:rsid w:val="00A013AA"/>
    <w:rsid w:val="00A32422"/>
    <w:rsid w:val="00A3418E"/>
    <w:rsid w:val="00A407D1"/>
    <w:rsid w:val="00A63C42"/>
    <w:rsid w:val="00A65801"/>
    <w:rsid w:val="00A87B5D"/>
    <w:rsid w:val="00A97E66"/>
    <w:rsid w:val="00AA1759"/>
    <w:rsid w:val="00AA3003"/>
    <w:rsid w:val="00AC139B"/>
    <w:rsid w:val="00AC4897"/>
    <w:rsid w:val="00AC6ED9"/>
    <w:rsid w:val="00AD7784"/>
    <w:rsid w:val="00B0409B"/>
    <w:rsid w:val="00B20A8D"/>
    <w:rsid w:val="00B21656"/>
    <w:rsid w:val="00B24563"/>
    <w:rsid w:val="00B53434"/>
    <w:rsid w:val="00B5424A"/>
    <w:rsid w:val="00B635BA"/>
    <w:rsid w:val="00B919A9"/>
    <w:rsid w:val="00BB2497"/>
    <w:rsid w:val="00BB372B"/>
    <w:rsid w:val="00BB7DA4"/>
    <w:rsid w:val="00BF1345"/>
    <w:rsid w:val="00C055A1"/>
    <w:rsid w:val="00C15174"/>
    <w:rsid w:val="00C17D9A"/>
    <w:rsid w:val="00C337C1"/>
    <w:rsid w:val="00C4155A"/>
    <w:rsid w:val="00C45F21"/>
    <w:rsid w:val="00C519BC"/>
    <w:rsid w:val="00C55E43"/>
    <w:rsid w:val="00C605BD"/>
    <w:rsid w:val="00C61DC5"/>
    <w:rsid w:val="00C62423"/>
    <w:rsid w:val="00C709B8"/>
    <w:rsid w:val="00C82CA7"/>
    <w:rsid w:val="00C955CC"/>
    <w:rsid w:val="00CA6F46"/>
    <w:rsid w:val="00CB3117"/>
    <w:rsid w:val="00CE1862"/>
    <w:rsid w:val="00CE37ED"/>
    <w:rsid w:val="00CF0C11"/>
    <w:rsid w:val="00D16906"/>
    <w:rsid w:val="00D36C62"/>
    <w:rsid w:val="00D40136"/>
    <w:rsid w:val="00D4613F"/>
    <w:rsid w:val="00D5318C"/>
    <w:rsid w:val="00D554FC"/>
    <w:rsid w:val="00D5682C"/>
    <w:rsid w:val="00D6081D"/>
    <w:rsid w:val="00D7141C"/>
    <w:rsid w:val="00D81E3D"/>
    <w:rsid w:val="00D949F7"/>
    <w:rsid w:val="00D95951"/>
    <w:rsid w:val="00D96AB4"/>
    <w:rsid w:val="00DA057C"/>
    <w:rsid w:val="00DA16BE"/>
    <w:rsid w:val="00DA369E"/>
    <w:rsid w:val="00DB13AB"/>
    <w:rsid w:val="00DB2FC5"/>
    <w:rsid w:val="00DE344D"/>
    <w:rsid w:val="00DE619D"/>
    <w:rsid w:val="00E339F2"/>
    <w:rsid w:val="00E774D0"/>
    <w:rsid w:val="00E8388E"/>
    <w:rsid w:val="00E83A56"/>
    <w:rsid w:val="00EA5F52"/>
    <w:rsid w:val="00EB563F"/>
    <w:rsid w:val="00EB7DD0"/>
    <w:rsid w:val="00EC1979"/>
    <w:rsid w:val="00EC282F"/>
    <w:rsid w:val="00ED7C8E"/>
    <w:rsid w:val="00EE2E07"/>
    <w:rsid w:val="00EE3E2C"/>
    <w:rsid w:val="00EE5E28"/>
    <w:rsid w:val="00EE66B1"/>
    <w:rsid w:val="00EF3B2C"/>
    <w:rsid w:val="00EF7B17"/>
    <w:rsid w:val="00F0364D"/>
    <w:rsid w:val="00F04A24"/>
    <w:rsid w:val="00F06CB4"/>
    <w:rsid w:val="00F16C5D"/>
    <w:rsid w:val="00F453E0"/>
    <w:rsid w:val="00F51F73"/>
    <w:rsid w:val="00F627E2"/>
    <w:rsid w:val="00F63CCF"/>
    <w:rsid w:val="00F81C9E"/>
    <w:rsid w:val="00F820FC"/>
    <w:rsid w:val="00FA08FE"/>
    <w:rsid w:val="00FB61FC"/>
    <w:rsid w:val="00FC1406"/>
    <w:rsid w:val="00FE0DC9"/>
    <w:rsid w:val="00FF5D03"/>
    <w:rsid w:val="677347E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505</Words>
  <Characters>2884</Characters>
  <Lines>24</Lines>
  <Paragraphs>6</Paragraphs>
  <TotalTime>102</TotalTime>
  <ScaleCrop>false</ScaleCrop>
  <LinksUpToDate>false</LinksUpToDate>
  <CharactersWithSpaces>3383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2016-08-03T02:49:00Z</cp:lastPrinted>
  <dcterms:modified xsi:type="dcterms:W3CDTF">2023-11-22T07:45:43Z</dcterms:modified>
  <dc:title>喀什地区部门决算和三公经费</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