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 xml:space="preserve">  2016年喀什地区叶城县档案局部门决算</w:t>
      </w:r>
    </w:p>
    <w:p>
      <w:pPr>
        <w:spacing w:line="560" w:lineRule="exact"/>
        <w:jc w:val="center"/>
        <w:rPr>
          <w:rFonts w:ascii="仿宋_GB2312" w:hAnsi="宋体"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叶城县档案局属于参照公务员管理单位，其职能为:编写党史、县志、指导全县的档案。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二、机构人员情况：编制8人，按照编委文件填报，实际实有在职人数8人，离退休0人，属于一般公共预算财政拨款开支8人，其中：在职8人，离退休0人。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纳入叶城县档案局2016年部门决算编制范围的单位名单见下表：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5"/>
        <w:gridCol w:w="376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76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376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叶城县档案局</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根据职责，纳入2016年部门决算编制范围的有2个内设机构。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办公室、财务室。</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 xml:space="preserve">第二部分   </w:t>
      </w:r>
      <w:r>
        <w:rPr>
          <w:rFonts w:hint="eastAsia" w:ascii="仿宋_GB2312" w:eastAsia="仿宋_GB2312"/>
          <w:b/>
          <w:sz w:val="32"/>
          <w:szCs w:val="32"/>
        </w:rPr>
        <w:t>叶城县档案局</w:t>
      </w:r>
      <w:r>
        <w:rPr>
          <w:rFonts w:hint="eastAsia" w:ascii="仿宋_GB2312" w:hAnsi="宋体" w:eastAsia="仿宋_GB2312" w:cs="仿宋_GB2312"/>
          <w:b/>
          <w:bCs/>
          <w:sz w:val="32"/>
          <w:szCs w:val="32"/>
        </w:rPr>
        <w:t>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 xml:space="preserve">第三部分 </w:t>
      </w:r>
      <w:r>
        <w:rPr>
          <w:rFonts w:hint="eastAsia" w:ascii="仿宋_GB2312" w:eastAsia="仿宋_GB2312"/>
          <w:b/>
          <w:sz w:val="32"/>
          <w:szCs w:val="32"/>
        </w:rPr>
        <w:t>叶城县档案局</w:t>
      </w:r>
      <w:r>
        <w:rPr>
          <w:rFonts w:hint="eastAsia" w:ascii="仿宋_GB2312" w:hAnsi="宋体" w:eastAsia="仿宋_GB2312" w:cs="仿宋_GB2312"/>
          <w:b/>
          <w:bCs/>
          <w:sz w:val="32"/>
          <w:szCs w:val="32"/>
        </w:rPr>
        <w:t>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2016年全年收入合计</w:t>
      </w:r>
      <w:r>
        <w:rPr>
          <w:rFonts w:hint="eastAsia" w:ascii="仿宋_GB2312" w:hAnsi="宋体" w:eastAsia="仿宋_GB2312"/>
          <w:sz w:val="32"/>
          <w:szCs w:val="32"/>
        </w:rPr>
        <w:t>1,689,852.30</w:t>
      </w:r>
      <w:r>
        <w:rPr>
          <w:rFonts w:hint="eastAsia" w:ascii="仿宋_GB2312" w:hAnsi="宋体" w:eastAsia="仿宋_GB2312" w:cs="仿宋_GB2312"/>
          <w:sz w:val="32"/>
          <w:szCs w:val="32"/>
        </w:rPr>
        <w:t>元，支出合计</w:t>
      </w:r>
      <w:r>
        <w:rPr>
          <w:rFonts w:hint="eastAsia" w:ascii="仿宋_GB2312" w:hAnsi="宋体" w:eastAsia="仿宋_GB2312"/>
          <w:sz w:val="32"/>
          <w:szCs w:val="32"/>
        </w:rPr>
        <w:t>1,689,852.30</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1,419,852.30</w:t>
      </w:r>
      <w:r>
        <w:rPr>
          <w:rFonts w:hint="eastAsia" w:ascii="仿宋_GB2312" w:hAnsi="宋体" w:eastAsia="仿宋_GB2312" w:cs="仿宋_GB2312"/>
          <w:sz w:val="32"/>
          <w:szCs w:val="32"/>
        </w:rPr>
        <w:t>元，项目支出</w:t>
      </w:r>
      <w:r>
        <w:rPr>
          <w:rFonts w:hint="eastAsia" w:ascii="仿宋_GB2312" w:hAnsi="宋体" w:eastAsia="仿宋_GB2312"/>
          <w:sz w:val="32"/>
          <w:szCs w:val="32"/>
        </w:rPr>
        <w:t>270,000.00</w:t>
      </w:r>
      <w:r>
        <w:rPr>
          <w:rFonts w:hint="eastAsia" w:ascii="仿宋_GB2312" w:hAnsi="宋体" w:eastAsia="仿宋_GB2312" w:cs="仿宋_GB2312"/>
          <w:sz w:val="32"/>
          <w:szCs w:val="32"/>
        </w:rPr>
        <w:t>元。</w:t>
      </w:r>
    </w:p>
    <w:bookmarkEnd w:id="0"/>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2016年本年收入合计</w:t>
      </w:r>
      <w:r>
        <w:rPr>
          <w:rFonts w:hint="eastAsia" w:ascii="仿宋_GB2312" w:hAnsi="宋体" w:eastAsia="仿宋_GB2312"/>
          <w:sz w:val="32"/>
          <w:szCs w:val="32"/>
        </w:rPr>
        <w:t>1,689,852.30</w:t>
      </w:r>
      <w:r>
        <w:rPr>
          <w:rFonts w:hint="eastAsia" w:ascii="仿宋_GB2312" w:hAnsi="宋体" w:eastAsia="仿宋_GB2312" w:cs="仿宋_GB2312"/>
          <w:sz w:val="32"/>
          <w:szCs w:val="32"/>
        </w:rPr>
        <w:t>元，其中：财政拨款收入</w:t>
      </w:r>
      <w:r>
        <w:rPr>
          <w:rFonts w:hint="eastAsia" w:ascii="仿宋_GB2312" w:hAnsi="宋体" w:eastAsia="仿宋_GB2312"/>
          <w:sz w:val="32"/>
          <w:szCs w:val="32"/>
        </w:rPr>
        <w:t>1,689,852.30</w:t>
      </w:r>
      <w:r>
        <w:rPr>
          <w:rFonts w:hint="eastAsia" w:ascii="仿宋_GB2312" w:hAnsi="宋体" w:eastAsia="仿宋_GB2312" w:cs="仿宋_GB2312"/>
          <w:sz w:val="32"/>
          <w:szCs w:val="32"/>
        </w:rPr>
        <w:t>元，无事业收入，无经营收入，无其他收入。</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hint="eastAsia" w:ascii="仿宋_GB2312" w:hAnsi="宋体" w:eastAsia="仿宋_GB2312"/>
          <w:sz w:val="32"/>
          <w:szCs w:val="32"/>
        </w:rPr>
        <w:t>1,689,852.30</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1,419,852.30</w:t>
      </w:r>
      <w:r>
        <w:rPr>
          <w:rFonts w:hint="eastAsia" w:ascii="仿宋_GB2312" w:hAnsi="宋体" w:eastAsia="仿宋_GB2312" w:cs="仿宋_GB2312"/>
          <w:sz w:val="32"/>
          <w:szCs w:val="32"/>
        </w:rPr>
        <w:t>元，项目支出</w:t>
      </w:r>
      <w:r>
        <w:rPr>
          <w:rFonts w:hint="eastAsia" w:ascii="仿宋_GB2312" w:hAnsi="宋体" w:eastAsia="仿宋_GB2312"/>
          <w:sz w:val="32"/>
          <w:szCs w:val="32"/>
        </w:rPr>
        <w:t>270,000.00</w:t>
      </w:r>
      <w:r>
        <w:rPr>
          <w:rFonts w:hint="eastAsia" w:ascii="仿宋_GB2312" w:hAnsi="宋体" w:eastAsia="仿宋_GB2312" w:cs="仿宋_GB2312"/>
          <w:sz w:val="32"/>
          <w:szCs w:val="32"/>
        </w:rPr>
        <w:t>元，无经营支出。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w:t>
      </w:r>
      <w:r>
        <w:rPr>
          <w:rFonts w:hint="eastAsia" w:ascii="仿宋_GB2312" w:hAnsi="宋体" w:eastAsia="仿宋_GB2312"/>
          <w:sz w:val="32"/>
          <w:szCs w:val="32"/>
        </w:rPr>
        <w:t>0</w:t>
      </w:r>
      <w:r>
        <w:rPr>
          <w:rFonts w:hint="eastAsia" w:ascii="仿宋_GB2312" w:hAnsi="宋体" w:eastAsia="仿宋_GB2312" w:cs="仿宋_GB2312"/>
          <w:sz w:val="32"/>
          <w:szCs w:val="32"/>
        </w:rPr>
        <w:t>元，其中：因公出国费用0批次，共组团0批次0人次,无出国事由；公务接待费</w:t>
      </w:r>
      <w:r>
        <w:rPr>
          <w:rFonts w:hint="eastAsia" w:ascii="仿宋_GB2312" w:hAnsi="宋体" w:eastAsia="仿宋_GB2312"/>
          <w:sz w:val="32"/>
          <w:szCs w:val="32"/>
        </w:rPr>
        <w:t>0</w:t>
      </w:r>
      <w:r>
        <w:rPr>
          <w:rFonts w:hint="eastAsia" w:ascii="仿宋_GB2312" w:hAnsi="宋体" w:eastAsia="仿宋_GB2312" w:cs="仿宋_GB2312"/>
          <w:sz w:val="32"/>
          <w:szCs w:val="32"/>
        </w:rPr>
        <w:t>元，共接待</w:t>
      </w:r>
      <w:r>
        <w:rPr>
          <w:rFonts w:hint="eastAsia" w:ascii="仿宋_GB2312" w:hAnsi="宋体" w:eastAsia="仿宋_GB2312"/>
          <w:sz w:val="32"/>
          <w:szCs w:val="32"/>
        </w:rPr>
        <w:t>0</w:t>
      </w:r>
      <w:r>
        <w:rPr>
          <w:rFonts w:hint="eastAsia" w:ascii="仿宋_GB2312" w:hAnsi="宋体" w:eastAsia="仿宋_GB2312" w:cs="仿宋_GB2312"/>
          <w:sz w:val="32"/>
          <w:szCs w:val="32"/>
        </w:rPr>
        <w:t>批次</w:t>
      </w:r>
      <w:r>
        <w:rPr>
          <w:rFonts w:hint="eastAsia" w:ascii="仿宋_GB2312" w:hAnsi="宋体" w:eastAsia="仿宋_GB2312"/>
          <w:sz w:val="32"/>
          <w:szCs w:val="32"/>
        </w:rPr>
        <w:t>0</w:t>
      </w:r>
      <w:r>
        <w:rPr>
          <w:rFonts w:hint="eastAsia" w:ascii="仿宋_GB2312" w:hAnsi="宋体" w:eastAsia="仿宋_GB2312" w:cs="仿宋_GB2312"/>
          <w:sz w:val="32"/>
          <w:szCs w:val="32"/>
        </w:rPr>
        <w:t>人次；无公务用车购置，年末公务用车保有量为</w:t>
      </w:r>
      <w:r>
        <w:rPr>
          <w:rFonts w:hint="eastAsia" w:ascii="仿宋_GB2312" w:hAnsi="宋体" w:eastAsia="仿宋_GB2312"/>
          <w:sz w:val="32"/>
          <w:szCs w:val="32"/>
        </w:rPr>
        <w:t>0</w:t>
      </w:r>
      <w:r>
        <w:rPr>
          <w:rFonts w:hint="eastAsia" w:ascii="仿宋_GB2312" w:hAnsi="宋体" w:eastAsia="仿宋_GB2312" w:cs="仿宋_GB2312"/>
          <w:sz w:val="32"/>
          <w:szCs w:val="32"/>
        </w:rPr>
        <w:t>辆；公务用车维护费</w:t>
      </w:r>
      <w:r>
        <w:rPr>
          <w:rFonts w:hint="eastAsia" w:ascii="仿宋_GB2312" w:hAnsi="宋体" w:eastAsia="仿宋_GB2312"/>
          <w:sz w:val="32"/>
          <w:szCs w:val="32"/>
        </w:rPr>
        <w:t>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w:t>
      </w:r>
      <w:r>
        <w:rPr>
          <w:rFonts w:hint="eastAsia" w:ascii="仿宋_GB2312" w:hAnsi="宋体" w:eastAsia="仿宋_GB2312"/>
          <w:sz w:val="32"/>
          <w:szCs w:val="32"/>
        </w:rPr>
        <w:t>少支出5000</w:t>
      </w:r>
      <w:r>
        <w:rPr>
          <w:rFonts w:hint="eastAsia" w:ascii="仿宋_GB2312" w:hAnsi="宋体" w:eastAsia="仿宋_GB2312" w:cs="仿宋_GB2312"/>
          <w:sz w:val="32"/>
          <w:szCs w:val="32"/>
        </w:rPr>
        <w:t>元，其中：公务用车维护费</w:t>
      </w:r>
      <w:r>
        <w:rPr>
          <w:rFonts w:hint="eastAsia" w:ascii="仿宋_GB2312" w:hAnsi="宋体" w:eastAsia="仿宋_GB2312"/>
          <w:sz w:val="32"/>
          <w:szCs w:val="32"/>
        </w:rPr>
        <w:t>与上年一致，</w:t>
      </w:r>
      <w:r>
        <w:rPr>
          <w:rFonts w:hint="eastAsia" w:ascii="仿宋_GB2312" w:hAnsi="宋体" w:eastAsia="仿宋_GB2312" w:cs="仿宋_GB2312"/>
          <w:sz w:val="32"/>
          <w:szCs w:val="32"/>
        </w:rPr>
        <w:t>公务接待费</w:t>
      </w:r>
      <w:r>
        <w:rPr>
          <w:rFonts w:hint="eastAsia" w:ascii="仿宋_GB2312" w:hAnsi="宋体" w:eastAsia="仿宋_GB2312"/>
          <w:sz w:val="32"/>
          <w:szCs w:val="32"/>
        </w:rPr>
        <w:t>少支出5000</w:t>
      </w:r>
      <w:r>
        <w:rPr>
          <w:rFonts w:hint="eastAsia" w:ascii="仿宋_GB2312" w:hAnsi="宋体" w:eastAsia="仿宋_GB2312" w:cs="仿宋_GB2312"/>
          <w:sz w:val="32"/>
          <w:szCs w:val="32"/>
        </w:rPr>
        <w:t>元；无公务用车购置费，无因公出国费用。主要原因为：</w:t>
      </w:r>
      <w:r>
        <w:rPr>
          <w:rFonts w:hint="eastAsia" w:ascii="仿宋_GB2312" w:hAnsi="宋体" w:eastAsia="仿宋_GB2312"/>
          <w:sz w:val="32"/>
          <w:szCs w:val="32"/>
        </w:rPr>
        <w:t>严格落实中央八项规定控制单位</w:t>
      </w:r>
      <w:r>
        <w:rPr>
          <w:rFonts w:hint="eastAsia" w:ascii="仿宋_GB2312" w:hAnsi="宋体" w:eastAsia="仿宋_GB2312" w:cs="仿宋_GB2312"/>
          <w:sz w:val="32"/>
          <w:szCs w:val="32"/>
        </w:rPr>
        <w:t>“三公”经费支出。</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2016年培训费元，主要是：本单位无培训费。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2016年本年收入</w:t>
      </w:r>
      <w:r>
        <w:rPr>
          <w:rFonts w:hint="eastAsia" w:ascii="仿宋_GB2312" w:hAnsi="宋体" w:eastAsia="仿宋_GB2312"/>
          <w:sz w:val="32"/>
          <w:szCs w:val="32"/>
        </w:rPr>
        <w:t>1,689,852.30</w:t>
      </w:r>
      <w:r>
        <w:rPr>
          <w:rFonts w:hint="eastAsia" w:ascii="仿宋_GB2312" w:hAnsi="宋体" w:eastAsia="仿宋_GB2312" w:cs="仿宋_GB2312"/>
          <w:sz w:val="32"/>
          <w:szCs w:val="32"/>
        </w:rPr>
        <w:t xml:space="preserve">元，比2015年减少1,246,872.88元，减少原因：财政补助项目资金减少。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2016年本年支出</w:t>
      </w:r>
      <w:r>
        <w:rPr>
          <w:rFonts w:hint="eastAsia" w:ascii="仿宋_GB2312" w:hAnsi="宋体" w:eastAsia="仿宋_GB2312"/>
          <w:sz w:val="32"/>
          <w:szCs w:val="32"/>
        </w:rPr>
        <w:t>1,689,852.30</w:t>
      </w:r>
      <w:r>
        <w:rPr>
          <w:rFonts w:hint="eastAsia" w:ascii="仿宋_GB2312" w:hAnsi="宋体" w:eastAsia="仿宋_GB2312" w:cs="仿宋_GB2312"/>
          <w:sz w:val="32"/>
          <w:szCs w:val="32"/>
        </w:rPr>
        <w:t>元，比2015年减少1,246,872.88元，增加原因：财政补助项目资金减少。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2016年财政拨款支出1,689,852.30元，年初预算数1,606,049.80元，差异原因为2016年提高干部职工工资标准，年初未</w:t>
      </w:r>
      <w:r>
        <w:rPr>
          <w:rFonts w:hint="eastAsia" w:ascii="仿宋_GB2312" w:hAnsi="宋体" w:eastAsia="仿宋_GB2312" w:cs="仿宋_GB2312"/>
          <w:sz w:val="32"/>
          <w:szCs w:val="32"/>
          <w:lang w:eastAsia="zh-CN"/>
        </w:rPr>
        <w:t>安</w:t>
      </w:r>
      <w:bookmarkStart w:id="1" w:name="_GoBack"/>
      <w:bookmarkEnd w:id="1"/>
      <w:r>
        <w:rPr>
          <w:rFonts w:hint="eastAsia" w:ascii="仿宋_GB2312" w:hAnsi="宋体" w:eastAsia="仿宋_GB2312" w:cs="仿宋_GB2312"/>
          <w:sz w:val="32"/>
          <w:szCs w:val="32"/>
        </w:rPr>
        <w:t>排预算。</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七、决算公开其他重要事项情况说明</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（一）机关运行经费支出情况</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2016年叶城县档案局机关运行经费支出43，000元，与2015年相比无增减变化，增减变化原因主要是严格控制各类经费支出。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（二）政府采购支出情况</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2016年，叶城县档案局政府采购支出总额0元，其中政府采购货物支出0元，政府采购工程支出0元，政府采购服务支出0元。喀什地区为偏远地区，参与招投标的供应商基本为中小微企业。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（三）国有资产占用情况</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截止2016年12月31日，本单位共有车辆0辆，其中一般公务用车0辆，一般工作用车0辆，专业用车0辆，其他车辆0辆，无其他用车，单位价值在50万元以上的设备0台（套），价值0元。</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（四）民生项目、重点支出项目绩效评价结果</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2016年，叶城县档案局共组织对 2 个项目进行了预算绩效评价，涉及一般公共预算当年财政拨款270,000.00元。绩效评价结果：年鉴出版费及书籍出版补助项目的实施使党史书籍编撰、出版工作及时保质保量完成。通过推行预算绩效管理工作，使部门服务水平和质量不断得以改进提升，真正做到花尽量少的资金、办尽量多的事，政府行为更加务实、高效了。</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（五）事业收入明细、经营收入明细</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按收入项目分别列示：本单位是行政单位，无事业收入和经营收入。</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八、专业名词解释</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（一）财政拨款收入：指单位本年度从本级财政部门取得得财政拨款。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（二）事业收入：指事业单位开展专业业务活动及辅助活动所取得的收入。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（三）经营收入：指事业单位在专业业务活动及其辅助活动之外开展非独立核算经营活动取得的收入。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（四）其他收入：指除上述“财政拨款收入”、“事业收入”、“经营收入”等以外的收入。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（六）年初结转和结余：指以前年度尚未完成、结转到本年按有关规定继续使用的资金。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（七）结余分配：指事业单位按规定提取的职工福利基</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金、事业基金和缴纳的所得税，以及建设单位按规定应交回的基本建设竣工项目结余资金。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（八）年末结转和结余：指本年度或以前年度预算安排、</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因客观条件发生变化无法按原计划实施，需要延迟到以后年度按有关规定继续使用的资金。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（九）基本支出：指为保障机构正常运转、完成日常工作任务而发生的人员支出和公用支出。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（十）项目支出：指在基本支出之外为完成特定行政任务和事业发展目标所发生的支出。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（十一）经营支出：指事业单位在专业业务活动及其辅助活动之外开展非独立核算经营活动发生的支出。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napToGrid w:val="0"/>
        <w:spacing w:line="560" w:lineRule="exact"/>
        <w:ind w:firstLine="640" w:firstLineChars="200"/>
        <w:rPr>
          <w:rFonts w:ascii="仿宋_GB2312" w:hAnsi="宋体" w:eastAsia="仿宋_GB2312" w:cs="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26768"/>
    <w:rsid w:val="00034248"/>
    <w:rsid w:val="00052FE0"/>
    <w:rsid w:val="00054384"/>
    <w:rsid w:val="000703F5"/>
    <w:rsid w:val="00070B61"/>
    <w:rsid w:val="000775E8"/>
    <w:rsid w:val="00086A97"/>
    <w:rsid w:val="00091F7F"/>
    <w:rsid w:val="00094D69"/>
    <w:rsid w:val="000963CC"/>
    <w:rsid w:val="000A5DE3"/>
    <w:rsid w:val="000A65DB"/>
    <w:rsid w:val="000B1596"/>
    <w:rsid w:val="000B5213"/>
    <w:rsid w:val="000C392A"/>
    <w:rsid w:val="000C3B20"/>
    <w:rsid w:val="000E5B19"/>
    <w:rsid w:val="000E7FFD"/>
    <w:rsid w:val="0010183B"/>
    <w:rsid w:val="00140E78"/>
    <w:rsid w:val="00141B18"/>
    <w:rsid w:val="00142BCE"/>
    <w:rsid w:val="00147040"/>
    <w:rsid w:val="00151463"/>
    <w:rsid w:val="00153716"/>
    <w:rsid w:val="00170582"/>
    <w:rsid w:val="001870FE"/>
    <w:rsid w:val="001943AB"/>
    <w:rsid w:val="001D09C9"/>
    <w:rsid w:val="001E4658"/>
    <w:rsid w:val="001E7C6A"/>
    <w:rsid w:val="001F2B9D"/>
    <w:rsid w:val="001F33C0"/>
    <w:rsid w:val="001F6EF5"/>
    <w:rsid w:val="0020099B"/>
    <w:rsid w:val="00205C3B"/>
    <w:rsid w:val="00242FE4"/>
    <w:rsid w:val="00262C89"/>
    <w:rsid w:val="00265B72"/>
    <w:rsid w:val="002743C3"/>
    <w:rsid w:val="00287A2E"/>
    <w:rsid w:val="002B5B38"/>
    <w:rsid w:val="002C37F3"/>
    <w:rsid w:val="002C677C"/>
    <w:rsid w:val="002C740B"/>
    <w:rsid w:val="002D02F4"/>
    <w:rsid w:val="00303B2E"/>
    <w:rsid w:val="003158E9"/>
    <w:rsid w:val="003166A5"/>
    <w:rsid w:val="00333969"/>
    <w:rsid w:val="003472C5"/>
    <w:rsid w:val="00347942"/>
    <w:rsid w:val="00347996"/>
    <w:rsid w:val="00350B5B"/>
    <w:rsid w:val="003632BC"/>
    <w:rsid w:val="00374661"/>
    <w:rsid w:val="003935AD"/>
    <w:rsid w:val="003978C1"/>
    <w:rsid w:val="003B0831"/>
    <w:rsid w:val="003B594E"/>
    <w:rsid w:val="003C2E54"/>
    <w:rsid w:val="003D0C72"/>
    <w:rsid w:val="003E0D94"/>
    <w:rsid w:val="004011AD"/>
    <w:rsid w:val="0040177E"/>
    <w:rsid w:val="00406AB0"/>
    <w:rsid w:val="004145D5"/>
    <w:rsid w:val="00417715"/>
    <w:rsid w:val="00420614"/>
    <w:rsid w:val="0043072D"/>
    <w:rsid w:val="00434EEE"/>
    <w:rsid w:val="00445215"/>
    <w:rsid w:val="0045212A"/>
    <w:rsid w:val="00457BD9"/>
    <w:rsid w:val="004743B3"/>
    <w:rsid w:val="00486188"/>
    <w:rsid w:val="00487059"/>
    <w:rsid w:val="004A08C1"/>
    <w:rsid w:val="004A2774"/>
    <w:rsid w:val="004A28B1"/>
    <w:rsid w:val="004B6AAB"/>
    <w:rsid w:val="004B6F2E"/>
    <w:rsid w:val="004C0EA7"/>
    <w:rsid w:val="004D2787"/>
    <w:rsid w:val="004D48D7"/>
    <w:rsid w:val="004D65D7"/>
    <w:rsid w:val="004D6F93"/>
    <w:rsid w:val="004E4CDF"/>
    <w:rsid w:val="0050291C"/>
    <w:rsid w:val="0051133A"/>
    <w:rsid w:val="005267B9"/>
    <w:rsid w:val="005272D8"/>
    <w:rsid w:val="00532879"/>
    <w:rsid w:val="00550C1C"/>
    <w:rsid w:val="00552B99"/>
    <w:rsid w:val="00565025"/>
    <w:rsid w:val="005766BD"/>
    <w:rsid w:val="00592401"/>
    <w:rsid w:val="00595CD5"/>
    <w:rsid w:val="005A0EA5"/>
    <w:rsid w:val="005A2956"/>
    <w:rsid w:val="005B007A"/>
    <w:rsid w:val="005D008D"/>
    <w:rsid w:val="005D5345"/>
    <w:rsid w:val="005D6922"/>
    <w:rsid w:val="005E363A"/>
    <w:rsid w:val="005F7376"/>
    <w:rsid w:val="00642370"/>
    <w:rsid w:val="00642F1B"/>
    <w:rsid w:val="00647EAC"/>
    <w:rsid w:val="006537AC"/>
    <w:rsid w:val="00656858"/>
    <w:rsid w:val="00672B4C"/>
    <w:rsid w:val="00676049"/>
    <w:rsid w:val="006773BD"/>
    <w:rsid w:val="00687879"/>
    <w:rsid w:val="00693E56"/>
    <w:rsid w:val="00696752"/>
    <w:rsid w:val="006A1621"/>
    <w:rsid w:val="006A2219"/>
    <w:rsid w:val="006A56FC"/>
    <w:rsid w:val="006A7356"/>
    <w:rsid w:val="006D4B96"/>
    <w:rsid w:val="006E73E2"/>
    <w:rsid w:val="006F1159"/>
    <w:rsid w:val="006F13E9"/>
    <w:rsid w:val="006F3090"/>
    <w:rsid w:val="006F3AD3"/>
    <w:rsid w:val="006F7DAA"/>
    <w:rsid w:val="006F7FA8"/>
    <w:rsid w:val="00700977"/>
    <w:rsid w:val="00702D80"/>
    <w:rsid w:val="007226FB"/>
    <w:rsid w:val="00765DA5"/>
    <w:rsid w:val="00774810"/>
    <w:rsid w:val="0077727B"/>
    <w:rsid w:val="00782159"/>
    <w:rsid w:val="00793D15"/>
    <w:rsid w:val="007978CD"/>
    <w:rsid w:val="007A2BDC"/>
    <w:rsid w:val="007B7E7F"/>
    <w:rsid w:val="007D43AE"/>
    <w:rsid w:val="007D75E2"/>
    <w:rsid w:val="007F238C"/>
    <w:rsid w:val="008012F4"/>
    <w:rsid w:val="008104D1"/>
    <w:rsid w:val="00815033"/>
    <w:rsid w:val="00816AC8"/>
    <w:rsid w:val="00842279"/>
    <w:rsid w:val="00844D3A"/>
    <w:rsid w:val="00847706"/>
    <w:rsid w:val="00854186"/>
    <w:rsid w:val="008565E9"/>
    <w:rsid w:val="008664F8"/>
    <w:rsid w:val="00877032"/>
    <w:rsid w:val="00880D0D"/>
    <w:rsid w:val="008872A2"/>
    <w:rsid w:val="0089403C"/>
    <w:rsid w:val="00895A64"/>
    <w:rsid w:val="00895BE7"/>
    <w:rsid w:val="008A0DC9"/>
    <w:rsid w:val="008A5C2E"/>
    <w:rsid w:val="008B02AA"/>
    <w:rsid w:val="008C5ABD"/>
    <w:rsid w:val="008D28A9"/>
    <w:rsid w:val="008E185D"/>
    <w:rsid w:val="008E26A2"/>
    <w:rsid w:val="00904EB2"/>
    <w:rsid w:val="009078E5"/>
    <w:rsid w:val="00910498"/>
    <w:rsid w:val="00912ADD"/>
    <w:rsid w:val="00916C76"/>
    <w:rsid w:val="00921F8C"/>
    <w:rsid w:val="00954B4B"/>
    <w:rsid w:val="00986E5F"/>
    <w:rsid w:val="009971BB"/>
    <w:rsid w:val="009A7D21"/>
    <w:rsid w:val="009C453B"/>
    <w:rsid w:val="009C7BB3"/>
    <w:rsid w:val="009C7F6B"/>
    <w:rsid w:val="009F1B75"/>
    <w:rsid w:val="009F39C7"/>
    <w:rsid w:val="009F6D25"/>
    <w:rsid w:val="00A013AA"/>
    <w:rsid w:val="00A32422"/>
    <w:rsid w:val="00A3418E"/>
    <w:rsid w:val="00A407D1"/>
    <w:rsid w:val="00A63C42"/>
    <w:rsid w:val="00A65801"/>
    <w:rsid w:val="00A87B5D"/>
    <w:rsid w:val="00A97E66"/>
    <w:rsid w:val="00AA1759"/>
    <w:rsid w:val="00AA3003"/>
    <w:rsid w:val="00AB1D91"/>
    <w:rsid w:val="00AC139B"/>
    <w:rsid w:val="00AC4897"/>
    <w:rsid w:val="00AD7784"/>
    <w:rsid w:val="00B0409B"/>
    <w:rsid w:val="00B21656"/>
    <w:rsid w:val="00B24563"/>
    <w:rsid w:val="00B571BA"/>
    <w:rsid w:val="00B635BA"/>
    <w:rsid w:val="00B919A9"/>
    <w:rsid w:val="00B96213"/>
    <w:rsid w:val="00BA5A4A"/>
    <w:rsid w:val="00BB2497"/>
    <w:rsid w:val="00BB372B"/>
    <w:rsid w:val="00C15174"/>
    <w:rsid w:val="00C17D9A"/>
    <w:rsid w:val="00C260A5"/>
    <w:rsid w:val="00C337C1"/>
    <w:rsid w:val="00C4155A"/>
    <w:rsid w:val="00C45F21"/>
    <w:rsid w:val="00C519BC"/>
    <w:rsid w:val="00C55E43"/>
    <w:rsid w:val="00C605BD"/>
    <w:rsid w:val="00C6165F"/>
    <w:rsid w:val="00C61DC5"/>
    <w:rsid w:val="00C62423"/>
    <w:rsid w:val="00C709B8"/>
    <w:rsid w:val="00C955CC"/>
    <w:rsid w:val="00CA6F46"/>
    <w:rsid w:val="00CB3117"/>
    <w:rsid w:val="00CE1862"/>
    <w:rsid w:val="00CE37ED"/>
    <w:rsid w:val="00D13627"/>
    <w:rsid w:val="00D154B3"/>
    <w:rsid w:val="00D16906"/>
    <w:rsid w:val="00D3375C"/>
    <w:rsid w:val="00D36C62"/>
    <w:rsid w:val="00D4613F"/>
    <w:rsid w:val="00D5318C"/>
    <w:rsid w:val="00D554FC"/>
    <w:rsid w:val="00D81E3D"/>
    <w:rsid w:val="00D949F7"/>
    <w:rsid w:val="00DA057C"/>
    <w:rsid w:val="00DA16BE"/>
    <w:rsid w:val="00DB13AB"/>
    <w:rsid w:val="00DB2FC5"/>
    <w:rsid w:val="00DD361B"/>
    <w:rsid w:val="00DE344D"/>
    <w:rsid w:val="00DE619D"/>
    <w:rsid w:val="00DE766E"/>
    <w:rsid w:val="00E23C61"/>
    <w:rsid w:val="00E339F2"/>
    <w:rsid w:val="00E739A2"/>
    <w:rsid w:val="00E774D0"/>
    <w:rsid w:val="00E8388E"/>
    <w:rsid w:val="00E931F5"/>
    <w:rsid w:val="00EA5F52"/>
    <w:rsid w:val="00EB563F"/>
    <w:rsid w:val="00EB7DD0"/>
    <w:rsid w:val="00EC1979"/>
    <w:rsid w:val="00EC282F"/>
    <w:rsid w:val="00ED7C8E"/>
    <w:rsid w:val="00EE2E07"/>
    <w:rsid w:val="00EE3052"/>
    <w:rsid w:val="00EE66B1"/>
    <w:rsid w:val="00EE6932"/>
    <w:rsid w:val="00EF3B2C"/>
    <w:rsid w:val="00EF7B17"/>
    <w:rsid w:val="00F0364D"/>
    <w:rsid w:val="00F06CB4"/>
    <w:rsid w:val="00F16C5D"/>
    <w:rsid w:val="00F2402B"/>
    <w:rsid w:val="00F31AA2"/>
    <w:rsid w:val="00F453E0"/>
    <w:rsid w:val="00F60F91"/>
    <w:rsid w:val="00F627E2"/>
    <w:rsid w:val="00F646BA"/>
    <w:rsid w:val="00F81C9E"/>
    <w:rsid w:val="00F820FC"/>
    <w:rsid w:val="00FA08FE"/>
    <w:rsid w:val="00FB61FC"/>
    <w:rsid w:val="00FC1406"/>
    <w:rsid w:val="00FF5D03"/>
    <w:rsid w:val="55F41B0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467</Words>
  <Characters>2663</Characters>
  <Lines>22</Lines>
  <Paragraphs>6</Paragraphs>
  <TotalTime>146</TotalTime>
  <ScaleCrop>false</ScaleCrop>
  <LinksUpToDate>false</LinksUpToDate>
  <CharactersWithSpaces>3124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2016-08-03T02:49:00Z</cp:lastPrinted>
  <dcterms:modified xsi:type="dcterms:W3CDTF">2023-11-22T07:35:47Z</dcterms:modified>
  <dc:title>喀什地区部门决算和三公经费</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