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p>
    <w:p>
      <w:pPr>
        <w:spacing w:line="700" w:lineRule="exact"/>
        <w:jc w:val="left"/>
        <w:rPr>
          <w:rFonts w:hAnsi="宋体" w:eastAsia="仿宋_GB2312" w:cs="宋体"/>
          <w:kern w:val="0"/>
          <w:sz w:val="32"/>
          <w:szCs w:val="32"/>
        </w:rPr>
      </w:pPr>
      <w:r>
        <w:rPr>
          <w:rFonts w:hint="eastAsia" w:hAnsi="宋体" w:eastAsia="仿宋_GB2312" w:cs="宋体"/>
          <w:kern w:val="0"/>
          <w:sz w:val="32"/>
          <w:szCs w:val="32"/>
        </w:rPr>
        <w:t>项目名称：上海援建叶城县人民检察院基层基础建设项目</w:t>
      </w:r>
      <w:r>
        <w:rPr>
          <w:rFonts w:hAnsi="宋体" w:eastAsia="仿宋_GB2312" w:cs="宋体"/>
          <w:kern w:val="0"/>
          <w:sz w:val="32"/>
          <w:szCs w:val="32"/>
        </w:rPr>
        <w:t xml:space="preserve">     </w:t>
      </w:r>
    </w:p>
    <w:p>
      <w:pPr>
        <w:spacing w:line="700" w:lineRule="exact"/>
        <w:jc w:val="left"/>
        <w:rPr>
          <w:rFonts w:hAnsi="宋体" w:eastAsia="仿宋_GB2312" w:cs="宋体"/>
          <w:kern w:val="0"/>
          <w:sz w:val="32"/>
          <w:szCs w:val="32"/>
        </w:rPr>
      </w:pPr>
      <w:r>
        <w:rPr>
          <w:rFonts w:hint="eastAsia" w:hAnsi="宋体" w:eastAsia="仿宋_GB2312" w:cs="宋体"/>
          <w:kern w:val="0"/>
          <w:sz w:val="32"/>
          <w:szCs w:val="32"/>
        </w:rPr>
        <w:t>实施单位（公章）：叶城县人民检察院</w:t>
      </w:r>
    </w:p>
    <w:p>
      <w:pPr>
        <w:spacing w:line="700" w:lineRule="exact"/>
        <w:jc w:val="left"/>
        <w:rPr>
          <w:rFonts w:hAnsi="宋体" w:eastAsia="仿宋_GB2312" w:cs="宋体"/>
          <w:kern w:val="0"/>
          <w:sz w:val="32"/>
          <w:szCs w:val="32"/>
        </w:rPr>
      </w:pPr>
      <w:r>
        <w:rPr>
          <w:rFonts w:hint="eastAsia" w:hAnsi="宋体" w:eastAsia="仿宋_GB2312" w:cs="宋体"/>
          <w:kern w:val="0"/>
          <w:sz w:val="32"/>
          <w:szCs w:val="32"/>
        </w:rPr>
        <w:t>主管部门（公章）：叶城县人民检察院</w:t>
      </w:r>
    </w:p>
    <w:p>
      <w:pPr>
        <w:spacing w:line="700" w:lineRule="exact"/>
        <w:jc w:val="left"/>
        <w:rPr>
          <w:rFonts w:hAnsi="宋体" w:eastAsia="仿宋_GB2312" w:cs="宋体"/>
          <w:kern w:val="0"/>
          <w:sz w:val="32"/>
          <w:szCs w:val="32"/>
        </w:rPr>
      </w:pPr>
      <w:r>
        <w:rPr>
          <w:rFonts w:hint="eastAsia" w:hAnsi="宋体" w:eastAsia="仿宋_GB2312" w:cs="宋体"/>
          <w:kern w:val="0"/>
          <w:sz w:val="32"/>
          <w:szCs w:val="32"/>
        </w:rPr>
        <w:t>项目负责人（签章）：张辉</w:t>
      </w:r>
    </w:p>
    <w:p>
      <w:pPr>
        <w:spacing w:line="700" w:lineRule="exact"/>
        <w:jc w:val="left"/>
        <w:rPr>
          <w:rFonts w:hAnsi="宋体" w:eastAsia="仿宋_GB2312" w:cs="宋体"/>
          <w:kern w:val="0"/>
          <w:sz w:val="36"/>
          <w:szCs w:val="36"/>
        </w:rPr>
      </w:pPr>
      <w:r>
        <w:rPr>
          <w:rFonts w:hint="eastAsia" w:hAnsi="宋体" w:eastAsia="仿宋_GB2312" w:cs="宋体"/>
          <w:kern w:val="0"/>
          <w:sz w:val="32"/>
          <w:szCs w:val="32"/>
        </w:rPr>
        <w:t>填报时间：</w:t>
      </w:r>
      <w:r>
        <w:rPr>
          <w:rFonts w:hAnsi="宋体" w:cs="宋体"/>
          <w:kern w:val="0"/>
          <w:sz w:val="32"/>
          <w:szCs w:val="32"/>
        </w:rPr>
        <w:t>2018</w:t>
      </w:r>
      <w:r>
        <w:rPr>
          <w:rFonts w:hint="eastAsia" w:hAnsi="宋体" w:cs="宋体"/>
          <w:kern w:val="0"/>
          <w:sz w:val="32"/>
          <w:szCs w:val="32"/>
        </w:rPr>
        <w:t>年</w:t>
      </w:r>
      <w:r>
        <w:rPr>
          <w:rFonts w:hAnsi="宋体" w:cs="宋体"/>
          <w:kern w:val="0"/>
          <w:sz w:val="32"/>
          <w:szCs w:val="32"/>
        </w:rPr>
        <w:t xml:space="preserve"> 11 </w:t>
      </w:r>
      <w:r>
        <w:rPr>
          <w:rFonts w:hint="eastAsia" w:hAnsi="宋体" w:cs="宋体"/>
          <w:kern w:val="0"/>
          <w:sz w:val="32"/>
          <w:szCs w:val="32"/>
        </w:rPr>
        <w:t>月</w:t>
      </w:r>
      <w:r>
        <w:rPr>
          <w:rFonts w:hAnsi="宋体" w:cs="宋体"/>
          <w:kern w:val="0"/>
          <w:sz w:val="32"/>
          <w:szCs w:val="32"/>
        </w:rPr>
        <w:t xml:space="preserve"> 11 </w:t>
      </w:r>
      <w:r>
        <w:rPr>
          <w:rFonts w:hint="eastAsia" w:hAnsi="宋体" w:cs="宋体"/>
          <w:kern w:val="0"/>
          <w:sz w:val="32"/>
          <w:szCs w:val="32"/>
        </w:rPr>
        <w:t>日</w:t>
      </w:r>
    </w:p>
    <w:p>
      <w:pPr>
        <w:spacing w:line="540" w:lineRule="exact"/>
        <w:jc w:val="center"/>
        <w:rPr>
          <w:rFonts w:hAnsi="宋体" w:eastAsia="仿宋_GB2312" w:cs="宋体"/>
          <w:kern w:val="0"/>
          <w:sz w:val="30"/>
          <w:szCs w:val="30"/>
        </w:rPr>
      </w:pPr>
    </w:p>
    <w:p>
      <w:pPr>
        <w:spacing w:line="540" w:lineRule="exact"/>
        <w:rPr>
          <w:rFonts w:ascii="黑体" w:hAnsi="黑体" w:eastAsia="黑体"/>
          <w:spacing w:val="-4"/>
          <w:sz w:val="32"/>
          <w:szCs w:val="32"/>
        </w:rPr>
      </w:pPr>
    </w:p>
    <w:p>
      <w:pPr>
        <w:spacing w:line="360" w:lineRule="auto"/>
        <w:rPr>
          <w:rFonts w:ascii="黑体" w:hAnsi="黑体" w:eastAsia="黑体"/>
          <w:spacing w:val="-4"/>
          <w:sz w:val="32"/>
          <w:szCs w:val="32"/>
        </w:rPr>
      </w:pPr>
      <w:r>
        <w:rPr>
          <w:rFonts w:hint="eastAsia" w:ascii="黑体" w:hAnsi="黑体" w:eastAsia="黑体"/>
          <w:spacing w:val="-4"/>
          <w:sz w:val="32"/>
          <w:szCs w:val="32"/>
        </w:rPr>
        <w:t>一、项目概况</w:t>
      </w:r>
    </w:p>
    <w:p>
      <w:pPr>
        <w:spacing w:line="560" w:lineRule="exact"/>
        <w:rPr>
          <w:rFonts w:ascii="仿宋_GB2312" w:hAnsi="楷体" w:eastAsia="仿宋_GB2312"/>
          <w:b/>
          <w:bCs/>
          <w:spacing w:val="-4"/>
          <w:sz w:val="32"/>
          <w:szCs w:val="32"/>
        </w:rPr>
      </w:pPr>
      <w:r>
        <w:rPr>
          <w:rFonts w:hint="eastAsia" w:ascii="仿宋_GB2312" w:hAnsi="楷体" w:eastAsia="仿宋_GB2312"/>
          <w:b/>
          <w:bCs/>
          <w:spacing w:val="-4"/>
          <w:sz w:val="32"/>
          <w:szCs w:val="32"/>
        </w:rPr>
        <w:t>（一）项目单位基本情况</w:t>
      </w:r>
    </w:p>
    <w:p>
      <w:pPr>
        <w:spacing w:line="560" w:lineRule="exact"/>
        <w:ind w:firstLine="960" w:firstLineChars="300"/>
        <w:rPr>
          <w:rFonts w:ascii="仿宋_GB2312" w:hAnsi="宋体" w:eastAsia="仿宋_GB2312"/>
          <w:color w:val="000000"/>
          <w:sz w:val="32"/>
          <w:szCs w:val="32"/>
        </w:rPr>
      </w:pPr>
      <w:r>
        <w:rPr>
          <w:rFonts w:hint="eastAsia" w:ascii="仿宋_GB2312" w:hAnsi="宋体" w:eastAsia="仿宋_GB2312"/>
          <w:color w:val="000000"/>
          <w:sz w:val="32"/>
          <w:szCs w:val="32"/>
        </w:rPr>
        <w:t>主要职能：</w:t>
      </w:r>
      <w:r>
        <w:rPr>
          <w:rFonts w:hint="eastAsia" w:ascii="仿宋_GB2312" w:eastAsia="仿宋_GB2312" w:cs="仿宋_GB2312"/>
          <w:sz w:val="32"/>
          <w:szCs w:val="32"/>
        </w:rPr>
        <w:t>叶城县人民检察院属于国家行政机关，与政府和法院并称一府两院，均由和级人民代表大会产生，对其负责并报告工作。</w:t>
      </w:r>
      <w:r>
        <w:rPr>
          <w:rFonts w:hint="eastAsia" w:ascii="仿宋_GB2312" w:hAnsi="宋体" w:eastAsia="仿宋_GB2312"/>
          <w:color w:val="000000"/>
          <w:sz w:val="32"/>
          <w:szCs w:val="32"/>
        </w:rPr>
        <w:t>2018年度上海援建叶城县人民检察院基层基础建设项目支出95.98万元，根据现代检察业务工作需要, 打造数字化检委会系统及高清远程提讯系统。提高效率，更好</w:t>
      </w:r>
      <w:r>
        <w:rPr>
          <w:rFonts w:hint="eastAsia" w:ascii="仿宋_GB2312" w:hAnsi="宋体" w:eastAsia="仿宋_GB2312"/>
          <w:color w:val="000000"/>
          <w:sz w:val="32"/>
          <w:szCs w:val="32"/>
          <w:lang w:eastAsia="zh-CN"/>
        </w:rPr>
        <w:t>地</w:t>
      </w:r>
      <w:r>
        <w:rPr>
          <w:rFonts w:hint="eastAsia" w:ascii="仿宋_GB2312" w:hAnsi="宋体" w:eastAsia="仿宋_GB2312"/>
          <w:color w:val="000000"/>
          <w:sz w:val="32"/>
          <w:szCs w:val="32"/>
        </w:rPr>
        <w:t>为检察工作服务。</w:t>
      </w:r>
    </w:p>
    <w:p>
      <w:pPr>
        <w:spacing w:line="560" w:lineRule="exact"/>
        <w:ind w:firstLine="800" w:firstLineChars="250"/>
        <w:rPr>
          <w:rFonts w:ascii="仿宋_GB2312" w:hAnsi="宋体" w:eastAsia="仿宋_GB2312"/>
          <w:color w:val="000000"/>
          <w:sz w:val="32"/>
          <w:szCs w:val="32"/>
        </w:rPr>
      </w:pPr>
      <w:r>
        <w:rPr>
          <w:rFonts w:hint="eastAsia" w:ascii="仿宋_GB2312" w:hAnsi="宋体" w:eastAsia="仿宋_GB2312"/>
          <w:color w:val="000000"/>
          <w:sz w:val="32"/>
          <w:szCs w:val="32"/>
        </w:rPr>
        <w:t>人员编制情况：本院实有73人，在职人员56人，退休17人。</w:t>
      </w:r>
    </w:p>
    <w:p>
      <w:pPr>
        <w:spacing w:line="560" w:lineRule="exact"/>
        <w:rPr>
          <w:rFonts w:ascii="仿宋_GB2312" w:hAnsi="楷体" w:eastAsia="仿宋_GB2312"/>
          <w:b/>
          <w:bCs/>
          <w:spacing w:val="-4"/>
          <w:sz w:val="32"/>
          <w:szCs w:val="32"/>
        </w:rPr>
      </w:pPr>
      <w:r>
        <w:rPr>
          <w:rFonts w:hint="eastAsia" w:ascii="仿宋_GB2312" w:hAnsi="楷体" w:eastAsia="仿宋_GB2312"/>
          <w:b/>
          <w:bCs/>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pacing w:val="-4"/>
          <w:sz w:val="32"/>
          <w:szCs w:val="32"/>
        </w:rPr>
        <w:t>1、项目绩效目标和阶段性目标：</w:t>
      </w:r>
      <w:r>
        <w:rPr>
          <w:rFonts w:hint="eastAsia" w:ascii="仿宋_GB2312" w:hAnsi="仿宋_GB2312" w:eastAsia="仿宋_GB2312" w:cs="仿宋_GB2312"/>
          <w:sz w:val="32"/>
          <w:szCs w:val="32"/>
        </w:rPr>
        <w:t>严格执行《关</w:t>
      </w:r>
      <w:bookmarkStart w:id="0" w:name="_GoBack"/>
      <w:bookmarkEnd w:id="0"/>
      <w:r>
        <w:rPr>
          <w:rFonts w:hint="eastAsia" w:ascii="仿宋_GB2312" w:hAnsi="仿宋_GB2312" w:eastAsia="仿宋_GB2312" w:cs="仿宋_GB2312"/>
          <w:sz w:val="32"/>
          <w:szCs w:val="32"/>
        </w:rPr>
        <w:t>于下达2018年上海市对口支援喀什地区项目资金安排计划的通知》（沪指文〔2018〕23号）文件精神，确保项目如期完工，更好的服务检察工作开展。本项目包括数字化监委会系统67.66万元，远程提讯系统26.82万元，可研经费1.5万元。</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2、预期主要的社会和经济效益：</w:t>
      </w:r>
      <w:r>
        <w:rPr>
          <w:rFonts w:hint="eastAsia" w:ascii="仿宋_GB2312" w:hAnsi="宋体" w:eastAsia="仿宋_GB2312"/>
          <w:color w:val="000000"/>
          <w:sz w:val="32"/>
          <w:szCs w:val="32"/>
        </w:rPr>
        <w:t>上海援建叶城县人民检察院基层基础建设项目，打造数字化检委会系统及高清远程提讯系统。检委会决定在检察工作中贯彻执行国家法律、政策和本级人民代表大会及其常务委员会决议的重大问题；审议、通过提请本级人民代表大会及其常务委员会审议的工作报告、专题报告和议案</w:t>
      </w:r>
      <w:r>
        <w:rPr>
          <w:rFonts w:hint="eastAsia" w:ascii="仿宋_GB2312" w:hAnsi="仿宋_GB2312" w:eastAsia="仿宋_GB2312" w:cs="仿宋_GB2312"/>
          <w:spacing w:val="-4"/>
          <w:sz w:val="32"/>
          <w:szCs w:val="32"/>
        </w:rPr>
        <w:t>有效履行职责、维护国家安全和社会提供坚强可靠的物质保障。</w:t>
      </w:r>
      <w:r>
        <w:rPr>
          <w:rFonts w:hint="eastAsia" w:ascii="仿宋_GB2312" w:hAnsi="微软雅黑" w:eastAsia="仿宋_GB2312" w:cs="仿宋_GB2312"/>
          <w:color w:val="000000"/>
          <w:sz w:val="32"/>
          <w:szCs w:val="32"/>
        </w:rPr>
        <w:t>远程提讯系统的建设，规范了讯问业务流程，从提讯的预约、审批、提讯开启、电子笔录、证件证据展示、和步录音录像到最终的归档、历史记录查询，人员只需在本地提讯室，开启远程可视提讯，就能与身处看守所讯问室的犯罪嫌疑人进行“面对面”的讯问，大大节省时间和成本，提高工作效率。</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3、项目基本性质：检察院项目支出。</w:t>
      </w:r>
    </w:p>
    <w:p>
      <w:pPr>
        <w:adjustRightInd w:val="0"/>
        <w:snapToGrid w:val="0"/>
        <w:spacing w:line="560" w:lineRule="exact"/>
        <w:ind w:firstLine="624" w:firstLineChars="200"/>
        <w:rPr>
          <w:rFonts w:ascii="仿宋_GB2312" w:hAnsi="仿宋" w:eastAsia="仿宋_GB2312"/>
          <w:spacing w:val="-4"/>
          <w:sz w:val="32"/>
          <w:szCs w:val="32"/>
        </w:rPr>
      </w:pPr>
      <w:r>
        <w:rPr>
          <w:rFonts w:hint="eastAsia" w:ascii="仿宋_GB2312" w:hAnsi="仿宋_GB2312" w:eastAsia="仿宋_GB2312" w:cs="仿宋_GB2312"/>
          <w:spacing w:val="-4"/>
          <w:sz w:val="32"/>
          <w:szCs w:val="32"/>
        </w:rPr>
        <w:t>4、项目用途及范围：主要用于我院</w:t>
      </w:r>
      <w:r>
        <w:rPr>
          <w:rFonts w:hint="eastAsia" w:ascii="仿宋_GB2312" w:hAnsi="宋体" w:eastAsia="仿宋_GB2312"/>
          <w:color w:val="000000"/>
          <w:sz w:val="32"/>
          <w:szCs w:val="32"/>
        </w:rPr>
        <w:t>数字化检委会系统及高清远程提讯系统建设</w:t>
      </w:r>
      <w:r>
        <w:rPr>
          <w:rFonts w:hint="eastAsia" w:ascii="仿宋_GB2312" w:hAnsi="仿宋_GB2312" w:eastAsia="仿宋_GB2312" w:cs="仿宋_GB2312"/>
          <w:spacing w:val="-4"/>
          <w:sz w:val="32"/>
          <w:szCs w:val="32"/>
        </w:rPr>
        <w:t>。</w:t>
      </w:r>
    </w:p>
    <w:p>
      <w:pPr>
        <w:spacing w:line="560" w:lineRule="exact"/>
        <w:rPr>
          <w:rFonts w:ascii="黑体" w:hAnsi="黑体" w:eastAsia="黑体"/>
          <w:spacing w:val="-4"/>
          <w:sz w:val="32"/>
          <w:szCs w:val="32"/>
        </w:rPr>
      </w:pPr>
      <w:r>
        <w:rPr>
          <w:rFonts w:hint="eastAsia" w:ascii="黑体" w:hAnsi="黑体" w:eastAsia="黑体"/>
          <w:spacing w:val="-4"/>
          <w:sz w:val="32"/>
          <w:szCs w:val="32"/>
        </w:rPr>
        <w:t>二、项目资金使用及管理情况</w:t>
      </w:r>
    </w:p>
    <w:p>
      <w:pPr>
        <w:spacing w:line="560" w:lineRule="exact"/>
        <w:rPr>
          <w:rFonts w:ascii="仿宋_GB2312" w:hAnsi="楷体" w:eastAsia="仿宋_GB2312"/>
          <w:b/>
          <w:bCs/>
          <w:spacing w:val="-4"/>
          <w:sz w:val="32"/>
          <w:szCs w:val="32"/>
        </w:rPr>
      </w:pPr>
      <w:r>
        <w:rPr>
          <w:rFonts w:hint="eastAsia" w:ascii="仿宋_GB2312" w:hAnsi="楷体" w:eastAsia="仿宋_GB2312"/>
          <w:b/>
          <w:bCs/>
          <w:spacing w:val="-4"/>
          <w:sz w:val="32"/>
          <w:szCs w:val="32"/>
        </w:rPr>
        <w:t>（一）项目资金安排落实、总投入等情况分析</w:t>
      </w:r>
    </w:p>
    <w:p>
      <w:pPr>
        <w:spacing w:line="560" w:lineRule="exact"/>
        <w:ind w:firstLine="640" w:firstLineChars="200"/>
        <w:rPr>
          <w:rFonts w:ascii="仿宋_GB2312" w:hAnsi="仿宋" w:eastAsia="仿宋_GB2312"/>
          <w:spacing w:val="-4"/>
          <w:sz w:val="32"/>
          <w:szCs w:val="32"/>
        </w:rPr>
      </w:pPr>
      <w:r>
        <w:rPr>
          <w:rFonts w:hint="eastAsia" w:ascii="仿宋_GB2312" w:hAnsi="仿宋_GB2312" w:eastAsia="仿宋_GB2312" w:cs="仿宋_GB2312"/>
          <w:sz w:val="32"/>
          <w:szCs w:val="32"/>
        </w:rPr>
        <w:t>根据《关于下达2018年上海市对口支援喀什地区项目资金安排计划的通知》（沪指文〔2018〕23号）文件要求，</w:t>
      </w:r>
      <w:r>
        <w:rPr>
          <w:rFonts w:hint="eastAsia" w:ascii="仿宋_GB2312" w:hAnsi="仿宋_GB2312" w:eastAsia="仿宋_GB2312" w:cs="仿宋_GB2312"/>
          <w:color w:val="000000"/>
          <w:sz w:val="32"/>
          <w:szCs w:val="32"/>
        </w:rPr>
        <w:t>2018年</w:t>
      </w:r>
      <w:r>
        <w:rPr>
          <w:rFonts w:hint="eastAsia" w:ascii="仿宋_GB2312" w:hAnsi="宋体" w:eastAsia="仿宋_GB2312"/>
          <w:color w:val="000000"/>
          <w:sz w:val="32"/>
          <w:szCs w:val="32"/>
        </w:rPr>
        <w:t>项目资金，</w:t>
      </w:r>
      <w:r>
        <w:rPr>
          <w:rFonts w:hint="eastAsia" w:ascii="仿宋_GB2312" w:hAnsi="仿宋_GB2312" w:eastAsia="仿宋_GB2312" w:cs="仿宋_GB2312"/>
          <w:color w:val="000000"/>
          <w:sz w:val="32"/>
          <w:szCs w:val="32"/>
        </w:rPr>
        <w:t>经费</w:t>
      </w:r>
      <w:r>
        <w:rPr>
          <w:rFonts w:hint="eastAsia" w:ascii="仿宋_GB2312" w:hAnsi="仿宋_GB2312" w:eastAsia="仿宋_GB2312" w:cs="仿宋_GB2312"/>
          <w:bCs/>
          <w:color w:val="000000"/>
          <w:spacing w:val="-4"/>
          <w:sz w:val="32"/>
          <w:szCs w:val="32"/>
        </w:rPr>
        <w:t>预算安排总额为0万元，其中财政资金0万元，自筹资金0万元，上海援建资金</w:t>
      </w:r>
      <w:r>
        <w:rPr>
          <w:rFonts w:hint="eastAsia" w:ascii="仿宋_GB2312" w:hAnsi="宋体" w:eastAsia="仿宋_GB2312"/>
          <w:color w:val="000000"/>
          <w:sz w:val="32"/>
          <w:szCs w:val="32"/>
        </w:rPr>
        <w:t>95.98万元</w:t>
      </w:r>
      <w:r>
        <w:rPr>
          <w:rFonts w:hint="eastAsia" w:ascii="仿宋_GB2312" w:hAnsi="仿宋_GB2312" w:eastAsia="仿宋_GB2312" w:cs="仿宋_GB2312"/>
          <w:bCs/>
          <w:color w:val="000000"/>
          <w:spacing w:val="-4"/>
          <w:sz w:val="32"/>
          <w:szCs w:val="32"/>
        </w:rPr>
        <w:t>，2018年实际收到援疆资金</w:t>
      </w:r>
      <w:r>
        <w:rPr>
          <w:rFonts w:hint="eastAsia" w:ascii="仿宋_GB2312" w:hAnsi="宋体" w:eastAsia="仿宋_GB2312"/>
          <w:color w:val="000000"/>
          <w:sz w:val="32"/>
          <w:szCs w:val="32"/>
        </w:rPr>
        <w:t>95.98万元，资金到位率100%</w:t>
      </w:r>
      <w:r>
        <w:rPr>
          <w:rFonts w:hint="eastAsia" w:ascii="仿宋_GB2312" w:hAnsi="仿宋_GB2312" w:eastAsia="仿宋_GB2312" w:cs="仿宋_GB2312"/>
          <w:bCs/>
          <w:color w:val="000000"/>
          <w:spacing w:val="-4"/>
          <w:sz w:val="32"/>
          <w:szCs w:val="32"/>
        </w:rPr>
        <w:t>。</w:t>
      </w:r>
    </w:p>
    <w:p>
      <w:pPr>
        <w:spacing w:line="560" w:lineRule="exact"/>
        <w:rPr>
          <w:rFonts w:ascii="仿宋_GB2312" w:hAnsi="楷体" w:eastAsia="仿宋_GB2312"/>
          <w:b/>
          <w:bCs/>
          <w:spacing w:val="-4"/>
          <w:sz w:val="32"/>
          <w:szCs w:val="32"/>
        </w:rPr>
      </w:pPr>
      <w:r>
        <w:rPr>
          <w:rFonts w:hint="eastAsia" w:ascii="仿宋_GB2312" w:hAnsi="楷体" w:eastAsia="仿宋_GB2312"/>
          <w:b/>
          <w:bCs/>
          <w:spacing w:val="-4"/>
          <w:sz w:val="32"/>
          <w:szCs w:val="32"/>
        </w:rPr>
        <w:t>（二）项目资金实际使用情况分析</w:t>
      </w:r>
    </w:p>
    <w:p>
      <w:pPr>
        <w:adjustRightInd w:val="0"/>
        <w:snapToGrid w:val="0"/>
        <w:spacing w:line="560" w:lineRule="exact"/>
        <w:ind w:firstLine="640" w:firstLineChars="200"/>
        <w:rPr>
          <w:rFonts w:ascii="仿宋_GB2312" w:hAnsi="仿宋" w:eastAsia="仿宋_GB2312"/>
          <w:spacing w:val="-4"/>
          <w:sz w:val="32"/>
          <w:szCs w:val="32"/>
        </w:rPr>
      </w:pPr>
      <w:r>
        <w:rPr>
          <w:rFonts w:hint="eastAsia" w:ascii="仿宋_GB2312" w:hAnsi="仿宋_GB2312" w:eastAsia="仿宋_GB2312" w:cs="仿宋_GB2312"/>
          <w:sz w:val="32"/>
          <w:szCs w:val="32"/>
        </w:rPr>
        <w:t>根据《关于下达2018年上海市对口支援喀什地区项目资金安排计划的通知》（沪指文〔2018〕23号）文件下达关于上海援建叶城县人民检察院基层基础项目资金，</w:t>
      </w:r>
      <w:r>
        <w:rPr>
          <w:rFonts w:hint="eastAsia" w:ascii="仿宋_GB2312" w:hAnsi="仿宋_GB2312" w:eastAsia="仿宋_GB2312" w:cs="仿宋_GB2312"/>
          <w:bCs/>
          <w:color w:val="000000"/>
          <w:spacing w:val="-4"/>
          <w:sz w:val="32"/>
          <w:szCs w:val="32"/>
        </w:rPr>
        <w:t>本单位上海援疆资金支出实际支付资金</w:t>
      </w:r>
      <w:r>
        <w:rPr>
          <w:rFonts w:hint="eastAsia" w:ascii="仿宋_GB2312" w:hAnsi="宋体" w:eastAsia="仿宋_GB2312"/>
          <w:color w:val="000000"/>
          <w:sz w:val="32"/>
          <w:szCs w:val="32"/>
        </w:rPr>
        <w:t>95.98万</w:t>
      </w:r>
      <w:r>
        <w:rPr>
          <w:rFonts w:hint="eastAsia" w:ascii="仿宋_GB2312" w:hAnsi="仿宋_GB2312" w:eastAsia="仿宋_GB2312" w:cs="仿宋_GB2312"/>
          <w:bCs/>
          <w:color w:val="000000"/>
          <w:spacing w:val="-4"/>
          <w:sz w:val="32"/>
          <w:szCs w:val="32"/>
        </w:rPr>
        <w:t>元，基本支出预算执行率100%，主要用于</w:t>
      </w:r>
      <w:r>
        <w:rPr>
          <w:rFonts w:hint="eastAsia" w:ascii="仿宋_GB2312" w:hAnsi="仿宋_GB2312" w:eastAsia="仿宋_GB2312" w:cs="仿宋_GB2312"/>
          <w:spacing w:val="-4"/>
          <w:sz w:val="32"/>
          <w:szCs w:val="32"/>
        </w:rPr>
        <w:t>我院</w:t>
      </w:r>
      <w:r>
        <w:rPr>
          <w:rFonts w:hint="eastAsia" w:ascii="仿宋_GB2312" w:hAnsi="宋体" w:eastAsia="仿宋_GB2312"/>
          <w:color w:val="000000"/>
          <w:sz w:val="32"/>
          <w:szCs w:val="32"/>
        </w:rPr>
        <w:t>数字化检委会系统及高清远程提讯系统建设</w:t>
      </w:r>
      <w:r>
        <w:rPr>
          <w:rFonts w:hint="eastAsia" w:ascii="仿宋_GB2312" w:hAnsi="仿宋_GB2312" w:eastAsia="仿宋_GB2312" w:cs="仿宋_GB2312"/>
          <w:spacing w:val="-4"/>
          <w:sz w:val="32"/>
          <w:szCs w:val="32"/>
        </w:rPr>
        <w:t>。</w:t>
      </w:r>
    </w:p>
    <w:p>
      <w:pPr>
        <w:spacing w:line="560" w:lineRule="exact"/>
        <w:rPr>
          <w:rFonts w:ascii="仿宋_GB2312" w:hAnsi="楷体" w:eastAsia="仿宋_GB2312"/>
          <w:b/>
          <w:bCs/>
          <w:spacing w:val="-4"/>
          <w:sz w:val="32"/>
          <w:szCs w:val="32"/>
        </w:rPr>
      </w:pPr>
      <w:r>
        <w:rPr>
          <w:rFonts w:hint="eastAsia" w:ascii="仿宋_GB2312" w:hAnsi="楷体" w:eastAsia="仿宋_GB2312"/>
          <w:b/>
          <w:bCs/>
          <w:spacing w:val="-4"/>
          <w:sz w:val="32"/>
          <w:szCs w:val="32"/>
        </w:rPr>
        <w:t>（三）项目资金管理情况分析</w:t>
      </w:r>
    </w:p>
    <w:p>
      <w:pPr>
        <w:adjustRightInd w:val="0"/>
        <w:snapToGrid w:val="0"/>
        <w:spacing w:line="560" w:lineRule="exact"/>
        <w:ind w:firstLine="624" w:firstLineChars="200"/>
        <w:rPr>
          <w:rFonts w:ascii="仿宋_GB2312" w:hAnsi="仿宋" w:eastAsia="仿宋_GB2312"/>
          <w:spacing w:val="-4"/>
          <w:sz w:val="32"/>
          <w:szCs w:val="32"/>
        </w:rPr>
      </w:pPr>
      <w:r>
        <w:rPr>
          <w:rFonts w:hint="eastAsia" w:ascii="仿宋_GB2312" w:hAnsi="仿宋_GB2312" w:eastAsia="仿宋_GB2312" w:cs="仿宋_GB2312"/>
          <w:bCs/>
          <w:color w:val="000000"/>
          <w:spacing w:val="-4"/>
          <w:sz w:val="32"/>
          <w:szCs w:val="32"/>
        </w:rPr>
        <w:t>本项目严格按照政府采购制度和会计人员集中核算工作管理制度、财务收支审批制度、财务稽核制度、财务牵制制度、会计主管岗位职责等制度规定进行资金管理，项目资金管理办法符合国家财经法规和财务管理制度以及有关资金管理办法的规定；资金的拨付完全按照审批程序和手续进行支付；不否存在截留、挤占、挪用、虚列支出等情况。</w:t>
      </w:r>
    </w:p>
    <w:p>
      <w:pPr>
        <w:spacing w:line="560" w:lineRule="exact"/>
        <w:rPr>
          <w:rFonts w:ascii="黑体" w:hAnsi="黑体" w:eastAsia="黑体"/>
          <w:spacing w:val="-4"/>
          <w:sz w:val="32"/>
          <w:szCs w:val="32"/>
        </w:rPr>
      </w:pPr>
      <w:r>
        <w:rPr>
          <w:rFonts w:hint="eastAsia" w:ascii="黑体" w:hAnsi="黑体" w:eastAsia="黑体"/>
          <w:spacing w:val="-4"/>
          <w:sz w:val="32"/>
          <w:szCs w:val="32"/>
        </w:rPr>
        <w:t>三、项目组织实施情况</w:t>
      </w:r>
    </w:p>
    <w:p>
      <w:pPr>
        <w:spacing w:line="560" w:lineRule="exact"/>
        <w:rPr>
          <w:rFonts w:ascii="仿宋_GB2312" w:hAnsi="楷体" w:eastAsia="仿宋_GB2312"/>
          <w:b/>
          <w:bCs/>
          <w:spacing w:val="-4"/>
          <w:sz w:val="32"/>
          <w:szCs w:val="32"/>
        </w:rPr>
      </w:pPr>
      <w:r>
        <w:rPr>
          <w:rFonts w:hint="eastAsia" w:ascii="仿宋_GB2312" w:hAnsi="楷体" w:eastAsia="仿宋_GB2312"/>
          <w:b/>
          <w:bCs/>
          <w:spacing w:val="-4"/>
          <w:sz w:val="32"/>
          <w:szCs w:val="32"/>
        </w:rPr>
        <w:t>（一）项目组织情况分析</w:t>
      </w:r>
    </w:p>
    <w:p>
      <w:pPr>
        <w:adjustRightInd w:val="0"/>
        <w:snapToGrid w:val="0"/>
        <w:spacing w:line="560" w:lineRule="exact"/>
        <w:ind w:firstLine="936" w:firstLineChars="3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本项目在实施过程中严格执行政府集中采购制度，在施工中加强监督和管理，按照县援疆指挥部规定的时间按期完工，项目审计完成时向施工方支付建设款。</w:t>
      </w:r>
    </w:p>
    <w:p>
      <w:pPr>
        <w:adjustRightInd w:val="0"/>
        <w:snapToGrid w:val="0"/>
        <w:spacing w:line="560" w:lineRule="exact"/>
        <w:ind w:firstLine="936" w:firstLineChars="300"/>
        <w:rPr>
          <w:rFonts w:ascii="仿宋_GB2312" w:hAnsi="仿宋" w:eastAsia="仿宋_GB2312"/>
          <w:spacing w:val="-4"/>
          <w:sz w:val="32"/>
          <w:szCs w:val="32"/>
        </w:rPr>
      </w:pPr>
      <w:r>
        <w:rPr>
          <w:rFonts w:hint="eastAsia" w:ascii="仿宋_GB2312" w:hAnsi="仿宋_GB2312" w:eastAsia="仿宋_GB2312" w:cs="仿宋_GB2312"/>
          <w:color w:val="000000"/>
          <w:spacing w:val="-4"/>
          <w:sz w:val="32"/>
          <w:szCs w:val="32"/>
        </w:rPr>
        <w:t>不存在调整情况。</w:t>
      </w:r>
    </w:p>
    <w:p>
      <w:pPr>
        <w:spacing w:line="560" w:lineRule="exact"/>
        <w:rPr>
          <w:rFonts w:ascii="仿宋_GB2312" w:hAnsi="楷体" w:eastAsia="仿宋_GB2312"/>
          <w:b/>
          <w:bCs/>
          <w:spacing w:val="-4"/>
          <w:sz w:val="32"/>
          <w:szCs w:val="32"/>
        </w:rPr>
      </w:pPr>
      <w:r>
        <w:rPr>
          <w:rFonts w:hint="eastAsia" w:ascii="仿宋_GB2312" w:hAnsi="楷体" w:eastAsia="仿宋_GB2312"/>
          <w:b/>
          <w:bCs/>
          <w:spacing w:val="-4"/>
          <w:sz w:val="32"/>
          <w:szCs w:val="32"/>
        </w:rPr>
        <w:t>（二）项目管理情况分析</w:t>
      </w:r>
    </w:p>
    <w:p>
      <w:pPr>
        <w:adjustRightInd w:val="0"/>
        <w:snapToGrid w:val="0"/>
        <w:spacing w:line="560" w:lineRule="exact"/>
        <w:ind w:firstLine="936" w:firstLineChars="300"/>
        <w:rPr>
          <w:rFonts w:ascii="仿宋_GB2312" w:hAnsi="仿宋" w:eastAsia="仿宋_GB2312"/>
          <w:spacing w:val="-4"/>
          <w:sz w:val="32"/>
          <w:szCs w:val="32"/>
        </w:rPr>
      </w:pPr>
      <w:r>
        <w:rPr>
          <w:rFonts w:hint="eastAsia" w:ascii="仿宋_GB2312" w:hAnsi="仿宋_GB2312" w:eastAsia="仿宋_GB2312" w:cs="仿宋_GB2312"/>
          <w:bCs/>
          <w:color w:val="000000"/>
          <w:spacing w:val="-4"/>
          <w:sz w:val="32"/>
          <w:szCs w:val="32"/>
        </w:rPr>
        <w:t>项目实施过程中，项目的实施遵守相关法律法规和业务管理规定，项目资料齐全并及时归档。并不定期对项目进度情况进行督导检查，对检查过程中发现的问题及时督促整改，确保了项目按时保质完成。</w:t>
      </w:r>
    </w:p>
    <w:p>
      <w:pPr>
        <w:spacing w:line="560" w:lineRule="exact"/>
        <w:rPr>
          <w:rFonts w:ascii="黑体" w:hAnsi="黑体" w:eastAsia="黑体"/>
          <w:sz w:val="32"/>
          <w:szCs w:val="32"/>
        </w:rPr>
      </w:pPr>
      <w:r>
        <w:rPr>
          <w:rFonts w:hint="eastAsia" w:ascii="黑体" w:hAnsi="黑体" w:eastAsia="黑体"/>
          <w:spacing w:val="-4"/>
          <w:sz w:val="32"/>
          <w:szCs w:val="32"/>
        </w:rPr>
        <w:t>四、项目绩效情况</w:t>
      </w:r>
      <w:r>
        <w:rPr>
          <w:rFonts w:hint="eastAsia" w:ascii="黑体" w:hAnsi="黑体" w:eastAsia="黑体"/>
          <w:sz w:val="32"/>
          <w:szCs w:val="32"/>
        </w:rPr>
        <w:t xml:space="preserve"> </w:t>
      </w:r>
    </w:p>
    <w:p>
      <w:pPr>
        <w:spacing w:line="560" w:lineRule="exact"/>
        <w:rPr>
          <w:rFonts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widowControl/>
        <w:spacing w:line="560" w:lineRule="exact"/>
        <w:ind w:firstLine="936" w:firstLineChars="3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本项目共设置一级指标3个，二级指标7个，三级指标12个，其中已完成三级指标12个，指标完成率为100%，根据年初设定的绩效目标，此项目自评得分为92分。</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（1）项目完成数量</w:t>
      </w:r>
    </w:p>
    <w:p>
      <w:pPr>
        <w:spacing w:line="560" w:lineRule="exact"/>
        <w:ind w:firstLine="780" w:firstLineChars="25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数字化检委会系统67.66万元，远程提讯系统26.82万元，</w:t>
      </w:r>
      <w:r>
        <w:rPr>
          <w:rFonts w:hint="eastAsia" w:ascii="仿宋_GB2312" w:hAnsi="仿宋" w:eastAsia="仿宋_GB2312" w:cs="仿宋"/>
          <w:color w:val="000000"/>
          <w:spacing w:val="-4"/>
          <w:kern w:val="0"/>
          <w:sz w:val="32"/>
          <w:szCs w:val="32"/>
        </w:rPr>
        <w:t>可研经费1.5万元</w:t>
      </w:r>
      <w:r>
        <w:rPr>
          <w:rFonts w:hint="eastAsia" w:ascii="仿宋_GB2312" w:hAnsi="仿宋_GB2312" w:eastAsia="仿宋_GB2312" w:cs="仿宋_GB2312"/>
          <w:bCs/>
          <w:color w:val="000000"/>
          <w:spacing w:val="-4"/>
          <w:sz w:val="32"/>
          <w:szCs w:val="32"/>
        </w:rPr>
        <w:t>，</w:t>
      </w:r>
      <w:r>
        <w:rPr>
          <w:rFonts w:hint="eastAsia" w:ascii="仿宋_GB2312" w:hAnsi="仿宋" w:eastAsia="仿宋_GB2312" w:cs="仿宋"/>
          <w:color w:val="000000"/>
          <w:spacing w:val="-4"/>
          <w:kern w:val="0"/>
          <w:sz w:val="32"/>
          <w:szCs w:val="32"/>
        </w:rPr>
        <w:t>年度设定的预期目标全部完成,完成率为100%。</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（2）项目完成质量</w:t>
      </w:r>
    </w:p>
    <w:p>
      <w:pPr>
        <w:spacing w:line="560" w:lineRule="exact"/>
        <w:ind w:firstLine="624" w:firstLineChars="200"/>
        <w:rPr>
          <w:rFonts w:ascii="仿宋_GB2312" w:hAnsi="仿宋" w:eastAsia="仿宋_GB2312" w:cs="仿宋"/>
          <w:color w:val="000000"/>
          <w:spacing w:val="-4"/>
          <w:kern w:val="0"/>
          <w:sz w:val="32"/>
          <w:szCs w:val="32"/>
        </w:rPr>
      </w:pPr>
      <w:r>
        <w:rPr>
          <w:rFonts w:hint="eastAsia" w:ascii="仿宋_GB2312" w:hAnsi="仿宋" w:eastAsia="仿宋_GB2312" w:cs="仿宋"/>
          <w:color w:val="000000"/>
          <w:spacing w:val="-4"/>
          <w:kern w:val="0"/>
          <w:sz w:val="32"/>
          <w:szCs w:val="32"/>
        </w:rPr>
        <w:t>系统运行正常100%，远程提讯系统，缩短率100%。根据项目实施完成后的结果来看,我单位严格以高质量的项目完成情况来执行,收集和录入调查的数据资源真实有效的数据资源。</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（3）项目实施进度</w:t>
      </w:r>
    </w:p>
    <w:p>
      <w:pPr>
        <w:spacing w:line="560" w:lineRule="exact"/>
        <w:ind w:firstLine="936" w:firstLineChars="300"/>
        <w:rPr>
          <w:rFonts w:ascii="仿宋_GB2312" w:hAnsi="仿宋_GB2312" w:eastAsia="仿宋_GB2312" w:cs="仿宋_GB2312"/>
          <w:bCs/>
          <w:color w:val="000000"/>
          <w:spacing w:val="-4"/>
          <w:sz w:val="32"/>
          <w:szCs w:val="32"/>
        </w:rPr>
      </w:pPr>
      <w:r>
        <w:rPr>
          <w:rFonts w:hint="eastAsia" w:ascii="仿宋_GB2312" w:hAnsi="仿宋" w:eastAsia="仿宋_GB2312" w:cs="仿宋"/>
          <w:color w:val="000000"/>
          <w:spacing w:val="-4"/>
          <w:kern w:val="0"/>
          <w:sz w:val="32"/>
          <w:szCs w:val="32"/>
        </w:rPr>
        <w:t xml:space="preserve"> 项目完成及时率100%。根据年初单位制定的实施方案,严格把控资金与项目实施进度相统一的原则,项目完成进度良好,当年完成率为100%</w:t>
      </w:r>
      <w:r>
        <w:rPr>
          <w:rFonts w:hint="eastAsia" w:ascii="仿宋_GB2312" w:hAnsi="仿宋_GB2312" w:eastAsia="仿宋_GB2312" w:cs="仿宋_GB2312"/>
          <w:bCs/>
          <w:color w:val="000000"/>
          <w:spacing w:val="-4"/>
          <w:sz w:val="32"/>
          <w:szCs w:val="32"/>
        </w:rPr>
        <w:t>。</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（4）项目成本节约情况</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 xml:space="preserve">  数字化检委会系统67.66万元，远程提讯系统26.82万元，可研经费1.5万元.</w:t>
      </w:r>
    </w:p>
    <w:p>
      <w:pPr>
        <w:numPr>
          <w:ilvl w:val="0"/>
          <w:numId w:val="1"/>
        </w:numPr>
        <w:spacing w:line="560" w:lineRule="exact"/>
        <w:ind w:firstLine="780" w:firstLineChars="25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效益指标完成情况分析</w:t>
      </w:r>
    </w:p>
    <w:p>
      <w:pPr>
        <w:spacing w:line="560" w:lineRule="exac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 xml:space="preserve">      （1）项目实施的经济效益分析</w:t>
      </w:r>
    </w:p>
    <w:p>
      <w:pPr>
        <w:spacing w:line="560" w:lineRule="exac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 xml:space="preserve">      无</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（2）项目实施的社会效益分析</w:t>
      </w:r>
    </w:p>
    <w:p>
      <w:pPr>
        <w:spacing w:line="560" w:lineRule="exact"/>
        <w:ind w:firstLine="1248" w:firstLineChars="4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缩短时间，有效打击违法犯罪100%。</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（3）项目实施的生态效益分析</w:t>
      </w:r>
    </w:p>
    <w:p>
      <w:pPr>
        <w:spacing w:line="560" w:lineRule="exact"/>
        <w:ind w:firstLine="1248" w:firstLineChars="4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无</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（4）项目实施的可持续影响分析</w:t>
      </w:r>
    </w:p>
    <w:p>
      <w:pPr>
        <w:spacing w:line="560" w:lineRule="exac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 xml:space="preserve">     为我院今后工作开展提供有力保障100%。</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3.满意度指标完成情况分析</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按计划完成项目实施，已做满意度调查问卷，服务对象满意率达100%，服务对象满意度指标完成。</w:t>
      </w:r>
    </w:p>
    <w:p>
      <w:pPr>
        <w:spacing w:line="560" w:lineRule="exact"/>
        <w:rPr>
          <w:rFonts w:ascii="仿宋_GB2312" w:hAnsi="楷体" w:eastAsia="仿宋_GB2312"/>
          <w:b/>
          <w:color w:val="000000"/>
          <w:spacing w:val="-4"/>
          <w:sz w:val="32"/>
          <w:szCs w:val="32"/>
        </w:rPr>
      </w:pPr>
      <w:r>
        <w:rPr>
          <w:rFonts w:hint="eastAsia" w:ascii="仿宋_GB2312" w:hAnsi="楷体" w:eastAsia="仿宋_GB2312"/>
          <w:b/>
          <w:color w:val="000000"/>
          <w:spacing w:val="-4"/>
          <w:sz w:val="32"/>
          <w:szCs w:val="32"/>
        </w:rPr>
        <w:t>（二）项目绩效目标未完成原因分析</w:t>
      </w:r>
    </w:p>
    <w:p>
      <w:pPr>
        <w:widowControl/>
        <w:spacing w:line="560" w:lineRule="exact"/>
        <w:ind w:firstLine="936" w:firstLineChars="3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2018年本项目绩效目标全部达成，不存在未完成原因分析。</w:t>
      </w:r>
    </w:p>
    <w:p>
      <w:pPr>
        <w:spacing w:line="560" w:lineRule="exact"/>
        <w:rPr>
          <w:rFonts w:ascii="黑体" w:hAnsi="黑体" w:eastAsia="黑体"/>
          <w:spacing w:val="-4"/>
          <w:sz w:val="32"/>
          <w:szCs w:val="32"/>
        </w:rPr>
      </w:pPr>
      <w:r>
        <w:rPr>
          <w:rFonts w:hint="eastAsia" w:ascii="黑体" w:hAnsi="黑体" w:eastAsia="黑体"/>
          <w:spacing w:val="-4"/>
          <w:sz w:val="32"/>
          <w:szCs w:val="32"/>
        </w:rPr>
        <w:t>五、其他需要说明的问题</w:t>
      </w:r>
    </w:p>
    <w:p>
      <w:pPr>
        <w:spacing w:line="560" w:lineRule="exact"/>
        <w:rPr>
          <w:rFonts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spacing w:line="560" w:lineRule="exact"/>
        <w:ind w:firstLine="960" w:firstLineChars="300"/>
        <w:rPr>
          <w:rFonts w:ascii="仿宋_GB2312" w:hAnsi="微软雅黑" w:eastAsia="仿宋_GB2312" w:cs="仿宋_GB2312"/>
          <w:color w:val="000000"/>
          <w:sz w:val="32"/>
          <w:szCs w:val="32"/>
        </w:rPr>
      </w:pPr>
      <w:r>
        <w:rPr>
          <w:rFonts w:hint="eastAsia" w:ascii="仿宋_GB2312" w:hAnsi="微软雅黑" w:eastAsia="仿宋_GB2312" w:cs="仿宋_GB2312"/>
          <w:color w:val="000000"/>
          <w:sz w:val="32"/>
          <w:szCs w:val="32"/>
        </w:rPr>
        <w:t>根据检察业务工作需要, 数字化检委会系统及高清远程提讯系统的建设。规范了检委会工作流程，安全保密性强，系统性高，并运用软件和硬件相结合的和步技术，圆满地解决了数据和步问题。使我院科技信息化水平迈上新台阶。远程提讯系统的建设，规范了讯问业务流程，从提讯的预约、审批、提讯开启、电子笔录、证件证据展示、和步录音录像到最终的归档、历史记录查询，人员只需在本地提讯室，开启远程可视提讯，就能与身处看守所讯问室的犯罪嫌疑人进行“面对面”的讯问，大大节省时间和成本，提高工作效率。今后将加大对系统的定时维护，使之继续为检察工作开展提供有力保障。</w:t>
      </w:r>
    </w:p>
    <w:p>
      <w:pPr>
        <w:spacing w:line="560" w:lineRule="exact"/>
        <w:rPr>
          <w:rFonts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adjustRightInd w:val="0"/>
        <w:snapToGrid w:val="0"/>
        <w:spacing w:line="560" w:lineRule="exact"/>
        <w:ind w:firstLine="936" w:firstLineChars="300"/>
        <w:rPr>
          <w:rFonts w:ascii="仿宋_GB2312" w:eastAsia="仿宋_GB2312"/>
          <w:spacing w:val="-4"/>
          <w:sz w:val="32"/>
          <w:szCs w:val="32"/>
        </w:rPr>
      </w:pPr>
      <w:r>
        <w:rPr>
          <w:rFonts w:hint="eastAsia" w:ascii="仿宋_GB2312" w:hAnsi="仿宋_GB2312" w:eastAsia="仿宋_GB2312" w:cs="仿宋_GB2312"/>
          <w:bCs/>
          <w:spacing w:val="-4"/>
          <w:sz w:val="32"/>
          <w:szCs w:val="32"/>
        </w:rPr>
        <w:t>严格按照</w:t>
      </w:r>
      <w:r>
        <w:rPr>
          <w:rFonts w:hint="eastAsia" w:ascii="仿宋_GB2312" w:hAnsi="仿宋_GB2312" w:eastAsia="仿宋_GB2312" w:cs="仿宋_GB2312"/>
          <w:bCs/>
          <w:color w:val="000000"/>
          <w:spacing w:val="-4"/>
          <w:sz w:val="32"/>
          <w:szCs w:val="32"/>
        </w:rPr>
        <w:t>会计人员集中核算工作管理制度、财务收支审批制度、财务稽核制度、财务牵制制度、会计主管岗位职责等制度规定进行资金管理，确保检察工作顺利进行，提高质量，提高司法公信力，使人民群众更加满意</w:t>
      </w:r>
    </w:p>
    <w:p>
      <w:pPr>
        <w:spacing w:line="560" w:lineRule="exact"/>
        <w:rPr>
          <w:rFonts w:ascii="仿宋_GB2312" w:hAnsi="楷体" w:eastAsia="仿宋_GB2312"/>
          <w:b/>
          <w:spacing w:val="-4"/>
          <w:sz w:val="32"/>
          <w:szCs w:val="32"/>
        </w:rPr>
      </w:pPr>
      <w:r>
        <w:rPr>
          <w:rFonts w:hint="eastAsia" w:ascii="仿宋_GB2312" w:hAnsi="楷体" w:eastAsia="仿宋_GB2312"/>
          <w:b/>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无</w:t>
      </w:r>
    </w:p>
    <w:p>
      <w:pPr>
        <w:spacing w:line="560" w:lineRule="exact"/>
        <w:rPr>
          <w:rFonts w:ascii="黑体" w:hAnsi="黑体" w:eastAsia="黑体"/>
          <w:spacing w:val="-4"/>
          <w:sz w:val="32"/>
          <w:szCs w:val="32"/>
        </w:rPr>
      </w:pPr>
      <w:r>
        <w:rPr>
          <w:rFonts w:hint="eastAsia" w:ascii="黑体" w:hAnsi="黑体" w:eastAsia="黑体"/>
          <w:spacing w:val="-4"/>
          <w:sz w:val="32"/>
          <w:szCs w:val="32"/>
        </w:rPr>
        <w:t>六、项目评价工作情况</w:t>
      </w:r>
    </w:p>
    <w:p>
      <w:pPr>
        <w:spacing w:line="560" w:lineRule="exact"/>
        <w:ind w:firstLine="624" w:firstLineChars="200"/>
        <w:rPr>
          <w:rFonts w:ascii="仿宋_GB2312" w:eastAsia="仿宋_GB2312"/>
          <w:spacing w:val="-4"/>
          <w:sz w:val="32"/>
          <w:szCs w:val="32"/>
        </w:rPr>
      </w:pPr>
      <w:r>
        <w:rPr>
          <w:rFonts w:hint="eastAsia" w:ascii="仿宋_GB2312" w:hAnsi="仿宋_GB2312" w:eastAsia="仿宋_GB2312" w:cs="仿宋_GB2312"/>
          <w:spacing w:val="-4"/>
          <w:sz w:val="32"/>
          <w:szCs w:val="32"/>
        </w:rPr>
        <w:t>本次评价通过文件研读、数据分析等方式，全面了解2018年</w:t>
      </w:r>
      <w:r>
        <w:rPr>
          <w:rFonts w:hint="eastAsia" w:ascii="仿宋_GB2312" w:hAnsi="宋体" w:eastAsia="仿宋_GB2312"/>
          <w:color w:val="000000"/>
          <w:sz w:val="32"/>
          <w:szCs w:val="32"/>
        </w:rPr>
        <w:t>上海援建叶城县人民检察院基层基础建设</w:t>
      </w:r>
      <w:r>
        <w:rPr>
          <w:rFonts w:hint="eastAsia" w:ascii="仿宋_GB2312" w:hAnsi="仿宋_GB2312" w:eastAsia="仿宋_GB2312" w:cs="仿宋_GB2312"/>
          <w:spacing w:val="-4"/>
          <w:sz w:val="32"/>
          <w:szCs w:val="32"/>
        </w:rPr>
        <w:t>项目资金的使用效率和效果，项目管理过程严格规范，完成了预期绩效目标等。和时，通过开展自我评价来总结经验和教训，为今后的项目开展提供参考建议。</w:t>
      </w:r>
    </w:p>
    <w:p>
      <w:pPr>
        <w:spacing w:line="560" w:lineRule="exact"/>
        <w:rPr>
          <w:rFonts w:ascii="黑体" w:hAnsi="黑体" w:eastAsia="黑体"/>
          <w:spacing w:val="-4"/>
          <w:sz w:val="32"/>
          <w:szCs w:val="32"/>
        </w:rPr>
      </w:pPr>
      <w:r>
        <w:rPr>
          <w:rFonts w:hint="eastAsia" w:ascii="黑体" w:hAnsi="黑体" w:eastAsia="黑体"/>
          <w:spacing w:val="-4"/>
          <w:sz w:val="32"/>
          <w:szCs w:val="32"/>
        </w:rPr>
        <w:t>七、附表</w:t>
      </w:r>
    </w:p>
    <w:p>
      <w:pPr>
        <w:spacing w:line="560" w:lineRule="exact"/>
        <w:ind w:firstLine="567"/>
        <w:rPr>
          <w:rFonts w:ascii="仿宋_GB2312" w:hAnsi="仿宋" w:eastAsia="仿宋_GB2312"/>
          <w:spacing w:val="-4"/>
          <w:sz w:val="32"/>
          <w:szCs w:val="32"/>
        </w:rPr>
      </w:pPr>
      <w:r>
        <w:rPr>
          <w:rFonts w:hint="eastAsia" w:ascii="仿宋_GB2312" w:hAnsi="仿宋" w:eastAsia="仿宋_GB2312"/>
          <w:spacing w:val="-4"/>
          <w:sz w:val="32"/>
          <w:szCs w:val="32"/>
        </w:rPr>
        <w:t>《项目支出绩效目标自评表》</w:t>
      </w:r>
    </w:p>
    <w:p>
      <w:pPr>
        <w:spacing w:line="540" w:lineRule="exact"/>
        <w:ind w:firstLine="567"/>
        <w:rPr>
          <w:rFonts w:ascii="仿宋" w:hAnsi="仿宋" w:eastAsia="仿宋"/>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PAGE   \* MERGEFORMAT</w:instrText>
    </w:r>
    <w:r>
      <w:fldChar w:fldCharType="separate"/>
    </w:r>
    <w:r>
      <w:rPr>
        <w:lang w:val="zh-CN"/>
      </w:rPr>
      <w:t>1</w:t>
    </w:r>
    <w:r>
      <w:rPr>
        <w:lang w:val="zh-CN"/>
      </w:rP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6B1C0"/>
    <w:multiLevelType w:val="singleLevel"/>
    <w:tmpl w:val="5DB6B1C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B4200"/>
    <w:rsid w:val="00121AE4"/>
    <w:rsid w:val="001271B3"/>
    <w:rsid w:val="0013210B"/>
    <w:rsid w:val="00146AAD"/>
    <w:rsid w:val="00147712"/>
    <w:rsid w:val="00183F62"/>
    <w:rsid w:val="0019101D"/>
    <w:rsid w:val="001979AA"/>
    <w:rsid w:val="001B3A40"/>
    <w:rsid w:val="001E1004"/>
    <w:rsid w:val="002412D3"/>
    <w:rsid w:val="00273C10"/>
    <w:rsid w:val="003328FB"/>
    <w:rsid w:val="0036360B"/>
    <w:rsid w:val="00381073"/>
    <w:rsid w:val="003825C5"/>
    <w:rsid w:val="004366A8"/>
    <w:rsid w:val="00477893"/>
    <w:rsid w:val="00497DD2"/>
    <w:rsid w:val="004C601F"/>
    <w:rsid w:val="004D0319"/>
    <w:rsid w:val="00501771"/>
    <w:rsid w:val="00502BA7"/>
    <w:rsid w:val="005162F1"/>
    <w:rsid w:val="00535153"/>
    <w:rsid w:val="00554F82"/>
    <w:rsid w:val="0056390D"/>
    <w:rsid w:val="005719B0"/>
    <w:rsid w:val="005D10D6"/>
    <w:rsid w:val="005F592C"/>
    <w:rsid w:val="006C2C7F"/>
    <w:rsid w:val="006C568F"/>
    <w:rsid w:val="00735D8A"/>
    <w:rsid w:val="007A0D55"/>
    <w:rsid w:val="008258E3"/>
    <w:rsid w:val="00855B6C"/>
    <w:rsid w:val="00855E3A"/>
    <w:rsid w:val="00872CBC"/>
    <w:rsid w:val="00922CB9"/>
    <w:rsid w:val="009B45BA"/>
    <w:rsid w:val="009E090C"/>
    <w:rsid w:val="009E5CD9"/>
    <w:rsid w:val="009F2BE9"/>
    <w:rsid w:val="00A26421"/>
    <w:rsid w:val="00A4293B"/>
    <w:rsid w:val="00A62B71"/>
    <w:rsid w:val="00A67D50"/>
    <w:rsid w:val="00A8691A"/>
    <w:rsid w:val="00AB0575"/>
    <w:rsid w:val="00AC1946"/>
    <w:rsid w:val="00B40063"/>
    <w:rsid w:val="00B41F61"/>
    <w:rsid w:val="00BA46E6"/>
    <w:rsid w:val="00BB3F3A"/>
    <w:rsid w:val="00C56C72"/>
    <w:rsid w:val="00C8258D"/>
    <w:rsid w:val="00C87E89"/>
    <w:rsid w:val="00CA6457"/>
    <w:rsid w:val="00D020E3"/>
    <w:rsid w:val="00D17F2E"/>
    <w:rsid w:val="00D30354"/>
    <w:rsid w:val="00D3541F"/>
    <w:rsid w:val="00DF0089"/>
    <w:rsid w:val="00DF42A0"/>
    <w:rsid w:val="00E31037"/>
    <w:rsid w:val="00E769FE"/>
    <w:rsid w:val="00E81B8C"/>
    <w:rsid w:val="00EA15E0"/>
    <w:rsid w:val="00EA2CBE"/>
    <w:rsid w:val="00F32FEE"/>
    <w:rsid w:val="00F852E7"/>
    <w:rsid w:val="00F85747"/>
    <w:rsid w:val="00FB10BB"/>
    <w:rsid w:val="04C91681"/>
    <w:rsid w:val="0FA73D89"/>
    <w:rsid w:val="11407E82"/>
    <w:rsid w:val="114252EB"/>
    <w:rsid w:val="116B135D"/>
    <w:rsid w:val="13F87AD0"/>
    <w:rsid w:val="1966324C"/>
    <w:rsid w:val="1A5F2FE4"/>
    <w:rsid w:val="1D866F5F"/>
    <w:rsid w:val="1E751E9A"/>
    <w:rsid w:val="1F306A3C"/>
    <w:rsid w:val="1FA372CD"/>
    <w:rsid w:val="200512FB"/>
    <w:rsid w:val="22D67E14"/>
    <w:rsid w:val="26E66236"/>
    <w:rsid w:val="27944427"/>
    <w:rsid w:val="2CAD2687"/>
    <w:rsid w:val="2D39433D"/>
    <w:rsid w:val="2EFA64FA"/>
    <w:rsid w:val="2F160F77"/>
    <w:rsid w:val="335B45D1"/>
    <w:rsid w:val="36A74C84"/>
    <w:rsid w:val="385767F0"/>
    <w:rsid w:val="3C611A6A"/>
    <w:rsid w:val="3D734746"/>
    <w:rsid w:val="3EE9318F"/>
    <w:rsid w:val="3FA11EA9"/>
    <w:rsid w:val="3FC35AAE"/>
    <w:rsid w:val="43F6751F"/>
    <w:rsid w:val="47B86663"/>
    <w:rsid w:val="4BA51328"/>
    <w:rsid w:val="4D900971"/>
    <w:rsid w:val="50643177"/>
    <w:rsid w:val="550E08DD"/>
    <w:rsid w:val="5C2931F8"/>
    <w:rsid w:val="5E28514A"/>
    <w:rsid w:val="60C36CC2"/>
    <w:rsid w:val="60C86F8D"/>
    <w:rsid w:val="66A16274"/>
    <w:rsid w:val="6D520805"/>
    <w:rsid w:val="6E4B1A17"/>
    <w:rsid w:val="75296C3E"/>
    <w:rsid w:val="76D838C7"/>
    <w:rsid w:val="7B127FAA"/>
    <w:rsid w:val="7CB52634"/>
    <w:rsid w:val="7EE030E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name="header" w:locked="1"/>
    <w:lsdException w:qFormat="1" w:unhideWhenUsed="0" w:uiPriority="99"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16"/>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17"/>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18"/>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19"/>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0"/>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1"/>
    <w:qFormat/>
    <w:uiPriority w:val="99"/>
    <w:pPr>
      <w:widowControl/>
      <w:spacing w:before="240" w:after="60"/>
      <w:jc w:val="left"/>
      <w:outlineLvl w:val="6"/>
    </w:pPr>
    <w:rPr>
      <w:rFonts w:ascii="Calibri" w:hAnsi="Calibri"/>
      <w:kern w:val="0"/>
      <w:sz w:val="24"/>
    </w:rPr>
  </w:style>
  <w:style w:type="paragraph" w:styleId="9">
    <w:name w:val="heading 8"/>
    <w:basedOn w:val="1"/>
    <w:next w:val="1"/>
    <w:link w:val="22"/>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3"/>
    <w:qFormat/>
    <w:uiPriority w:val="99"/>
    <w:pPr>
      <w:widowControl/>
      <w:spacing w:before="240" w:after="60"/>
      <w:jc w:val="left"/>
      <w:outlineLvl w:val="8"/>
    </w:pPr>
    <w:rPr>
      <w:rFonts w:ascii="Cambria" w:hAnsi="Cambria"/>
      <w:kern w:val="0"/>
      <w:sz w:val="22"/>
      <w:szCs w:val="22"/>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24"/>
    <w:semiHidden/>
    <w:qFormat/>
    <w:locked/>
    <w:uiPriority w:val="99"/>
    <w:pPr>
      <w:tabs>
        <w:tab w:val="center" w:pos="4153"/>
        <w:tab w:val="right" w:pos="8306"/>
      </w:tabs>
      <w:snapToGrid w:val="0"/>
      <w:jc w:val="left"/>
    </w:pPr>
    <w:rPr>
      <w:sz w:val="18"/>
      <w:szCs w:val="18"/>
    </w:rPr>
  </w:style>
  <w:style w:type="paragraph" w:styleId="12">
    <w:name w:val="header"/>
    <w:basedOn w:val="1"/>
    <w:link w:val="25"/>
    <w:semiHidden/>
    <w:qFormat/>
    <w:locked/>
    <w:uiPriority w:val="99"/>
    <w:pPr>
      <w:pBdr>
        <w:bottom w:val="single" w:color="auto" w:sz="6" w:space="1"/>
      </w:pBdr>
      <w:tabs>
        <w:tab w:val="center" w:pos="4153"/>
        <w:tab w:val="right" w:pos="8306"/>
      </w:tabs>
      <w:snapToGrid w:val="0"/>
      <w:jc w:val="center"/>
    </w:pPr>
    <w:rPr>
      <w:sz w:val="18"/>
      <w:szCs w:val="18"/>
    </w:rPr>
  </w:style>
  <w:style w:type="character" w:customStyle="1" w:styleId="15">
    <w:name w:val="标题 1 Char"/>
    <w:basedOn w:val="14"/>
    <w:link w:val="2"/>
    <w:qFormat/>
    <w:locked/>
    <w:uiPriority w:val="99"/>
    <w:rPr>
      <w:rFonts w:cs="Times New Roman"/>
    </w:rPr>
  </w:style>
  <w:style w:type="character" w:customStyle="1" w:styleId="16">
    <w:name w:val="标题 2 Char"/>
    <w:basedOn w:val="14"/>
    <w:link w:val="3"/>
    <w:semiHidden/>
    <w:qFormat/>
    <w:uiPriority w:val="9"/>
    <w:rPr>
      <w:rFonts w:ascii="Cambria" w:hAnsi="Cambria" w:eastAsia="宋体" w:cs="Times New Roman"/>
      <w:b/>
      <w:bCs/>
      <w:sz w:val="32"/>
      <w:szCs w:val="32"/>
    </w:rPr>
  </w:style>
  <w:style w:type="character" w:customStyle="1" w:styleId="17">
    <w:name w:val="标题 3 Char"/>
    <w:basedOn w:val="14"/>
    <w:link w:val="4"/>
    <w:semiHidden/>
    <w:qFormat/>
    <w:uiPriority w:val="9"/>
    <w:rPr>
      <w:b/>
      <w:bCs/>
      <w:sz w:val="32"/>
      <w:szCs w:val="32"/>
    </w:rPr>
  </w:style>
  <w:style w:type="character" w:customStyle="1" w:styleId="18">
    <w:name w:val="标题 4 Char"/>
    <w:basedOn w:val="14"/>
    <w:link w:val="5"/>
    <w:semiHidden/>
    <w:qFormat/>
    <w:uiPriority w:val="9"/>
    <w:rPr>
      <w:rFonts w:ascii="Cambria" w:hAnsi="Cambria" w:eastAsia="宋体" w:cs="Times New Roman"/>
      <w:b/>
      <w:bCs/>
      <w:sz w:val="28"/>
      <w:szCs w:val="28"/>
    </w:rPr>
  </w:style>
  <w:style w:type="character" w:customStyle="1" w:styleId="19">
    <w:name w:val="标题 5 Char"/>
    <w:basedOn w:val="14"/>
    <w:link w:val="6"/>
    <w:semiHidden/>
    <w:qFormat/>
    <w:uiPriority w:val="9"/>
    <w:rPr>
      <w:b/>
      <w:bCs/>
      <w:sz w:val="28"/>
      <w:szCs w:val="28"/>
    </w:rPr>
  </w:style>
  <w:style w:type="character" w:customStyle="1" w:styleId="20">
    <w:name w:val="标题 6 Char"/>
    <w:basedOn w:val="14"/>
    <w:link w:val="7"/>
    <w:semiHidden/>
    <w:qFormat/>
    <w:uiPriority w:val="9"/>
    <w:rPr>
      <w:rFonts w:ascii="Cambria" w:hAnsi="Cambria" w:eastAsia="宋体" w:cs="Times New Roman"/>
      <w:b/>
      <w:bCs/>
      <w:sz w:val="24"/>
      <w:szCs w:val="24"/>
    </w:rPr>
  </w:style>
  <w:style w:type="character" w:customStyle="1" w:styleId="21">
    <w:name w:val="标题 7 Char"/>
    <w:basedOn w:val="14"/>
    <w:link w:val="8"/>
    <w:semiHidden/>
    <w:qFormat/>
    <w:uiPriority w:val="9"/>
    <w:rPr>
      <w:b/>
      <w:bCs/>
      <w:sz w:val="24"/>
      <w:szCs w:val="24"/>
    </w:rPr>
  </w:style>
  <w:style w:type="character" w:customStyle="1" w:styleId="22">
    <w:name w:val="标题 8 Char"/>
    <w:basedOn w:val="14"/>
    <w:link w:val="9"/>
    <w:semiHidden/>
    <w:qFormat/>
    <w:uiPriority w:val="9"/>
    <w:rPr>
      <w:rFonts w:ascii="Cambria" w:hAnsi="Cambria" w:eastAsia="宋体" w:cs="Times New Roman"/>
      <w:sz w:val="24"/>
      <w:szCs w:val="24"/>
    </w:rPr>
  </w:style>
  <w:style w:type="character" w:customStyle="1" w:styleId="23">
    <w:name w:val="标题 9 Char"/>
    <w:basedOn w:val="14"/>
    <w:link w:val="10"/>
    <w:semiHidden/>
    <w:qFormat/>
    <w:uiPriority w:val="9"/>
    <w:rPr>
      <w:rFonts w:ascii="Cambria" w:hAnsi="Cambria" w:eastAsia="宋体" w:cs="Times New Roman"/>
      <w:szCs w:val="21"/>
    </w:rPr>
  </w:style>
  <w:style w:type="character" w:customStyle="1" w:styleId="24">
    <w:name w:val="页脚 Char"/>
    <w:basedOn w:val="14"/>
    <w:link w:val="11"/>
    <w:semiHidden/>
    <w:qFormat/>
    <w:locked/>
    <w:uiPriority w:val="99"/>
    <w:rPr>
      <w:rFonts w:ascii="Times New Roman" w:hAnsi="Times New Roman" w:cs="Times New Roman"/>
      <w:sz w:val="18"/>
      <w:szCs w:val="18"/>
    </w:rPr>
  </w:style>
  <w:style w:type="character" w:customStyle="1" w:styleId="25">
    <w:name w:val="页眉 Char"/>
    <w:basedOn w:val="14"/>
    <w:link w:val="12"/>
    <w:semiHidden/>
    <w:qFormat/>
    <w:locked/>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412</Words>
  <Characters>2354</Characters>
  <Lines>19</Lines>
  <Paragraphs>5</Paragraphs>
  <TotalTime>1</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2025-02-12T04:16:20Z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