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年度新疆喀什地区叶城县人民法院部门决算公开说明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审判刑事和民事；通过审判活动，惩办一切犯罪分子，解决民事纠纷；保护公民的人身权利、民主权利和其他权利；保障国家的社会主义革命和社会主义建设事业的顺利进行。解决社会矛盾和纠纷，维护公平正义。</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从决算单位构成看，新疆喀什地区叶城县人民法院部门决算包括：新疆喀什地区叶城县人民法院部门本级决算、所属单位决算等。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纳入新疆喀什地区叶城县人民法院</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新疆喀什地区叶城县人民法院</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eastAsia="仿宋_GB2312" w:cs="仿宋_GB2312"/>
          <w:sz w:val="32"/>
          <w:szCs w:val="32"/>
        </w:rPr>
      </w:pPr>
      <w:bookmarkStart w:id="4" w:name="OLE_LINK100"/>
      <w:bookmarkStart w:id="5" w:name="OLE_LINK99"/>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2,508.26</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，与上年相比，减少</w:t>
      </w:r>
      <w:r>
        <w:rPr>
          <w:rFonts w:ascii="仿宋_GB2312" w:eastAsia="仿宋_GB2312" w:cs="仿宋_GB2312"/>
          <w:sz w:val="32"/>
          <w:szCs w:val="32"/>
        </w:rPr>
        <w:t>264.13</w:t>
      </w:r>
      <w:r>
        <w:rPr>
          <w:rFonts w:hint="eastAsia" w:ascii="仿宋_GB2312" w:eastAsia="仿宋_GB2312" w:cs="仿宋_GB2312"/>
          <w:sz w:val="32"/>
          <w:szCs w:val="32"/>
        </w:rPr>
        <w:t>万元，下降</w:t>
      </w:r>
      <w:r>
        <w:rPr>
          <w:rFonts w:ascii="仿宋_GB2312" w:eastAsia="仿宋_GB2312" w:cs="仿宋_GB2312"/>
          <w:sz w:val="32"/>
          <w:szCs w:val="32"/>
        </w:rPr>
        <w:t>9.53%</w:t>
      </w:r>
      <w:r>
        <w:rPr>
          <w:rFonts w:hint="eastAsia" w:ascii="仿宋_GB2312" w:eastAsia="仿宋_GB2312" w:cs="仿宋_GB2312"/>
          <w:sz w:val="32"/>
          <w:szCs w:val="32"/>
        </w:rPr>
        <w:t>，减少的主要原因是：项目较</w:t>
      </w:r>
      <w:r>
        <w:rPr>
          <w:rFonts w:ascii="仿宋_GB2312" w:eastAsia="仿宋_GB2312" w:cs="仿宋_GB2312"/>
          <w:sz w:val="32"/>
          <w:szCs w:val="32"/>
        </w:rPr>
        <w:t>2017</w:t>
      </w:r>
      <w:r>
        <w:rPr>
          <w:rFonts w:hint="eastAsia" w:ascii="仿宋_GB2312" w:eastAsia="仿宋_GB2312" w:cs="仿宋_GB2312"/>
          <w:sz w:val="32"/>
          <w:szCs w:val="32"/>
        </w:rPr>
        <w:t>年减少</w:t>
      </w:r>
      <w:r>
        <w:rPr>
          <w:rFonts w:hint="eastAsia" w:ascii="仿宋_GB2312" w:eastAsia="仿宋_GB2312" w:cs="仿宋_GB2312"/>
          <w:color w:val="000000"/>
          <w:sz w:val="32"/>
          <w:szCs w:val="32"/>
        </w:rPr>
        <w:t>；</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2,508.26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264.13</w:t>
      </w:r>
      <w:r>
        <w:rPr>
          <w:rFonts w:hint="eastAsia" w:ascii="仿宋_GB2312" w:eastAsia="仿宋_GB2312" w:cs="仿宋_GB2312"/>
          <w:sz w:val="32"/>
          <w:szCs w:val="32"/>
        </w:rPr>
        <w:t>万元，下降</w:t>
      </w:r>
      <w:r>
        <w:rPr>
          <w:rFonts w:ascii="仿宋_GB2312" w:eastAsia="仿宋_GB2312" w:cs="仿宋_GB2312"/>
          <w:sz w:val="32"/>
          <w:szCs w:val="32"/>
        </w:rPr>
        <w:t>9.53%</w:t>
      </w:r>
      <w:r>
        <w:rPr>
          <w:rFonts w:hint="eastAsia" w:ascii="仿宋_GB2312" w:eastAsia="仿宋_GB2312" w:cs="仿宋_GB2312"/>
          <w:sz w:val="32"/>
          <w:szCs w:val="32"/>
        </w:rPr>
        <w:t>，减少的主要原因是：项目较</w:t>
      </w:r>
      <w:r>
        <w:rPr>
          <w:rFonts w:ascii="仿宋_GB2312" w:eastAsia="仿宋_GB2312" w:cs="仿宋_GB2312"/>
          <w:sz w:val="32"/>
          <w:szCs w:val="32"/>
        </w:rPr>
        <w:t>2017</w:t>
      </w:r>
      <w:r>
        <w:rPr>
          <w:rFonts w:hint="eastAsia" w:ascii="仿宋_GB2312" w:eastAsia="仿宋_GB2312" w:cs="仿宋_GB2312"/>
          <w:sz w:val="32"/>
          <w:szCs w:val="32"/>
        </w:rPr>
        <w:t>年减少</w:t>
      </w:r>
      <w:r>
        <w:rPr>
          <w:rFonts w:hint="eastAsia" w:ascii="仿宋_GB2312" w:eastAsia="仿宋_GB2312" w:cs="仿宋_GB2312"/>
          <w:color w:val="000000"/>
          <w:sz w:val="32"/>
          <w:szCs w:val="32"/>
        </w:rPr>
        <w:t>；</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bookmarkEnd w:id="8"/>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，增减变动的主要原因：本单位无结余资金。</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2,508.26</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2,508.26</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1,957.93</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2,508.26</w:t>
      </w:r>
      <w:r>
        <w:rPr>
          <w:rFonts w:hint="eastAsia" w:ascii="仿宋_GB2312" w:eastAsia="仿宋_GB2312" w:cs="仿宋_GB2312"/>
          <w:sz w:val="32"/>
          <w:szCs w:val="32"/>
        </w:rPr>
        <w:t>万元，预决算差异率</w:t>
      </w:r>
      <w:r>
        <w:rPr>
          <w:rFonts w:ascii="仿宋_GB2312" w:eastAsia="仿宋_GB2312" w:cs="仿宋_GB2312"/>
          <w:sz w:val="32"/>
          <w:szCs w:val="32"/>
        </w:rPr>
        <w:t>28.11%</w:t>
      </w:r>
      <w:r>
        <w:rPr>
          <w:rFonts w:hint="eastAsia" w:ascii="仿宋_GB2312" w:eastAsia="仿宋_GB2312" w:cs="仿宋_GB2312"/>
          <w:sz w:val="32"/>
          <w:szCs w:val="32"/>
        </w:rPr>
        <w:t>，差异主要原因是公共安全支出及住房保障支出增加。</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2,508.26</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2,065.22</w:t>
      </w:r>
      <w:r>
        <w:rPr>
          <w:rFonts w:hint="eastAsia" w:ascii="仿宋_GB2312" w:eastAsia="仿宋_GB2312" w:cs="仿宋_GB2312"/>
          <w:color w:val="000000"/>
          <w:sz w:val="32"/>
          <w:szCs w:val="32"/>
        </w:rPr>
        <w:t>万元，占</w:t>
      </w:r>
      <w:r>
        <w:rPr>
          <w:rFonts w:ascii="仿宋_GB2312" w:eastAsia="仿宋_GB2312" w:cs="仿宋_GB2312"/>
          <w:sz w:val="32"/>
          <w:szCs w:val="32"/>
        </w:rPr>
        <w:t>82.34%</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443.04</w:t>
      </w:r>
      <w:r>
        <w:rPr>
          <w:rFonts w:hint="eastAsia" w:ascii="仿宋_GB2312" w:eastAsia="仿宋_GB2312" w:cs="仿宋_GB2312"/>
          <w:color w:val="000000"/>
          <w:sz w:val="32"/>
          <w:szCs w:val="32"/>
        </w:rPr>
        <w:t>万元，占</w:t>
      </w:r>
      <w:r>
        <w:rPr>
          <w:rFonts w:ascii="仿宋_GB2312" w:eastAsia="仿宋_GB2312" w:cs="仿宋_GB2312"/>
          <w:sz w:val="32"/>
          <w:szCs w:val="32"/>
        </w:rPr>
        <w:t>17.66%</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1,957.93</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2,508.26</w:t>
      </w:r>
      <w:r>
        <w:rPr>
          <w:rFonts w:hint="eastAsia" w:ascii="仿宋_GB2312" w:eastAsia="仿宋_GB2312" w:cs="仿宋_GB2312"/>
          <w:sz w:val="32"/>
          <w:szCs w:val="32"/>
        </w:rPr>
        <w:t>万元，预决算差异率</w:t>
      </w:r>
      <w:r>
        <w:rPr>
          <w:rFonts w:ascii="仿宋_GB2312" w:eastAsia="仿宋_GB2312" w:cs="仿宋_GB2312"/>
          <w:sz w:val="32"/>
          <w:szCs w:val="32"/>
        </w:rPr>
        <w:t>28.11%</w:t>
      </w:r>
      <w:r>
        <w:rPr>
          <w:rFonts w:hint="eastAsia" w:ascii="仿宋_GB2312" w:eastAsia="仿宋_GB2312" w:cs="仿宋_GB2312"/>
          <w:sz w:val="32"/>
          <w:szCs w:val="32"/>
        </w:rPr>
        <w:t>，差异主要原因是公共安全支出及住房保障支出增加。</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2,508.26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391.87</w:t>
      </w:r>
      <w:r>
        <w:rPr>
          <w:rFonts w:hint="eastAsia" w:ascii="仿宋_GB2312" w:eastAsia="仿宋_GB2312" w:cs="仿宋_GB2312"/>
          <w:sz w:val="32"/>
          <w:szCs w:val="32"/>
        </w:rPr>
        <w:t>万元，增长</w:t>
      </w:r>
      <w:r>
        <w:rPr>
          <w:rFonts w:ascii="仿宋_GB2312" w:eastAsia="仿宋_GB2312" w:cs="仿宋_GB2312"/>
          <w:sz w:val="32"/>
          <w:szCs w:val="32"/>
        </w:rPr>
        <w:t>18.52%</w:t>
      </w:r>
      <w:r>
        <w:rPr>
          <w:rFonts w:hint="eastAsia" w:ascii="仿宋_GB2312" w:eastAsia="仿宋_GB2312" w:cs="仿宋_GB2312"/>
          <w:sz w:val="32"/>
          <w:szCs w:val="32"/>
        </w:rPr>
        <w:t>，增加的主要原因是：津贴调标，基本工资调标，人员正常晋升。</w:t>
      </w:r>
      <w:bookmarkEnd w:id="23"/>
      <w:bookmarkEnd w:id="24"/>
      <w:bookmarkStart w:id="26" w:name="OLE_LINK14"/>
      <w:bookmarkStart w:id="27" w:name="OLE_LINK59"/>
      <w:bookmarkStart w:id="28" w:name="OLE_LINK60"/>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2,508.26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391.87</w:t>
      </w:r>
      <w:r>
        <w:rPr>
          <w:rFonts w:hint="eastAsia" w:ascii="仿宋_GB2312" w:eastAsia="仿宋_GB2312" w:cs="仿宋_GB2312"/>
          <w:sz w:val="32"/>
          <w:szCs w:val="32"/>
        </w:rPr>
        <w:t>万元，增长</w:t>
      </w:r>
      <w:r>
        <w:rPr>
          <w:rFonts w:ascii="仿宋_GB2312" w:eastAsia="仿宋_GB2312" w:cs="仿宋_GB2312"/>
          <w:sz w:val="32"/>
          <w:szCs w:val="32"/>
        </w:rPr>
        <w:t>18.52%</w:t>
      </w:r>
      <w:r>
        <w:rPr>
          <w:rFonts w:hint="eastAsia" w:ascii="仿宋_GB2312" w:eastAsia="仿宋_GB2312" w:cs="仿宋_GB2312"/>
          <w:sz w:val="32"/>
          <w:szCs w:val="32"/>
        </w:rPr>
        <w:t>，增加的主要原因是：公共安全支出及住房保障支出增加。</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2,065.22</w:t>
      </w:r>
      <w:r>
        <w:rPr>
          <w:rFonts w:hint="eastAsia" w:ascii="仿宋_GB2312" w:eastAsia="仿宋_GB2312" w:cs="仿宋_GB2312"/>
          <w:color w:val="000000"/>
          <w:sz w:val="32"/>
          <w:szCs w:val="32"/>
        </w:rPr>
        <w:t>万元，项目支出</w:t>
      </w:r>
      <w:r>
        <w:rPr>
          <w:rFonts w:ascii="仿宋_GB2312" w:eastAsia="仿宋_GB2312" w:cs="仿宋_GB2312"/>
          <w:sz w:val="32"/>
          <w:szCs w:val="32"/>
        </w:rPr>
        <w:t>443.04</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bookmarkEnd w:id="29"/>
      <w:bookmarkStart w:id="32" w:name="OLE_LINK62"/>
      <w:r>
        <w:rPr>
          <w:rFonts w:hint="eastAsia" w:ascii="仿宋_GB2312" w:eastAsia="仿宋_GB2312" w:cs="仿宋_GB2312"/>
          <w:sz w:val="32"/>
          <w:szCs w:val="32"/>
        </w:rPr>
        <w:t>与上年相比，增加0万元，增长0%，增加主要原因是：无财政拨款结转结余。</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1,957.93</w:t>
      </w:r>
      <w:r>
        <w:rPr>
          <w:rFonts w:hint="eastAsia" w:ascii="仿宋_GB2312" w:eastAsia="仿宋_GB2312" w:cs="仿宋_GB2312"/>
          <w:color w:val="000000"/>
          <w:sz w:val="32"/>
          <w:szCs w:val="32"/>
        </w:rPr>
        <w:t>万元，决算数</w:t>
      </w:r>
      <w:r>
        <w:rPr>
          <w:rFonts w:ascii="仿宋_GB2312" w:eastAsia="仿宋_GB2312" w:cs="仿宋_GB2312"/>
          <w:sz w:val="32"/>
          <w:szCs w:val="32"/>
        </w:rPr>
        <w:t>2,508.26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28.11%</w:t>
      </w:r>
      <w:r>
        <w:rPr>
          <w:rFonts w:hint="eastAsia" w:ascii="仿宋_GB2312" w:eastAsia="仿宋_GB2312" w:cs="仿宋_GB2312"/>
          <w:color w:val="000000"/>
          <w:sz w:val="32"/>
          <w:szCs w:val="32"/>
        </w:rPr>
        <w:t>，差异主要原因是公共安全支出及住房保障支出增加。</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1,957.93</w:t>
      </w:r>
      <w:r>
        <w:rPr>
          <w:rFonts w:hint="eastAsia" w:ascii="仿宋_GB2312" w:eastAsia="仿宋_GB2312" w:cs="仿宋_GB2312"/>
          <w:color w:val="000000"/>
          <w:sz w:val="32"/>
          <w:szCs w:val="32"/>
        </w:rPr>
        <w:t>万元，决算数</w:t>
      </w:r>
      <w:r>
        <w:rPr>
          <w:rFonts w:ascii="仿宋_GB2312" w:eastAsia="仿宋_GB2312" w:cs="仿宋_GB2312"/>
          <w:sz w:val="32"/>
          <w:szCs w:val="32"/>
        </w:rPr>
        <w:t>2,508.26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28.11%</w:t>
      </w:r>
      <w:r>
        <w:rPr>
          <w:rFonts w:hint="eastAsia" w:ascii="仿宋_GB2312" w:eastAsia="仿宋_GB2312" w:cs="仿宋_GB2312"/>
          <w:color w:val="000000"/>
          <w:sz w:val="32"/>
          <w:szCs w:val="32"/>
        </w:rPr>
        <w:t>，差异主要原因是公共安全支出及住房保障支出增加。</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2,508.26</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391.87</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18.52%</w:t>
      </w:r>
      <w:r>
        <w:rPr>
          <w:rFonts w:hint="eastAsia" w:ascii="仿宋_GB2312" w:eastAsia="仿宋_GB2312" w:cs="仿宋_GB2312"/>
          <w:color w:val="000000"/>
          <w:sz w:val="32"/>
          <w:szCs w:val="32"/>
        </w:rPr>
        <w:t>，增加的主要原因是：公共安全支出及住房保障支出增加。</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2,508.26</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sz w:val="32"/>
          <w:szCs w:val="32"/>
        </w:rPr>
        <w:t>391.87</w:t>
      </w:r>
      <w:r>
        <w:rPr>
          <w:rFonts w:hint="eastAsia" w:ascii="仿宋_GB2312" w:eastAsia="仿宋_GB2312" w:cs="仿宋_GB2312"/>
          <w:sz w:val="32"/>
          <w:szCs w:val="32"/>
        </w:rPr>
        <w:t>万元，增长</w:t>
      </w:r>
      <w:r>
        <w:rPr>
          <w:rFonts w:ascii="仿宋_GB2312" w:eastAsia="仿宋_GB2312" w:cs="仿宋_GB2312"/>
          <w:sz w:val="32"/>
          <w:szCs w:val="32"/>
        </w:rPr>
        <w:t>18.52%</w:t>
      </w:r>
      <w:r>
        <w:rPr>
          <w:rFonts w:hint="eastAsia" w:ascii="仿宋_GB2312" w:eastAsia="仿宋_GB2312" w:cs="仿宋_GB2312"/>
          <w:sz w:val="32"/>
          <w:szCs w:val="32"/>
        </w:rPr>
        <w:t>，增加的主要原因是：公共安全支出及住房保障支出增加。</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110.78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公共安全支出</w:t>
      </w:r>
      <w:r>
        <w:rPr>
          <w:rFonts w:ascii="仿宋_GB2312" w:eastAsia="仿宋_GB2312" w:cs="仿宋_GB2312"/>
          <w:sz w:val="32"/>
          <w:szCs w:val="32"/>
        </w:rPr>
        <w:t>2,182.93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214.56</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1,789.1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538.95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107.31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w:t>
      </w:r>
      <w:r>
        <w:rPr>
          <w:rFonts w:ascii="仿宋_GB2312" w:eastAsia="仿宋_GB2312" w:cs="仿宋_GB2312"/>
          <w:sz w:val="32"/>
          <w:szCs w:val="32"/>
        </w:rPr>
        <w:t>72.9</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7"/>
      <w:bookmarkStart w:id="42"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1,957.93</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2,508.26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28.11%</w:t>
      </w:r>
      <w:r>
        <w:rPr>
          <w:rFonts w:hint="eastAsia" w:ascii="仿宋_GB2312" w:eastAsia="仿宋_GB2312" w:cs="仿宋_GB2312"/>
          <w:color w:val="000000"/>
          <w:sz w:val="32"/>
          <w:szCs w:val="32"/>
        </w:rPr>
        <w:t>，差异主要原因是公共安全支出及住房保障支出增加。</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1,957.93</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2,508.26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28.11%</w:t>
      </w:r>
      <w:r>
        <w:rPr>
          <w:rFonts w:hint="eastAsia" w:ascii="仿宋_GB2312" w:eastAsia="仿宋_GB2312" w:cs="仿宋_GB2312"/>
          <w:color w:val="000000"/>
          <w:sz w:val="32"/>
          <w:szCs w:val="32"/>
        </w:rPr>
        <w:t>，差异主要原因是公共安全支出及住房保障支出增加。</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bookmarkStart w:id="45" w:name="OLE_LINK72"/>
      <w:bookmarkStart w:id="46" w:name="OLE_LINK71"/>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7" w:name="OLE_LINK22"/>
      <w:r>
        <w:rPr>
          <w:rFonts w:hint="eastAsia" w:ascii="仿宋_GB2312" w:eastAsia="仿宋_GB2312" w:cs="仿宋_GB2312"/>
          <w:color w:val="000000"/>
          <w:sz w:val="32"/>
          <w:szCs w:val="32"/>
        </w:rPr>
        <w:t>政府性基金预算财政拨款收入</w:t>
      </w:r>
      <w:bookmarkEnd w:id="47"/>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元，增长0%</w:t>
      </w:r>
      <w:bookmarkEnd w:id="44"/>
      <w:bookmarkStart w:id="48" w:name="OLE_LINK23"/>
      <w:bookmarkStart w:id="49" w:name="OLE_LINK70"/>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政府性基金预算财政拨款收入。政府性基金预算支出</w:t>
      </w:r>
      <w:bookmarkEnd w:id="48"/>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元，增长0%，增加的主要原因是：本单位无</w:t>
      </w:r>
      <w:r>
        <w:rPr>
          <w:rFonts w:hint="eastAsia" w:ascii="仿宋_GB2312" w:eastAsia="仿宋_GB2312" w:cs="仿宋_GB2312"/>
          <w:color w:val="000000"/>
          <w:sz w:val="32"/>
          <w:szCs w:val="32"/>
        </w:rPr>
        <w:t>政府性基金预算支出</w:t>
      </w:r>
      <w:r>
        <w:rPr>
          <w:rFonts w:hint="eastAsia" w:ascii="仿宋_GB2312" w:eastAsia="仿宋_GB2312" w:cs="仿宋_GB2312"/>
          <w:sz w:val="32"/>
          <w:szCs w:val="32"/>
        </w:rPr>
        <w:t>。</w:t>
      </w:r>
      <w:bookmarkEnd w:id="49"/>
      <w:r>
        <w:rPr>
          <w:rFonts w:hint="eastAsia" w:ascii="仿宋_GB2312" w:eastAsia="仿宋_GB2312" w:cs="仿宋_GB2312"/>
          <w:color w:val="000000"/>
          <w:sz w:val="32"/>
          <w:szCs w:val="32"/>
        </w:rPr>
        <w:t>其中：</w:t>
      </w:r>
      <w:bookmarkStart w:id="50" w:name="OLE_LINK24"/>
      <w:r>
        <w:rPr>
          <w:rFonts w:hint="eastAsia" w:ascii="仿宋_GB2312" w:eastAsia="仿宋_GB2312" w:cs="仿宋_GB2312"/>
          <w:color w:val="000000"/>
          <w:sz w:val="32"/>
          <w:szCs w:val="32"/>
        </w:rPr>
        <w:t>按功能分类科目（按类级科目公开）</w:t>
      </w:r>
      <w:bookmarkEnd w:id="50"/>
      <w:r>
        <w:rPr>
          <w:rFonts w:hint="eastAsia" w:ascii="仿宋_GB2312" w:eastAsia="仿宋_GB2312" w:cs="仿宋_GB2312"/>
          <w:color w:val="000000"/>
          <w:sz w:val="32"/>
          <w:szCs w:val="32"/>
        </w:rPr>
        <w:t>，</w:t>
      </w:r>
      <w:r>
        <w:rPr>
          <w:rFonts w:hint="eastAsia" w:ascii="仿宋_GB2312" w:eastAsia="仿宋_GB2312" w:cs="仿宋_GB2312"/>
          <w:sz w:val="32"/>
          <w:szCs w:val="32"/>
        </w:rPr>
        <w:t>无。</w:t>
      </w:r>
      <w:r>
        <w:rPr>
          <w:rFonts w:hint="eastAsia" w:ascii="仿宋_GB2312" w:eastAsia="仿宋_GB2312" w:cs="仿宋_GB2312"/>
          <w:color w:val="000000"/>
          <w:sz w:val="32"/>
          <w:szCs w:val="32"/>
        </w:rPr>
        <w:t>按经济分类科目（按类级科目公开），</w:t>
      </w:r>
      <w:r>
        <w:rPr>
          <w:rFonts w:hint="eastAsia" w:ascii="仿宋_GB2312" w:eastAsia="仿宋_GB2312" w:cs="仿宋_GB2312"/>
          <w:sz w:val="32"/>
          <w:szCs w:val="32"/>
        </w:rPr>
        <w:t>无。</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，差异主要原因是无政府性基金。</w:t>
      </w:r>
      <w:bookmarkEnd w:id="45"/>
      <w:bookmarkEnd w:id="46"/>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，差异主要原因是无政府性基金。</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olor w:val="000000"/>
          <w:sz w:val="32"/>
          <w:szCs w:val="32"/>
        </w:rPr>
      </w:pPr>
      <w:bookmarkStart w:id="52" w:name="OLE_LINK25"/>
      <w:bookmarkStart w:id="53" w:name="OLE_LINK26"/>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元，减少</w:t>
      </w:r>
      <w:r>
        <w:rPr>
          <w:rFonts w:ascii="仿宋_GB2312" w:eastAsia="仿宋_GB2312" w:cs="仿宋_GB2312"/>
          <w:sz w:val="32"/>
          <w:szCs w:val="32"/>
        </w:rPr>
        <w:t>0</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其中</w:t>
      </w:r>
      <w:bookmarkStart w:id="54" w:name="OLE_LINK27"/>
      <w:bookmarkStart w:id="55" w:name="OLE_LINK28"/>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。与上年相比，增长</w:t>
      </w:r>
      <w:r>
        <w:rPr>
          <w:rFonts w:ascii="仿宋_GB2312" w:eastAsia="仿宋_GB2312" w:cs="仿宋_GB2312"/>
          <w:sz w:val="32"/>
          <w:szCs w:val="32"/>
        </w:rPr>
        <w:t>0万</w:t>
      </w:r>
      <w:r>
        <w:rPr>
          <w:rFonts w:hint="eastAsia" w:ascii="仿宋_GB2312" w:eastAsia="仿宋_GB2312" w:cs="仿宋_GB2312"/>
          <w:sz w:val="32"/>
          <w:szCs w:val="32"/>
        </w:rPr>
        <w:t>元，减少</w:t>
      </w:r>
      <w:r>
        <w:rPr>
          <w:rFonts w:ascii="仿宋_GB2312" w:eastAsia="仿宋_GB2312" w:cs="仿宋_GB2312"/>
          <w:sz w:val="32"/>
          <w:szCs w:val="32"/>
        </w:rPr>
        <w:t>0</w:t>
      </w:r>
      <w:r>
        <w:rPr>
          <w:rFonts w:hint="eastAsia" w:ascii="仿宋_GB2312" w:eastAsia="仿宋_GB2312" w:cs="仿宋_GB2312"/>
          <w:sz w:val="32"/>
          <w:szCs w:val="32"/>
        </w:rPr>
        <w:t>元。</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4.05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13.9</w:t>
      </w:r>
      <w:r>
        <w:rPr>
          <w:rFonts w:hint="eastAsia" w:ascii="仿宋_GB2312" w:eastAsia="仿宋_GB2312" w:cs="仿宋_GB2312"/>
          <w:sz w:val="32"/>
          <w:szCs w:val="32"/>
        </w:rPr>
        <w:t>万元，下降</w:t>
      </w:r>
      <w:r>
        <w:rPr>
          <w:rFonts w:ascii="仿宋_GB2312" w:eastAsia="仿宋_GB2312" w:cs="仿宋_GB2312"/>
          <w:sz w:val="32"/>
          <w:szCs w:val="32"/>
        </w:rPr>
        <w:t>77.44%</w:t>
      </w:r>
      <w:r>
        <w:rPr>
          <w:rFonts w:hint="eastAsia" w:ascii="仿宋_GB2312" w:eastAsia="仿宋_GB2312" w:cs="仿宋_GB2312"/>
          <w:sz w:val="32"/>
          <w:szCs w:val="32"/>
        </w:rPr>
        <w:t>，减少的主要原因是：我单位无出国考察培训等安排。</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因公出国（境）费支出</w:t>
      </w:r>
      <w:bookmarkEnd w:id="5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，比上年增加0万元，增长0%，增加的主要原因是：本单位无</w:t>
      </w:r>
      <w:r>
        <w:rPr>
          <w:rFonts w:hint="eastAsia" w:ascii="仿宋_GB2312" w:eastAsia="仿宋_GB2312" w:cs="仿宋_GB2312"/>
          <w:color w:val="000000"/>
          <w:sz w:val="32"/>
          <w:szCs w:val="32"/>
        </w:rPr>
        <w:t>因公出国（境）</w:t>
      </w:r>
      <w:r>
        <w:rPr>
          <w:rFonts w:hint="eastAsia" w:ascii="仿宋_GB2312" w:eastAsia="仿宋_GB2312" w:cs="仿宋_GB2312"/>
          <w:sz w:val="32"/>
          <w:szCs w:val="32"/>
        </w:rPr>
        <w:t>费支出；</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sz w:val="32"/>
          <w:szCs w:val="32"/>
        </w:rPr>
        <w:t>4.05</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9.95</w:t>
      </w:r>
      <w:r>
        <w:rPr>
          <w:rFonts w:hint="eastAsia" w:ascii="仿宋_GB2312" w:eastAsia="仿宋_GB2312" w:cs="仿宋_GB2312"/>
          <w:sz w:val="32"/>
          <w:szCs w:val="32"/>
        </w:rPr>
        <w:t>万元，下降</w:t>
      </w:r>
      <w:r>
        <w:rPr>
          <w:rFonts w:ascii="仿宋_GB2312" w:eastAsia="仿宋_GB2312" w:cs="仿宋_GB2312"/>
          <w:sz w:val="32"/>
          <w:szCs w:val="32"/>
        </w:rPr>
        <w:t>71.07%</w:t>
      </w:r>
      <w:r>
        <w:rPr>
          <w:rFonts w:hint="eastAsia" w:ascii="仿宋_GB2312" w:eastAsia="仿宋_GB2312" w:cs="仿宋_GB2312"/>
          <w:sz w:val="32"/>
          <w:szCs w:val="32"/>
        </w:rPr>
        <w:t>，减少的主要原因是：</w:t>
      </w:r>
      <w:bookmarkEnd w:id="61"/>
      <w:bookmarkStart w:id="62" w:name="OLE_LINK32"/>
      <w:bookmarkStart w:id="63" w:name="OLE_LINK78"/>
      <w:bookmarkStart w:id="64" w:name="OLE_LINK77"/>
      <w:r>
        <w:rPr>
          <w:rFonts w:hint="eastAsia" w:ascii="仿宋_GB2312" w:eastAsia="仿宋_GB2312" w:cs="仿宋_GB2312"/>
          <w:sz w:val="32"/>
          <w:szCs w:val="32"/>
        </w:rPr>
        <w:t>我单位严把车辆管控，关严格遵守公务车辆配置标准，严禁公车私用。</w:t>
      </w:r>
      <w:r>
        <w:rPr>
          <w:rFonts w:hint="eastAsia" w:ascii="仿宋_GB2312" w:eastAsia="仿宋_GB2312" w:cs="仿宋_GB2312"/>
          <w:color w:val="000000"/>
          <w:sz w:val="32"/>
          <w:szCs w:val="32"/>
        </w:rPr>
        <w:t>公务接待费支出</w:t>
      </w:r>
      <w:bookmarkEnd w:id="6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，与上年相比，减少</w:t>
      </w:r>
      <w:r>
        <w:rPr>
          <w:rFonts w:ascii="仿宋_GB2312" w:eastAsia="仿宋_GB2312" w:cs="仿宋_GB2312"/>
          <w:sz w:val="32"/>
          <w:szCs w:val="32"/>
        </w:rPr>
        <w:t>3.95</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，减少的主要原因是：我单位严格按制度执行。</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5" w:name="OLE_LINK80"/>
      <w:bookmarkStart w:id="66" w:name="OLE_LINK79"/>
      <w:r>
        <w:rPr>
          <w:rFonts w:hint="eastAsia" w:ascii="仿宋_GB2312" w:eastAsia="仿宋_GB2312" w:cs="仿宋_GB2312"/>
          <w:color w:val="000000"/>
          <w:sz w:val="32"/>
          <w:szCs w:val="32"/>
        </w:rPr>
        <w:t>因公出国（境）费支出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新疆喀什地区叶城县人民法院</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5"/>
      <w:bookmarkStart w:id="69" w:name="OLE_LINK34"/>
      <w:bookmarkStart w:id="70" w:name="OLE_LINK36"/>
      <w:r>
        <w:rPr>
          <w:rFonts w:hint="eastAsia" w:ascii="仿宋_GB2312" w:eastAsia="仿宋_GB2312" w:cs="仿宋_GB2312"/>
          <w:color w:val="000000"/>
          <w:sz w:val="32"/>
          <w:szCs w:val="32"/>
        </w:rPr>
        <w:t>使用一般公共预算财政拨款安排的因公出国（境）团组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开支内容包括：无因公出国（境）费支出。</w:t>
      </w:r>
      <w:bookmarkEnd w:id="65"/>
      <w:bookmarkEnd w:id="66"/>
      <w:bookmarkEnd w:id="72"/>
    </w:p>
    <w:p>
      <w:pPr>
        <w:spacing w:line="540" w:lineRule="exact"/>
        <w:ind w:firstLine="640" w:firstLineChars="200"/>
        <w:rPr>
          <w:rFonts w:ascii="仿宋_GB2312" w:eastAsia="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4.05</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1"/>
      <w:bookmarkStart w:id="76" w:name="OLE_LINK40"/>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4.05</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。主要用于</w:t>
      </w:r>
      <w:r>
        <w:rPr>
          <w:rFonts w:hint="eastAsia" w:ascii="仿宋_GB2312" w:eastAsia="仿宋_GB2312" w:cs="仿宋_GB2312"/>
          <w:sz w:val="32"/>
          <w:szCs w:val="32"/>
        </w:rPr>
        <w:t>车辆运行维护检修</w:t>
      </w:r>
      <w:r>
        <w:rPr>
          <w:rFonts w:hint="eastAsia" w:ascii="仿宋_GB2312" w:eastAsia="仿宋_GB2312" w:cs="仿宋_GB2312"/>
          <w:color w:val="000000"/>
          <w:sz w:val="32"/>
          <w:szCs w:val="32"/>
        </w:rPr>
        <w:t>等。</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3</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w:t>
      </w:r>
      <w:r>
        <w:rPr>
          <w:rFonts w:hint="eastAsia" w:ascii="仿宋_GB2312" w:eastAsia="仿宋_GB2312" w:cs="仿宋_GB2312"/>
          <w:sz w:val="32"/>
          <w:szCs w:val="32"/>
        </w:rPr>
        <w:t>本单位无公务接待费</w:t>
      </w:r>
      <w:r>
        <w:rPr>
          <w:rFonts w:hint="eastAsia" w:ascii="仿宋_GB2312" w:eastAsia="仿宋_GB2312" w:cs="仿宋_GB2312"/>
          <w:color w:val="000000"/>
          <w:sz w:val="32"/>
          <w:szCs w:val="32"/>
        </w:rPr>
        <w:t>等。</w:t>
      </w:r>
      <w:bookmarkEnd w:id="78"/>
      <w:bookmarkStart w:id="79" w:name="OLE_LINK84"/>
      <w:r>
        <w:rPr>
          <w:rFonts w:hint="eastAsia" w:ascii="仿宋_GB2312" w:eastAsia="仿宋_GB2312" w:cs="仿宋_GB2312"/>
          <w:sz w:val="32"/>
          <w:szCs w:val="32"/>
        </w:rPr>
        <w:t>新疆喀什地区叶城县人民法院</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9"/>
    </w:p>
    <w:p>
      <w:pPr>
        <w:spacing w:line="540" w:lineRule="exact"/>
        <w:ind w:firstLine="640" w:firstLineChars="200"/>
        <w:rPr>
          <w:rFonts w:ascii="仿宋_GB2312" w:hAnsi="宋体" w:eastAsia="仿宋_GB2312"/>
          <w:color w:val="000000"/>
          <w:kern w:val="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，差异主要原因是与预算数相比严格按照公务用车管理办法，无超支。</w:t>
      </w:r>
      <w:bookmarkEnd w:id="80"/>
      <w:bookmarkStart w:id="81" w:name="OLE_LINK86"/>
      <w:bookmarkStart w:id="82" w:name="OLE_LINK87"/>
      <w:r>
        <w:rPr>
          <w:rFonts w:hint="eastAsia" w:ascii="仿宋_GB2312" w:hAnsi="宋体" w:eastAsia="仿宋_GB2312" w:cs="仿宋_GB2312"/>
          <w:color w:val="000000"/>
          <w:kern w:val="0"/>
          <w:sz w:val="32"/>
          <w:szCs w:val="32"/>
        </w:rPr>
        <w:t>其中：</w:t>
      </w:r>
      <w:r>
        <w:rPr>
          <w:rFonts w:hint="eastAsia" w:ascii="仿宋_GB2312" w:eastAsia="仿宋_GB2312" w:cs="仿宋_GB2312"/>
          <w:color w:val="000000"/>
          <w:sz w:val="32"/>
          <w:szCs w:val="32"/>
        </w:rPr>
        <w:t>因公出国（境）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，差异主要原因是预决算数无差异；</w:t>
      </w:r>
      <w:bookmarkEnd w:id="81"/>
      <w:bookmarkEnd w:id="82"/>
      <w:bookmarkStart w:id="83" w:name="OLE_LINK89"/>
      <w:bookmarkStart w:id="84" w:name="OLE_LINK88"/>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，差异主要原因是预决算数无差异；</w:t>
      </w:r>
      <w:bookmarkEnd w:id="83"/>
      <w:bookmarkEnd w:id="84"/>
      <w:bookmarkStart w:id="85"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，差异主要原因是预决算数无差异；</w:t>
      </w:r>
      <w:bookmarkEnd w:id="85"/>
      <w:bookmarkStart w:id="86"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6"/>
      <w:r>
        <w:rPr>
          <w:rFonts w:hint="eastAsia" w:ascii="仿宋_GB2312" w:eastAsia="仿宋_GB2312" w:cs="仿宋_GB2312"/>
          <w:color w:val="000000"/>
          <w:sz w:val="32"/>
          <w:szCs w:val="32"/>
        </w:rPr>
        <w:t>预决算数无差异。</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年度新疆喀什地区叶城县人民法院机关运行经费支出</w:t>
      </w:r>
      <w:r>
        <w:rPr>
          <w:rFonts w:ascii="仿宋_GB2312" w:eastAsia="仿宋_GB2312" w:cs="仿宋_GB2312"/>
          <w:color w:val="000000"/>
          <w:sz w:val="32"/>
          <w:szCs w:val="32"/>
        </w:rPr>
        <w:t>185.85</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5.81</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3.03%</w:t>
      </w:r>
      <w:r>
        <w:rPr>
          <w:rFonts w:hint="eastAsia" w:ascii="仿宋_GB2312" w:eastAsia="仿宋_GB2312" w:cs="仿宋_GB2312"/>
          <w:color w:val="000000"/>
          <w:sz w:val="32"/>
          <w:szCs w:val="32"/>
        </w:rPr>
        <w:t>，减少的主要原因是：与上年相比人员减少。</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52.48</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39.31</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13.16</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15</w:t>
      </w:r>
      <w:r>
        <w:rPr>
          <w:rFonts w:hint="eastAsia" w:ascii="仿宋_GB2312" w:eastAsia="仿宋_GB2312" w:cs="仿宋_GB2312"/>
          <w:color w:val="000000"/>
          <w:sz w:val="32"/>
          <w:szCs w:val="32"/>
        </w:rPr>
        <w:t>辆，价值</w:t>
      </w:r>
      <w:r>
        <w:rPr>
          <w:rFonts w:ascii="仿宋_GB2312" w:eastAsia="仿宋_GB2312" w:cs="仿宋_GB2312"/>
          <w:sz w:val="32"/>
          <w:szCs w:val="32"/>
        </w:rPr>
        <w:t>256.75</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2</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13</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辆，其他用车主要是：无其他用车。单位价值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3</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w:t>
      </w:r>
      <w:r>
        <w:rPr>
          <w:rFonts w:ascii="仿宋_GB2312" w:eastAsia="仿宋_GB2312" w:cs="仿宋_GB2312"/>
          <w:sz w:val="32"/>
          <w:szCs w:val="32"/>
        </w:rPr>
        <w:t xml:space="preserve"> </w:t>
      </w:r>
      <w:r>
        <w:rPr>
          <w:rFonts w:hint="eastAsia" w:ascii="仿宋_GB2312" w:eastAsia="仿宋_GB2312" w:cs="仿宋_GB2312"/>
          <w:sz w:val="32"/>
          <w:szCs w:val="32"/>
        </w:rPr>
        <w:t>新疆喀什地区叶城县人民法院</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443.03</w:t>
      </w:r>
      <w:r>
        <w:rPr>
          <w:rFonts w:hint="eastAsia" w:ascii="仿宋_GB2312" w:eastAsia="仿宋_GB2312" w:cs="仿宋_GB2312"/>
          <w:sz w:val="32"/>
          <w:szCs w:val="32"/>
        </w:rPr>
        <w:t>万元，执行金额为</w:t>
      </w:r>
      <w:r>
        <w:rPr>
          <w:rFonts w:ascii="仿宋_GB2312" w:eastAsia="仿宋_GB2312" w:cs="仿宋_GB2312"/>
          <w:sz w:val="32"/>
          <w:szCs w:val="32"/>
        </w:rPr>
        <w:t>443.03</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2</w:t>
      </w:r>
      <w:r>
        <w:rPr>
          <w:rFonts w:hint="eastAsia" w:ascii="仿宋_GB2312" w:eastAsia="仿宋_GB2312" w:cs="仿宋_GB2312"/>
          <w:sz w:val="32"/>
          <w:szCs w:val="32"/>
        </w:rPr>
        <w:t>个，其中已完成项目</w:t>
      </w:r>
      <w:r>
        <w:rPr>
          <w:rFonts w:ascii="仿宋_GB2312" w:eastAsia="仿宋_GB2312" w:cs="仿宋_GB2312"/>
          <w:sz w:val="32"/>
          <w:szCs w:val="32"/>
        </w:rPr>
        <w:t>2</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40" w:lineRule="exact"/>
        <w:ind w:firstLine="640" w:firstLineChars="200"/>
        <w:rPr>
          <w:rFonts w:eastAsia="仿宋_GB2312" w:cs="仿宋_GB231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、中央政法转移支付业务资金项目绩效自评综述：根据年初设定的绩效目标，该项目绩效自评得分为</w:t>
      </w:r>
      <w:r>
        <w:rPr>
          <w:rFonts w:ascii="仿宋_GB2312" w:hAnsi="仿宋_GB2312" w:eastAsia="仿宋_GB2312" w:cs="仿宋_GB2312"/>
          <w:sz w:val="32"/>
          <w:szCs w:val="32"/>
        </w:rPr>
        <w:t>99</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426</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426</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eastAsia="仿宋_GB2312" w:cs="仿宋_GB2312"/>
          <w:sz w:val="32"/>
          <w:szCs w:val="32"/>
        </w:rPr>
        <w:t>1.产出指标完成情况分析：（1）项目完成数量：中央政法转移支付业务资金项目人数67人，完成率100%。（2）项目完成质量：中央政法转移支付业务资金项目办理率100%。（3）项目实施进度：项目按照年初既定目标序时进行，项目完工及时率100%。（4）项目成本节约情况：中央政法转移支付业务资金项目经费426万元。2.效益指标完成情况分析：（1）项目实施的经济效益分析：无。（2）项目实施的社会效益分析：中央政法转移支付业务资金项目为群众提供法律援助95%。（3）项目实施的生态效益分析：无。（4）项目实施的可持续影响分析：中央政法转移支付业务资金项目经费保障持续时间1年。3.满意度指标完成情况分析：按计划完成项目实施，已做满意度调查问卷，群众对法院满意率96%，服务对象满意度指标完成。</w:t>
      </w:r>
      <w:r>
        <w:rPr>
          <w:rFonts w:hint="eastAsia" w:ascii="仿宋_GB2312" w:hAnsi="仿宋_GB2312" w:eastAsia="仿宋_GB2312" w:cs="仿宋_GB2312"/>
          <w:sz w:val="32"/>
          <w:szCs w:val="32"/>
        </w:rPr>
        <w:t>发现的问题及原因：严格按照会计人员集中核算工作管理制度、财务收支审批制度、财务稽核制度、财务牵制制度、会计主管岗位职责等制度规定进行资金管理，确保法院工作顺利进行，暂未发现问题及原因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严格按照会计人员集中核算工作管理制度、财务收支审批制度、财务稽核制度、财务牵制制度、会计主管岗位职责等制度规定进行资金管理，确保法院工作顺利进行</w:t>
      </w:r>
    </w:p>
    <w:p>
      <w:pPr>
        <w:spacing w:line="54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、法津贴项目绩效自评综述：根据年初设定的绩效目标，该项目绩效自评得分为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17.03</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17.03</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）项目完成数量：法值勤津贴项目保障人员数9人。（</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）项目完成质量：法值勤津贴项目办理率%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）项目实施进度：项目按照年初既定目标序时进行，项目完工及时率100%。（</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）项目成本节约情况：法执勤津贴项目人均经费17.03万元。</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）项目实施的经济效益分析：无。（</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）项目实施的社会效益分析：法值勤津贴项目为群众提供法律援助100%。（</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）项目实施的可持续影响分析：加大值勤力度，保护群众</w:t>
      </w:r>
      <w:r>
        <w:rPr>
          <w:rFonts w:hint="eastAsia" w:ascii="仿宋_GB2312" w:hAnsi="仿宋_GB2312" w:eastAsia="仿宋_GB2312" w:cs="仿宋_GB2312"/>
          <w:sz w:val="32"/>
          <w:szCs w:val="32"/>
          <w:lang w:eastAsia="zh-CN"/>
        </w:rPr>
        <w:t>人身安全</w:t>
      </w:r>
      <w:r>
        <w:rPr>
          <w:rFonts w:hint="eastAsia" w:ascii="仿宋_GB2312" w:hAnsi="仿宋_GB2312" w:eastAsia="仿宋_GB2312" w:cs="仿宋_GB2312"/>
          <w:sz w:val="32"/>
          <w:szCs w:val="32"/>
        </w:rPr>
        <w:t>100%。</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群众对法院满意率100%，服务对象满意度指标完成。发现的问题及原因：严格按照会计人员集中核算工作管理制度、财务收支审批制度、财务稽核制度、财务牵制制度、会计主管岗位职责等制度规定进行资金管理，确保法院工作顺利进行，暂未发现问题及原因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严格按照会计人员集中核算工作管理制度、财务收支审批制度、财务稽核制度、财务牵制制度、会计主管岗位职责等制度规定进行资金管理，确保法院工作顺利进行。</w:t>
      </w:r>
    </w:p>
    <w:p>
      <w:pPr>
        <w:spacing w:line="540" w:lineRule="exact"/>
        <w:ind w:firstLine="640" w:firstLineChars="200"/>
        <w:rPr>
          <w:rFonts w:ascii="仿宋" w:hAnsi="仿宋" w:eastAsia="仿宋" w:cs="仿宋"/>
          <w:color w:val="000000"/>
          <w:spacing w:val="-4"/>
          <w:sz w:val="30"/>
          <w:szCs w:val="30"/>
        </w:rPr>
      </w:pPr>
      <w:r>
        <w:rPr>
          <w:rFonts w:hint="eastAsia" w:ascii="仿宋_GB2312" w:eastAsia="仿宋_GB2312" w:cs="仿宋_GB2312"/>
          <w:sz w:val="32"/>
          <w:szCs w:val="32"/>
        </w:rPr>
        <w:t>有关项目自评情况可附项目支出绩效自评表。</w:t>
      </w:r>
      <w:bookmarkStart w:id="92" w:name="_GoBack"/>
      <w:bookmarkEnd w:id="92"/>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因公出国（境）</w:t>
      </w:r>
      <w:r>
        <w:rPr>
          <w:rFonts w:hint="eastAsia" w:ascii="仿宋_GB2312" w:eastAsia="仿宋_GB2312" w:cs="仿宋_GB2312"/>
          <w:sz w:val="32"/>
          <w:szCs w:val="32"/>
        </w:rPr>
        <w:t>费、公务用车购置及运行费和公务接待费。其中，</w:t>
      </w:r>
      <w:r>
        <w:rPr>
          <w:rFonts w:hint="eastAsia" w:ascii="仿宋_GB2312" w:eastAsia="仿宋_GB2312" w:cs="仿宋_GB2312"/>
          <w:color w:val="000000"/>
          <w:sz w:val="32"/>
          <w:szCs w:val="32"/>
        </w:rPr>
        <w:t>因公出国（境）</w:t>
      </w:r>
      <w:r>
        <w:rPr>
          <w:rFonts w:hint="eastAsia" w:ascii="仿宋_GB2312" w:eastAsia="仿宋_GB2312" w:cs="仿宋_GB2312"/>
          <w:sz w:val="32"/>
          <w:szCs w:val="32"/>
        </w:rPr>
        <w:t>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204</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（项）指：其他法院支出。</w:t>
      </w:r>
      <w:r>
        <w:rPr>
          <w:rFonts w:ascii="仿宋_GB2312" w:eastAsia="仿宋_GB2312" w:cs="仿宋_GB2312"/>
          <w:sz w:val="32"/>
          <w:szCs w:val="32"/>
        </w:rPr>
        <w:t>204</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cs="宋体"/>
        <w:sz w:val="28"/>
        <w:szCs w:val="28"/>
      </w:rPr>
    </w:pPr>
    <w:r>
      <w:rPr>
        <w:rStyle w:val="10"/>
        <w:rFonts w:ascii="宋体" w:hAnsi="宋体" w:eastAsia="宋体" w:cs="宋体"/>
        <w:sz w:val="28"/>
        <w:szCs w:val="28"/>
      </w:rPr>
      <w:fldChar w:fldCharType="begin"/>
    </w:r>
    <w:r>
      <w:rPr>
        <w:rStyle w:val="10"/>
        <w:rFonts w:ascii="宋体" w:hAnsi="宋体" w:eastAsia="宋体" w:cs="宋体"/>
        <w:sz w:val="28"/>
        <w:szCs w:val="28"/>
      </w:rPr>
      <w:instrText xml:space="preserve"> PAGE </w:instrText>
    </w:r>
    <w:r>
      <w:rPr>
        <w:rStyle w:val="10"/>
        <w:rFonts w:ascii="宋体" w:hAnsi="宋体" w:eastAsia="宋体" w:cs="宋体"/>
        <w:sz w:val="28"/>
        <w:szCs w:val="28"/>
      </w:rPr>
      <w:fldChar w:fldCharType="separate"/>
    </w:r>
    <w:r>
      <w:rPr>
        <w:rStyle w:val="10"/>
        <w:rFonts w:ascii="宋体" w:hAnsi="宋体" w:eastAsia="宋体" w:cs="宋体"/>
        <w:sz w:val="28"/>
        <w:szCs w:val="28"/>
      </w:rPr>
      <w:t>- 10 -</w:t>
    </w:r>
    <w:r>
      <w:rPr>
        <w:rStyle w:val="10"/>
        <w:rFonts w:ascii="宋体" w:hAnsi="宋体" w:eastAsia="宋体" w:cs="宋体"/>
        <w:sz w:val="28"/>
        <w:szCs w:val="28"/>
      </w:rPr>
      <w:fldChar w:fldCharType="end"/>
    </w:r>
    <w:r>
      <w:rPr>
        <w:rStyle w:val="10"/>
        <w:rFonts w:ascii="宋体" w:hAnsi="宋体" w:eastAsia="宋体" w:cs="宋体"/>
        <w:sz w:val="28"/>
        <w:szCs w:val="28"/>
      </w:rPr>
      <w:t xml:space="preserve"> </w:t>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22AB"/>
    <w:rsid w:val="00003BF7"/>
    <w:rsid w:val="00005719"/>
    <w:rsid w:val="00007F37"/>
    <w:rsid w:val="00010976"/>
    <w:rsid w:val="00013706"/>
    <w:rsid w:val="0002118A"/>
    <w:rsid w:val="00021887"/>
    <w:rsid w:val="00022242"/>
    <w:rsid w:val="0002248F"/>
    <w:rsid w:val="00040E57"/>
    <w:rsid w:val="00044097"/>
    <w:rsid w:val="00050E1F"/>
    <w:rsid w:val="00054305"/>
    <w:rsid w:val="00057833"/>
    <w:rsid w:val="00060839"/>
    <w:rsid w:val="00060E28"/>
    <w:rsid w:val="000635BD"/>
    <w:rsid w:val="00065838"/>
    <w:rsid w:val="00080DEB"/>
    <w:rsid w:val="00083BBE"/>
    <w:rsid w:val="00083EBE"/>
    <w:rsid w:val="000909CB"/>
    <w:rsid w:val="00091B9F"/>
    <w:rsid w:val="00092C72"/>
    <w:rsid w:val="000972DD"/>
    <w:rsid w:val="000A2EE8"/>
    <w:rsid w:val="000A497E"/>
    <w:rsid w:val="000A7773"/>
    <w:rsid w:val="000A7B94"/>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C38"/>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40D7"/>
    <w:rsid w:val="001B5DF3"/>
    <w:rsid w:val="001C25B9"/>
    <w:rsid w:val="001C26F2"/>
    <w:rsid w:val="001C38EB"/>
    <w:rsid w:val="001C79E0"/>
    <w:rsid w:val="001D640A"/>
    <w:rsid w:val="001D65CB"/>
    <w:rsid w:val="001E197A"/>
    <w:rsid w:val="001E2962"/>
    <w:rsid w:val="001F00D7"/>
    <w:rsid w:val="001F0E21"/>
    <w:rsid w:val="001F2FE9"/>
    <w:rsid w:val="001F3267"/>
    <w:rsid w:val="001F6948"/>
    <w:rsid w:val="0020033F"/>
    <w:rsid w:val="00200C57"/>
    <w:rsid w:val="00207AD5"/>
    <w:rsid w:val="0021204D"/>
    <w:rsid w:val="002127E3"/>
    <w:rsid w:val="002146E7"/>
    <w:rsid w:val="00216FD0"/>
    <w:rsid w:val="00226DF0"/>
    <w:rsid w:val="00231C2E"/>
    <w:rsid w:val="00232AD9"/>
    <w:rsid w:val="00241293"/>
    <w:rsid w:val="00243F2B"/>
    <w:rsid w:val="00245135"/>
    <w:rsid w:val="002453A6"/>
    <w:rsid w:val="00247520"/>
    <w:rsid w:val="00251FC8"/>
    <w:rsid w:val="00256471"/>
    <w:rsid w:val="00257943"/>
    <w:rsid w:val="002608FE"/>
    <w:rsid w:val="002654C4"/>
    <w:rsid w:val="00271D59"/>
    <w:rsid w:val="0027418F"/>
    <w:rsid w:val="002750E8"/>
    <w:rsid w:val="00282470"/>
    <w:rsid w:val="00285EAA"/>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63F"/>
    <w:rsid w:val="00366A76"/>
    <w:rsid w:val="003700A6"/>
    <w:rsid w:val="00371AB7"/>
    <w:rsid w:val="00376020"/>
    <w:rsid w:val="00376E66"/>
    <w:rsid w:val="003818F3"/>
    <w:rsid w:val="0038402D"/>
    <w:rsid w:val="00386083"/>
    <w:rsid w:val="003913BA"/>
    <w:rsid w:val="003929A0"/>
    <w:rsid w:val="00394E80"/>
    <w:rsid w:val="00396057"/>
    <w:rsid w:val="00396C58"/>
    <w:rsid w:val="003A03AB"/>
    <w:rsid w:val="003A251D"/>
    <w:rsid w:val="003A4403"/>
    <w:rsid w:val="003B29BD"/>
    <w:rsid w:val="003B4AA1"/>
    <w:rsid w:val="003B68E6"/>
    <w:rsid w:val="003B6E53"/>
    <w:rsid w:val="003C1BC6"/>
    <w:rsid w:val="003C5A61"/>
    <w:rsid w:val="003D0FEC"/>
    <w:rsid w:val="003D124B"/>
    <w:rsid w:val="003D161B"/>
    <w:rsid w:val="003D3AA4"/>
    <w:rsid w:val="003D6D30"/>
    <w:rsid w:val="003E4A05"/>
    <w:rsid w:val="003E5F5C"/>
    <w:rsid w:val="003E7D9E"/>
    <w:rsid w:val="003F37E0"/>
    <w:rsid w:val="00401A23"/>
    <w:rsid w:val="00401CA2"/>
    <w:rsid w:val="00405E6D"/>
    <w:rsid w:val="0040738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094F"/>
    <w:rsid w:val="004B401D"/>
    <w:rsid w:val="004B58A1"/>
    <w:rsid w:val="004B7BB8"/>
    <w:rsid w:val="004C351C"/>
    <w:rsid w:val="004C5BB4"/>
    <w:rsid w:val="004C72D4"/>
    <w:rsid w:val="004C7372"/>
    <w:rsid w:val="004D508F"/>
    <w:rsid w:val="004D5F0E"/>
    <w:rsid w:val="004D6779"/>
    <w:rsid w:val="004D6793"/>
    <w:rsid w:val="004D7DE9"/>
    <w:rsid w:val="004E15B7"/>
    <w:rsid w:val="004E5557"/>
    <w:rsid w:val="004E678C"/>
    <w:rsid w:val="004F067D"/>
    <w:rsid w:val="004F0DBA"/>
    <w:rsid w:val="004F33DA"/>
    <w:rsid w:val="004F77C5"/>
    <w:rsid w:val="00501302"/>
    <w:rsid w:val="00507F68"/>
    <w:rsid w:val="00523B8A"/>
    <w:rsid w:val="00531D8D"/>
    <w:rsid w:val="00532585"/>
    <w:rsid w:val="00533FA0"/>
    <w:rsid w:val="0054006F"/>
    <w:rsid w:val="00540C10"/>
    <w:rsid w:val="005425BC"/>
    <w:rsid w:val="005464FA"/>
    <w:rsid w:val="00560650"/>
    <w:rsid w:val="00560A15"/>
    <w:rsid w:val="00567FB5"/>
    <w:rsid w:val="0057565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1A38"/>
    <w:rsid w:val="0065497B"/>
    <w:rsid w:val="00654E41"/>
    <w:rsid w:val="0067149A"/>
    <w:rsid w:val="00673BEB"/>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15C0"/>
    <w:rsid w:val="006F5BD8"/>
    <w:rsid w:val="007015B6"/>
    <w:rsid w:val="00701EC2"/>
    <w:rsid w:val="007021BE"/>
    <w:rsid w:val="00706C32"/>
    <w:rsid w:val="007106B4"/>
    <w:rsid w:val="00711C00"/>
    <w:rsid w:val="007214A9"/>
    <w:rsid w:val="007214DF"/>
    <w:rsid w:val="007220B1"/>
    <w:rsid w:val="007302C1"/>
    <w:rsid w:val="0073120F"/>
    <w:rsid w:val="007314F0"/>
    <w:rsid w:val="0074240E"/>
    <w:rsid w:val="00742FA1"/>
    <w:rsid w:val="007476BA"/>
    <w:rsid w:val="00750798"/>
    <w:rsid w:val="00752B1B"/>
    <w:rsid w:val="00752BCF"/>
    <w:rsid w:val="00755755"/>
    <w:rsid w:val="0076538D"/>
    <w:rsid w:val="007714E5"/>
    <w:rsid w:val="00773D5E"/>
    <w:rsid w:val="00776FAF"/>
    <w:rsid w:val="00777229"/>
    <w:rsid w:val="007775E8"/>
    <w:rsid w:val="0078072D"/>
    <w:rsid w:val="007861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35D0"/>
    <w:rsid w:val="008B4607"/>
    <w:rsid w:val="008C030F"/>
    <w:rsid w:val="008C3836"/>
    <w:rsid w:val="008E28BD"/>
    <w:rsid w:val="008E4EAC"/>
    <w:rsid w:val="008E5D6E"/>
    <w:rsid w:val="008F0F07"/>
    <w:rsid w:val="008F69B2"/>
    <w:rsid w:val="00910E73"/>
    <w:rsid w:val="009110DE"/>
    <w:rsid w:val="00913B22"/>
    <w:rsid w:val="00914BA4"/>
    <w:rsid w:val="00920C0A"/>
    <w:rsid w:val="00920E2A"/>
    <w:rsid w:val="009214D7"/>
    <w:rsid w:val="00922EA0"/>
    <w:rsid w:val="009240D6"/>
    <w:rsid w:val="00924A08"/>
    <w:rsid w:val="009256ED"/>
    <w:rsid w:val="00927052"/>
    <w:rsid w:val="00927281"/>
    <w:rsid w:val="00936578"/>
    <w:rsid w:val="00940134"/>
    <w:rsid w:val="00943A3E"/>
    <w:rsid w:val="00944CCC"/>
    <w:rsid w:val="00945430"/>
    <w:rsid w:val="00945E7F"/>
    <w:rsid w:val="00947403"/>
    <w:rsid w:val="0095057C"/>
    <w:rsid w:val="009543BA"/>
    <w:rsid w:val="00954FB4"/>
    <w:rsid w:val="00955DE3"/>
    <w:rsid w:val="00960925"/>
    <w:rsid w:val="0096597A"/>
    <w:rsid w:val="00970AB3"/>
    <w:rsid w:val="00977CD8"/>
    <w:rsid w:val="009828AC"/>
    <w:rsid w:val="00982C13"/>
    <w:rsid w:val="00985DF4"/>
    <w:rsid w:val="00987E45"/>
    <w:rsid w:val="00990F80"/>
    <w:rsid w:val="00991B61"/>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060E6"/>
    <w:rsid w:val="00A11A5F"/>
    <w:rsid w:val="00A11F40"/>
    <w:rsid w:val="00A13D3F"/>
    <w:rsid w:val="00A2355E"/>
    <w:rsid w:val="00A24E67"/>
    <w:rsid w:val="00A273DB"/>
    <w:rsid w:val="00A3080D"/>
    <w:rsid w:val="00A30EB7"/>
    <w:rsid w:val="00A31D7F"/>
    <w:rsid w:val="00A338C6"/>
    <w:rsid w:val="00A408E3"/>
    <w:rsid w:val="00A425CE"/>
    <w:rsid w:val="00A44660"/>
    <w:rsid w:val="00A55F77"/>
    <w:rsid w:val="00A56F64"/>
    <w:rsid w:val="00A71045"/>
    <w:rsid w:val="00A72457"/>
    <w:rsid w:val="00A86966"/>
    <w:rsid w:val="00A872D8"/>
    <w:rsid w:val="00A912CC"/>
    <w:rsid w:val="00A93A1F"/>
    <w:rsid w:val="00A970D1"/>
    <w:rsid w:val="00AA57AE"/>
    <w:rsid w:val="00AB0AFB"/>
    <w:rsid w:val="00AB6EC9"/>
    <w:rsid w:val="00AC002C"/>
    <w:rsid w:val="00AC1DD9"/>
    <w:rsid w:val="00AC4218"/>
    <w:rsid w:val="00AD3489"/>
    <w:rsid w:val="00AD3E2D"/>
    <w:rsid w:val="00AD51DD"/>
    <w:rsid w:val="00AE5C1B"/>
    <w:rsid w:val="00AE79D8"/>
    <w:rsid w:val="00AE7BAC"/>
    <w:rsid w:val="00AF09FB"/>
    <w:rsid w:val="00AF6DC5"/>
    <w:rsid w:val="00AF6DE9"/>
    <w:rsid w:val="00B00C16"/>
    <w:rsid w:val="00B01105"/>
    <w:rsid w:val="00B03B3E"/>
    <w:rsid w:val="00B046A4"/>
    <w:rsid w:val="00B06382"/>
    <w:rsid w:val="00B0733F"/>
    <w:rsid w:val="00B10701"/>
    <w:rsid w:val="00B146E7"/>
    <w:rsid w:val="00B16598"/>
    <w:rsid w:val="00B206B5"/>
    <w:rsid w:val="00B30B86"/>
    <w:rsid w:val="00B32A4F"/>
    <w:rsid w:val="00B358E2"/>
    <w:rsid w:val="00B40CB6"/>
    <w:rsid w:val="00B50AD6"/>
    <w:rsid w:val="00B51AB3"/>
    <w:rsid w:val="00B5337C"/>
    <w:rsid w:val="00B5340F"/>
    <w:rsid w:val="00B611F7"/>
    <w:rsid w:val="00B6765D"/>
    <w:rsid w:val="00B7054F"/>
    <w:rsid w:val="00B70B9C"/>
    <w:rsid w:val="00B717C5"/>
    <w:rsid w:val="00B75463"/>
    <w:rsid w:val="00B90F21"/>
    <w:rsid w:val="00B93445"/>
    <w:rsid w:val="00B94F7E"/>
    <w:rsid w:val="00B95F83"/>
    <w:rsid w:val="00B965C5"/>
    <w:rsid w:val="00B96E34"/>
    <w:rsid w:val="00B9729A"/>
    <w:rsid w:val="00BB0177"/>
    <w:rsid w:val="00BB3A31"/>
    <w:rsid w:val="00BC1C2F"/>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31FB3"/>
    <w:rsid w:val="00C33FF6"/>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E6C6D"/>
    <w:rsid w:val="00CF226A"/>
    <w:rsid w:val="00CF3263"/>
    <w:rsid w:val="00CF444E"/>
    <w:rsid w:val="00D001BF"/>
    <w:rsid w:val="00D07FED"/>
    <w:rsid w:val="00D1171B"/>
    <w:rsid w:val="00D1499A"/>
    <w:rsid w:val="00D16172"/>
    <w:rsid w:val="00D20653"/>
    <w:rsid w:val="00D25C67"/>
    <w:rsid w:val="00D30DDB"/>
    <w:rsid w:val="00D334A9"/>
    <w:rsid w:val="00D36199"/>
    <w:rsid w:val="00D403F1"/>
    <w:rsid w:val="00D43678"/>
    <w:rsid w:val="00D51F2C"/>
    <w:rsid w:val="00D5247F"/>
    <w:rsid w:val="00D528F6"/>
    <w:rsid w:val="00D6631A"/>
    <w:rsid w:val="00D670F7"/>
    <w:rsid w:val="00D7409B"/>
    <w:rsid w:val="00D7746E"/>
    <w:rsid w:val="00D819E7"/>
    <w:rsid w:val="00D856FC"/>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2837"/>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52F5"/>
    <w:rsid w:val="00F1625A"/>
    <w:rsid w:val="00F17C93"/>
    <w:rsid w:val="00F427C4"/>
    <w:rsid w:val="00F4438C"/>
    <w:rsid w:val="00F50AA3"/>
    <w:rsid w:val="00F50BA2"/>
    <w:rsid w:val="00F559E0"/>
    <w:rsid w:val="00F5664D"/>
    <w:rsid w:val="00F6771B"/>
    <w:rsid w:val="00F703C3"/>
    <w:rsid w:val="00F80799"/>
    <w:rsid w:val="00F81776"/>
    <w:rsid w:val="00F835AD"/>
    <w:rsid w:val="00F844FD"/>
    <w:rsid w:val="00F869A3"/>
    <w:rsid w:val="00F86FB3"/>
    <w:rsid w:val="00F97BF1"/>
    <w:rsid w:val="00FA29D8"/>
    <w:rsid w:val="00FA2B2D"/>
    <w:rsid w:val="00FA5F5D"/>
    <w:rsid w:val="00FB0BA6"/>
    <w:rsid w:val="00FC20CC"/>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670D51"/>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8E73EC0"/>
    <w:rsid w:val="29680352"/>
    <w:rsid w:val="2A020F75"/>
    <w:rsid w:val="2AEC0B36"/>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semiHidden/>
    <w:uiPriority w:val="99"/>
    <w:pPr>
      <w:jc w:val="left"/>
    </w:pPr>
  </w:style>
  <w:style w:type="paragraph" w:styleId="3">
    <w:name w:val="Balloon Text"/>
    <w:basedOn w:val="1"/>
    <w:link w:val="13"/>
    <w:semiHidden/>
    <w:uiPriority w:val="99"/>
    <w:rPr>
      <w:sz w:val="18"/>
      <w:szCs w:val="18"/>
    </w:rPr>
  </w:style>
  <w:style w:type="paragraph" w:styleId="4">
    <w:name w:val="footer"/>
    <w:basedOn w:val="1"/>
    <w:link w:val="14"/>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qFormat/>
    <w:uiPriority w:val="99"/>
    <w:rPr>
      <w:b/>
      <w:bCs/>
    </w:rPr>
  </w:style>
  <w:style w:type="character" w:styleId="9">
    <w:name w:val="Strong"/>
    <w:qFormat/>
    <w:locked/>
    <w:uiPriority w:val="0"/>
    <w:rPr>
      <w:rFonts w:cs="Times New Roman"/>
      <w:b/>
      <w:bCs/>
    </w:rPr>
  </w:style>
  <w:style w:type="character" w:styleId="10">
    <w:name w:val="page number"/>
    <w:qFormat/>
    <w:uiPriority w:val="99"/>
    <w:rPr>
      <w:rFonts w:cs="Times New Roman"/>
    </w:rPr>
  </w:style>
  <w:style w:type="character" w:styleId="11">
    <w:name w:val="annotation reference"/>
    <w:semiHidden/>
    <w:qFormat/>
    <w:uiPriority w:val="99"/>
    <w:rPr>
      <w:rFonts w:cs="Times New Roman"/>
      <w:sz w:val="21"/>
      <w:szCs w:val="21"/>
    </w:rPr>
  </w:style>
  <w:style w:type="character" w:customStyle="1" w:styleId="12">
    <w:name w:val="批注文字 Char"/>
    <w:link w:val="2"/>
    <w:semiHidden/>
    <w:qFormat/>
    <w:locked/>
    <w:uiPriority w:val="99"/>
    <w:rPr>
      <w:rFonts w:ascii="Times New Roman" w:hAnsi="Times New Roman" w:eastAsia="宋体" w:cs="Times New Roman"/>
      <w:sz w:val="24"/>
      <w:szCs w:val="24"/>
    </w:rPr>
  </w:style>
  <w:style w:type="character" w:customStyle="1" w:styleId="13">
    <w:name w:val="批注框文本 Char"/>
    <w:link w:val="3"/>
    <w:semiHidden/>
    <w:locked/>
    <w:uiPriority w:val="99"/>
    <w:rPr>
      <w:rFonts w:ascii="Times New Roman" w:hAnsi="Times New Roman" w:eastAsia="宋体" w:cs="Times New Roman"/>
      <w:sz w:val="18"/>
      <w:szCs w:val="18"/>
    </w:rPr>
  </w:style>
  <w:style w:type="character" w:customStyle="1" w:styleId="14">
    <w:name w:val="页脚 Char"/>
    <w:link w:val="4"/>
    <w:locked/>
    <w:uiPriority w:val="99"/>
    <w:rPr>
      <w:rFonts w:ascii="Times New Roman" w:hAnsi="Times New Roman" w:eastAsia="黑体" w:cs="Times New Roman"/>
      <w:snapToGrid w:val="0"/>
      <w:kern w:val="0"/>
      <w:sz w:val="18"/>
      <w:szCs w:val="18"/>
    </w:rPr>
  </w:style>
  <w:style w:type="character" w:customStyle="1" w:styleId="15">
    <w:name w:val="页眉 Char"/>
    <w:link w:val="5"/>
    <w:qFormat/>
    <w:locked/>
    <w:uiPriority w:val="99"/>
    <w:rPr>
      <w:rFonts w:ascii="Times New Roman" w:hAnsi="Times New Roman" w:eastAsia="宋体" w:cs="Times New Roman"/>
      <w:sz w:val="18"/>
      <w:szCs w:val="18"/>
    </w:rPr>
  </w:style>
  <w:style w:type="character" w:customStyle="1" w:styleId="16">
    <w:name w:val="批注主题 Char"/>
    <w:link w:val="6"/>
    <w:semiHidden/>
    <w:locked/>
    <w:uiPriority w:val="99"/>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14</Pages>
  <Words>1005</Words>
  <Characters>5729</Characters>
  <Lines>47</Lines>
  <Paragraphs>13</Paragraphs>
  <TotalTime>5</TotalTime>
  <ScaleCrop>false</ScaleCrop>
  <LinksUpToDate>false</LinksUpToDate>
  <CharactersWithSpaces>6721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2025-02-12T04:33:22Z</dcterms:modified>
  <cp:revision>842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