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年度新疆喀什地区叶城县价格监督检查局部门决算公开说明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价格监督检查、价格监测、价格认证等业务工作。</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从决算单位构成看，新疆喀什地区叶城县价格监督检查局部门决算包括：新疆喀什地区叶城县价格监督检查局部门本级决算、所属单位决算等。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纳入新疆喀什地区叶城县价格监督检查局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新疆喀什地区叶城县价格监督检查局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36.28</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4.32</w:t>
      </w:r>
      <w:r>
        <w:rPr>
          <w:rFonts w:hint="eastAsia" w:ascii="仿宋_GB2312" w:eastAsia="仿宋_GB2312" w:cs="仿宋_GB2312"/>
          <w:sz w:val="32"/>
          <w:szCs w:val="32"/>
        </w:rPr>
        <w:t>万元，下降</w:t>
      </w:r>
      <w:r>
        <w:rPr>
          <w:rFonts w:ascii="仿宋_GB2312" w:eastAsia="仿宋_GB2312" w:cs="仿宋_GB2312"/>
          <w:sz w:val="32"/>
          <w:szCs w:val="32"/>
        </w:rPr>
        <w:t>10.64%</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本年度无项目资金；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36.28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4.32</w:t>
      </w:r>
      <w:r>
        <w:rPr>
          <w:rFonts w:hint="eastAsia" w:ascii="仿宋_GB2312" w:eastAsia="仿宋_GB2312" w:cs="仿宋_GB2312"/>
          <w:sz w:val="32"/>
          <w:szCs w:val="32"/>
        </w:rPr>
        <w:t>万元，下降</w:t>
      </w:r>
      <w:r>
        <w:rPr>
          <w:rFonts w:ascii="仿宋_GB2312" w:eastAsia="仿宋_GB2312" w:cs="仿宋_GB2312"/>
          <w:sz w:val="32"/>
          <w:szCs w:val="32"/>
        </w:rPr>
        <w:t>10.64%</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本年度无项目资金；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，增加的的主要原因：本单位无结余资金。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36.28</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36.28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33.71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36.28</w:t>
      </w:r>
      <w:r>
        <w:rPr>
          <w:rFonts w:hint="eastAsia" w:ascii="仿宋_GB2312" w:eastAsia="仿宋_GB2312" w:cs="仿宋_GB2312"/>
          <w:sz w:val="32"/>
          <w:szCs w:val="32"/>
        </w:rPr>
        <w:t>万元，预决算差异率</w:t>
      </w:r>
      <w:r>
        <w:rPr>
          <w:rFonts w:ascii="仿宋_GB2312" w:eastAsia="仿宋_GB2312" w:cs="仿宋_GB2312"/>
          <w:sz w:val="32"/>
          <w:szCs w:val="32"/>
        </w:rPr>
        <w:t>7.62%</w:t>
      </w:r>
      <w:r>
        <w:rPr>
          <w:rFonts w:hint="eastAsia" w:ascii="仿宋_GB2312" w:eastAsia="仿宋_GB2312" w:cs="仿宋_GB2312"/>
          <w:sz w:val="32"/>
          <w:szCs w:val="32"/>
        </w:rPr>
        <w:t>，差异主要原因是本年度无项目资金。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36.28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36.28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33.71</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36.28</w:t>
      </w:r>
      <w:r>
        <w:rPr>
          <w:rFonts w:hint="eastAsia" w:ascii="仿宋_GB2312" w:eastAsia="仿宋_GB2312" w:cs="仿宋_GB2312"/>
          <w:sz w:val="32"/>
          <w:szCs w:val="32"/>
        </w:rPr>
        <w:t>万元，预决算差异率</w:t>
      </w:r>
      <w:r>
        <w:rPr>
          <w:rFonts w:ascii="仿宋_GB2312" w:eastAsia="仿宋_GB2312" w:cs="仿宋_GB2312"/>
          <w:sz w:val="32"/>
          <w:szCs w:val="32"/>
        </w:rPr>
        <w:t>7.62%</w:t>
      </w:r>
      <w:r>
        <w:rPr>
          <w:rFonts w:hint="eastAsia" w:ascii="仿宋_GB2312" w:eastAsia="仿宋_GB2312" w:cs="仿宋_GB2312"/>
          <w:sz w:val="32"/>
          <w:szCs w:val="32"/>
        </w:rPr>
        <w:t>，差异主要原因是本年度无项目资金。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36.28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4.32</w:t>
      </w:r>
      <w:r>
        <w:rPr>
          <w:rFonts w:hint="eastAsia" w:ascii="仿宋_GB2312" w:eastAsia="仿宋_GB2312" w:cs="仿宋_GB2312"/>
          <w:sz w:val="32"/>
          <w:szCs w:val="32"/>
        </w:rPr>
        <w:t>万元，下降</w:t>
      </w:r>
      <w:r>
        <w:rPr>
          <w:rFonts w:ascii="仿宋_GB2312" w:eastAsia="仿宋_GB2312" w:cs="仿宋_GB2312"/>
          <w:sz w:val="32"/>
          <w:szCs w:val="32"/>
        </w:rPr>
        <w:t>10.64%</w:t>
      </w:r>
      <w:r>
        <w:rPr>
          <w:rFonts w:hint="eastAsia" w:ascii="仿宋_GB2312" w:eastAsia="仿宋_GB2312" w:cs="仿宋_GB2312"/>
          <w:sz w:val="32"/>
          <w:szCs w:val="32"/>
        </w:rPr>
        <w:t>，减少的主要原因是：本年度无项目资金。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36.28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4.32</w:t>
      </w:r>
      <w:r>
        <w:rPr>
          <w:rFonts w:hint="eastAsia" w:ascii="仿宋_GB2312" w:eastAsia="仿宋_GB2312" w:cs="仿宋_GB2312"/>
          <w:sz w:val="32"/>
          <w:szCs w:val="32"/>
        </w:rPr>
        <w:t>万元，下降</w:t>
      </w:r>
      <w:r>
        <w:rPr>
          <w:rFonts w:ascii="仿宋_GB2312" w:eastAsia="仿宋_GB2312" w:cs="仿宋_GB2312"/>
          <w:sz w:val="32"/>
          <w:szCs w:val="32"/>
        </w:rPr>
        <w:t>10.64%</w:t>
      </w:r>
      <w:r>
        <w:rPr>
          <w:rFonts w:hint="eastAsia" w:ascii="仿宋_GB2312" w:eastAsia="仿宋_GB2312" w:cs="仿宋_GB2312"/>
          <w:sz w:val="32"/>
          <w:szCs w:val="32"/>
        </w:rPr>
        <w:t>，减少的主要原因是：本年度无项目资金。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36.28</w:t>
      </w:r>
      <w:r>
        <w:rPr>
          <w:rFonts w:hint="eastAsia" w:ascii="仿宋_GB2312" w:eastAsia="仿宋_GB2312" w:cs="仿宋_GB2312"/>
          <w:color w:val="000000"/>
          <w:sz w:val="32"/>
          <w:szCs w:val="32"/>
        </w:rPr>
        <w:t>万元，项目支出</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，增加的主要原因是：本单位无财政拨款结转结余资金。</w:t>
      </w:r>
      <w:bookmarkEnd w:id="29"/>
    </w:p>
    <w:p>
      <w:pPr>
        <w:spacing w:line="540" w:lineRule="exact"/>
        <w:ind w:firstLine="480" w:firstLineChars="150"/>
        <w:rPr>
          <w:rFonts w:ascii="仿宋_GB2312" w:eastAsia="仿宋_GB2312" w:cs="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33.71</w:t>
      </w:r>
      <w:r>
        <w:rPr>
          <w:rFonts w:hint="eastAsia" w:ascii="仿宋_GB2312" w:eastAsia="仿宋_GB2312" w:cs="仿宋_GB2312"/>
          <w:color w:val="000000"/>
          <w:sz w:val="32"/>
          <w:szCs w:val="32"/>
        </w:rPr>
        <w:t>万元，决算数</w:t>
      </w:r>
      <w:r>
        <w:rPr>
          <w:rFonts w:ascii="仿宋_GB2312" w:eastAsia="仿宋_GB2312" w:cs="仿宋_GB2312"/>
          <w:sz w:val="32"/>
          <w:szCs w:val="32"/>
        </w:rPr>
        <w:t>36.28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7.62%</w:t>
      </w:r>
      <w:r>
        <w:rPr>
          <w:rFonts w:hint="eastAsia" w:ascii="仿宋_GB2312" w:eastAsia="仿宋_GB2312" w:cs="仿宋_GB2312"/>
          <w:color w:val="000000"/>
          <w:sz w:val="32"/>
          <w:szCs w:val="32"/>
        </w:rPr>
        <w:t>，差异主要原因是基本工资调标，新艰边补发。</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33.71</w:t>
      </w:r>
      <w:r>
        <w:rPr>
          <w:rFonts w:hint="eastAsia" w:ascii="仿宋_GB2312" w:eastAsia="仿宋_GB2312" w:cs="仿宋_GB2312"/>
          <w:color w:val="000000"/>
          <w:sz w:val="32"/>
          <w:szCs w:val="32"/>
        </w:rPr>
        <w:t>万元，决算数</w:t>
      </w:r>
      <w:r>
        <w:rPr>
          <w:rFonts w:ascii="仿宋_GB2312" w:eastAsia="仿宋_GB2312" w:cs="仿宋_GB2312"/>
          <w:sz w:val="32"/>
          <w:szCs w:val="32"/>
        </w:rPr>
        <w:t>36.28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7.62%</w:t>
      </w:r>
      <w:r>
        <w:rPr>
          <w:rFonts w:hint="eastAsia" w:ascii="仿宋_GB2312" w:eastAsia="仿宋_GB2312" w:cs="仿宋_GB2312"/>
          <w:color w:val="000000"/>
          <w:sz w:val="32"/>
          <w:szCs w:val="32"/>
        </w:rPr>
        <w:t>，</w:t>
      </w:r>
      <w:bookmarkEnd w:id="33"/>
      <w:r>
        <w:rPr>
          <w:rFonts w:hint="eastAsia" w:ascii="仿宋_GB2312" w:eastAsia="仿宋_GB2312" w:cs="仿宋_GB2312"/>
          <w:color w:val="000000"/>
          <w:sz w:val="32"/>
          <w:szCs w:val="32"/>
        </w:rPr>
        <w:t>差异主要原因是基本工资调标，新艰边补发。</w:t>
      </w:r>
    </w:p>
    <w:p>
      <w:pPr>
        <w:spacing w:line="540" w:lineRule="exact"/>
        <w:ind w:firstLine="482" w:firstLineChars="15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36.28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4.32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10.64%</w:t>
      </w:r>
      <w:r>
        <w:rPr>
          <w:rFonts w:hint="eastAsia" w:ascii="仿宋_GB2312" w:eastAsia="仿宋_GB2312" w:cs="仿宋_GB2312"/>
          <w:color w:val="000000"/>
          <w:sz w:val="32"/>
          <w:szCs w:val="32"/>
        </w:rPr>
        <w:t>，减少的主要原因是：本年度无项目资金。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36.28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4.32</w:t>
      </w:r>
      <w:r>
        <w:rPr>
          <w:rFonts w:hint="eastAsia" w:ascii="仿宋_GB2312" w:eastAsia="仿宋_GB2312" w:cs="仿宋_GB2312"/>
          <w:sz w:val="32"/>
          <w:szCs w:val="32"/>
        </w:rPr>
        <w:t>万元，下降</w:t>
      </w:r>
      <w:r>
        <w:rPr>
          <w:rFonts w:ascii="仿宋_GB2312" w:eastAsia="仿宋_GB2312" w:cs="仿宋_GB2312"/>
          <w:sz w:val="32"/>
          <w:szCs w:val="32"/>
        </w:rPr>
        <w:t>10.64%</w:t>
      </w:r>
      <w:r>
        <w:rPr>
          <w:rFonts w:hint="eastAsia" w:ascii="仿宋_GB2312" w:eastAsia="仿宋_GB2312" w:cs="仿宋_GB2312"/>
          <w:sz w:val="32"/>
          <w:szCs w:val="32"/>
        </w:rPr>
        <w:t>，减少的主要原因是：本年度无项目资金。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1.95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31.18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3.16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31.91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1.32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3.06</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33.71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36.28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7.62%</w:t>
      </w:r>
      <w:r>
        <w:rPr>
          <w:rFonts w:hint="eastAsia" w:ascii="仿宋_GB2312" w:eastAsia="仿宋_GB2312" w:cs="仿宋_GB2312"/>
          <w:color w:val="000000"/>
          <w:sz w:val="32"/>
          <w:szCs w:val="32"/>
        </w:rPr>
        <w:t>，差异主要原因是本年度无项目资金。</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33.71</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36.28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7.62%</w:t>
      </w:r>
      <w:r>
        <w:rPr>
          <w:rFonts w:hint="eastAsia" w:ascii="仿宋_GB2312" w:eastAsia="仿宋_GB2312" w:cs="仿宋_GB2312"/>
          <w:color w:val="000000"/>
          <w:sz w:val="32"/>
          <w:szCs w:val="32"/>
        </w:rPr>
        <w:t>，差异主要原因是本年度无项目资金。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w:t>
      </w:r>
      <w:r>
        <w:rPr>
          <w:rFonts w:hint="eastAsia" w:ascii="仿宋_GB2312" w:eastAsia="仿宋_GB2312" w:cs="仿宋_GB2312"/>
          <w:sz w:val="32"/>
          <w:szCs w:val="32"/>
        </w:rPr>
        <w:t>无此支出。</w:t>
      </w:r>
      <w:r>
        <w:rPr>
          <w:rFonts w:hint="eastAsia" w:ascii="仿宋_GB2312" w:eastAsia="仿宋_GB2312" w:cs="仿宋_GB2312"/>
          <w:color w:val="000000"/>
          <w:sz w:val="32"/>
          <w:szCs w:val="32"/>
        </w:rPr>
        <w:t>按经济分类科目（按类级科目公开），</w:t>
      </w:r>
      <w:r>
        <w:rPr>
          <w:rFonts w:hint="eastAsia" w:ascii="仿宋_GB2312" w:eastAsia="仿宋_GB2312" w:cs="仿宋_GB2312"/>
          <w:sz w:val="32"/>
          <w:szCs w:val="32"/>
        </w:rPr>
        <w:t>无此支出。</w:t>
      </w:r>
    </w:p>
    <w:p>
      <w:pPr>
        <w:spacing w:line="540" w:lineRule="exact"/>
        <w:ind w:firstLine="640" w:firstLineChars="200"/>
        <w:rPr>
          <w:rFonts w:ascii="仿宋_GB2312" w:eastAsia="仿宋_GB2312" w:cs="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51"/>
    </w:p>
    <w:p>
      <w:pPr>
        <w:spacing w:line="54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三、部门结转结余情况</w:t>
      </w:r>
      <w:bookmarkStart w:id="52" w:name="OLE_LINK25"/>
      <w:bookmarkStart w:id="53" w:name="OLE_LINK26"/>
    </w:p>
    <w:p>
      <w:pPr>
        <w:spacing w:line="54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0.7</w:t>
      </w:r>
      <w:r>
        <w:rPr>
          <w:rFonts w:hint="eastAsia" w:ascii="仿宋_GB2312" w:eastAsia="仿宋_GB2312" w:cs="仿宋_GB2312"/>
          <w:sz w:val="32"/>
          <w:szCs w:val="32"/>
        </w:rPr>
        <w:t>万元，下降</w:t>
      </w:r>
      <w:r>
        <w:rPr>
          <w:rFonts w:ascii="仿宋_GB2312" w:eastAsia="仿宋_GB2312" w:cs="仿宋_GB2312"/>
          <w:sz w:val="32"/>
          <w:szCs w:val="32"/>
        </w:rPr>
        <w:t>46.67%</w:t>
      </w:r>
      <w:r>
        <w:rPr>
          <w:rFonts w:hint="eastAsia" w:ascii="仿宋_GB2312" w:eastAsia="仿宋_GB2312" w:cs="仿宋_GB2312"/>
          <w:sz w:val="32"/>
          <w:szCs w:val="32"/>
        </w:rPr>
        <w:t>，减少的主要原因是：本单位执行中央、自治区和地区的相关规定。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，比上年增加0万元，增长0%，增加的主要原因是：本单位无出国培训等安排；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0.7</w:t>
      </w:r>
      <w:r>
        <w:rPr>
          <w:rFonts w:hint="eastAsia" w:ascii="仿宋_GB2312" w:eastAsia="仿宋_GB2312" w:cs="仿宋_GB2312"/>
          <w:sz w:val="32"/>
          <w:szCs w:val="32"/>
        </w:rPr>
        <w:t>万元，下降</w:t>
      </w:r>
      <w:r>
        <w:rPr>
          <w:rFonts w:ascii="仿宋_GB2312" w:eastAsia="仿宋_GB2312" w:cs="仿宋_GB2312"/>
          <w:sz w:val="32"/>
          <w:szCs w:val="32"/>
        </w:rPr>
        <w:t>46.67%</w:t>
      </w:r>
      <w:r>
        <w:rPr>
          <w:rFonts w:hint="eastAsia" w:ascii="仿宋_GB2312" w:eastAsia="仿宋_GB2312" w:cs="仿宋_GB2312"/>
          <w:sz w:val="32"/>
          <w:szCs w:val="32"/>
        </w:rPr>
        <w:t>，减少的主要原因是：</w:t>
      </w:r>
      <w:bookmarkEnd w:id="61"/>
      <w:bookmarkStart w:id="62" w:name="OLE_LINK32"/>
      <w:bookmarkStart w:id="63" w:name="OLE_LINK78"/>
      <w:bookmarkStart w:id="64" w:name="OLE_LINK77"/>
      <w:r>
        <w:rPr>
          <w:rFonts w:hint="eastAsia" w:ascii="仿宋_GB2312" w:eastAsia="仿宋_GB2312" w:cs="仿宋_GB2312"/>
          <w:sz w:val="32"/>
          <w:szCs w:val="32"/>
        </w:rPr>
        <w:t>本单位严把车辆管控关，严格遵守公务车辆配置标准，严禁公车私用。</w:t>
      </w:r>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新疆喀什地区叶城县价格监督检查局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0.8</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0.8</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。主要用于汽车燃油费。</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严格按制度执行</w:t>
      </w:r>
      <w:r>
        <w:rPr>
          <w:rFonts w:hint="eastAsia" w:ascii="仿宋_GB2312" w:eastAsia="仿宋_GB2312" w:cs="仿宋_GB2312"/>
          <w:color w:val="000000"/>
          <w:sz w:val="32"/>
          <w:szCs w:val="32"/>
        </w:rPr>
        <w:t>等。</w:t>
      </w:r>
      <w:bookmarkEnd w:id="78"/>
      <w:bookmarkStart w:id="79" w:name="OLE_LINK84"/>
      <w:r>
        <w:rPr>
          <w:rFonts w:hint="eastAsia" w:ascii="仿宋_GB2312" w:eastAsia="仿宋_GB2312" w:cs="仿宋_GB2312"/>
          <w:sz w:val="32"/>
          <w:szCs w:val="32"/>
        </w:rPr>
        <w:t>新疆喀什地区叶城县价格监督检查局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-40.74%</w:t>
      </w:r>
      <w:r>
        <w:rPr>
          <w:rFonts w:hint="eastAsia" w:ascii="仿宋_GB2312" w:eastAsia="仿宋_GB2312" w:cs="仿宋_GB2312"/>
          <w:color w:val="000000"/>
          <w:sz w:val="32"/>
          <w:szCs w:val="32"/>
        </w:rPr>
        <w:t>，差异主要原因是与预算数相比严格按照公务用车管理办法，无超支。</w:t>
      </w:r>
      <w:bookmarkEnd w:id="80"/>
      <w:bookmarkStart w:id="81" w:name="OLE_LINK86"/>
      <w:bookmarkStart w:id="82"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9"/>
      <w:bookmarkStart w:id="84"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-40.74%</w:t>
      </w:r>
      <w:r>
        <w:rPr>
          <w:rFonts w:hint="eastAsia" w:ascii="仿宋_GB2312" w:eastAsia="仿宋_GB2312" w:cs="仿宋_GB2312"/>
          <w:color w:val="000000"/>
          <w:sz w:val="32"/>
          <w:szCs w:val="32"/>
        </w:rPr>
        <w:t>，差异主要</w:t>
      </w:r>
      <w:bookmarkEnd w:id="85"/>
      <w:bookmarkStart w:id="86" w:name="OLE_LINK91"/>
      <w:r>
        <w:rPr>
          <w:rFonts w:hint="eastAsia" w:ascii="仿宋_GB2312" w:eastAsia="仿宋_GB2312" w:cs="仿宋_GB2312"/>
          <w:sz w:val="32"/>
          <w:szCs w:val="32"/>
        </w:rPr>
        <w:t>本单位严把车辆管控关，严格遵守公务车辆配置标准，严禁公车私用</w:t>
      </w:r>
      <w:r>
        <w:rPr>
          <w:rFonts w:hint="eastAsia" w:ascii="仿宋_GB2312" w:eastAsia="仿宋_GB2312" w:cs="仿宋_GB2312"/>
          <w:color w:val="000000"/>
          <w:sz w:val="32"/>
          <w:szCs w:val="32"/>
        </w:rPr>
        <w:t>；</w:t>
      </w:r>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年度新疆喀什地区叶城县价格监督检查局机关运行经费支出</w:t>
      </w:r>
      <w:r>
        <w:rPr>
          <w:rFonts w:ascii="仿宋_GB2312" w:eastAsia="仿宋_GB2312" w:cs="仿宋_GB2312"/>
          <w:color w:val="000000"/>
          <w:sz w:val="32"/>
          <w:szCs w:val="32"/>
        </w:rPr>
        <w:t>1.32</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0.74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35.92%</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本单位执行中央、自治区和地区的相关规定</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29.6</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年度，本部门单位预算绩效自评情况：本单位无项目，因此无预算绩效自评。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bookmarkStart w:id="92" w:name="_GoBack"/>
      <w:bookmarkEnd w:id="92"/>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08</w:t>
      </w:r>
      <w:r>
        <w:rPr>
          <w:rFonts w:hint="eastAsia" w:ascii="仿宋_GB2312" w:eastAsia="仿宋_GB2312" w:cs="仿宋_GB2312"/>
          <w:sz w:val="32"/>
          <w:szCs w:val="32"/>
        </w:rPr>
        <w:t>（项）指：物价管理。</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cs="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- 8 -</w:t>
    </w:r>
    <w:r>
      <w:rPr>
        <w:rStyle w:val="9"/>
        <w:rFonts w:ascii="宋体" w:hAnsi="宋体" w:eastAsia="宋体" w:cs="宋体"/>
        <w:sz w:val="28"/>
        <w:szCs w:val="28"/>
      </w:rPr>
      <w:fldChar w:fldCharType="end"/>
    </w:r>
    <w:r>
      <w:rPr>
        <w:rStyle w:val="9"/>
        <w:rFonts w:ascii="宋体" w:hAnsi="宋体" w:eastAsia="宋体" w:cs="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4E9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5E0A"/>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3F29"/>
    <w:rsid w:val="001D640A"/>
    <w:rsid w:val="001D65CB"/>
    <w:rsid w:val="001E197A"/>
    <w:rsid w:val="001E2962"/>
    <w:rsid w:val="001E6155"/>
    <w:rsid w:val="001F0E21"/>
    <w:rsid w:val="001F2FE9"/>
    <w:rsid w:val="001F3267"/>
    <w:rsid w:val="001F6948"/>
    <w:rsid w:val="0020033F"/>
    <w:rsid w:val="00200C57"/>
    <w:rsid w:val="00207AD5"/>
    <w:rsid w:val="0021204D"/>
    <w:rsid w:val="002127E3"/>
    <w:rsid w:val="002146E7"/>
    <w:rsid w:val="00216FD0"/>
    <w:rsid w:val="00226DF0"/>
    <w:rsid w:val="00231C2E"/>
    <w:rsid w:val="002326F3"/>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C774C"/>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460C4"/>
    <w:rsid w:val="00361388"/>
    <w:rsid w:val="00363F78"/>
    <w:rsid w:val="003642F3"/>
    <w:rsid w:val="00364924"/>
    <w:rsid w:val="00366A76"/>
    <w:rsid w:val="003700A6"/>
    <w:rsid w:val="00371AB7"/>
    <w:rsid w:val="00374410"/>
    <w:rsid w:val="00376020"/>
    <w:rsid w:val="00376E66"/>
    <w:rsid w:val="003818F3"/>
    <w:rsid w:val="0038402D"/>
    <w:rsid w:val="00386083"/>
    <w:rsid w:val="003913BA"/>
    <w:rsid w:val="003929A0"/>
    <w:rsid w:val="00394C05"/>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3F40D2"/>
    <w:rsid w:val="00401A23"/>
    <w:rsid w:val="00401CA2"/>
    <w:rsid w:val="00403AA9"/>
    <w:rsid w:val="00405E6D"/>
    <w:rsid w:val="00411C55"/>
    <w:rsid w:val="0041469B"/>
    <w:rsid w:val="00415648"/>
    <w:rsid w:val="00415BCE"/>
    <w:rsid w:val="0042015D"/>
    <w:rsid w:val="0042215C"/>
    <w:rsid w:val="00425950"/>
    <w:rsid w:val="00430B78"/>
    <w:rsid w:val="00441209"/>
    <w:rsid w:val="00443568"/>
    <w:rsid w:val="00444981"/>
    <w:rsid w:val="0045026B"/>
    <w:rsid w:val="004558AB"/>
    <w:rsid w:val="00457729"/>
    <w:rsid w:val="00463A31"/>
    <w:rsid w:val="0047598D"/>
    <w:rsid w:val="004802CE"/>
    <w:rsid w:val="00486DB6"/>
    <w:rsid w:val="00487D16"/>
    <w:rsid w:val="004957F5"/>
    <w:rsid w:val="004976A5"/>
    <w:rsid w:val="004A0034"/>
    <w:rsid w:val="004A02D4"/>
    <w:rsid w:val="004A0690"/>
    <w:rsid w:val="004A2CA4"/>
    <w:rsid w:val="004A472C"/>
    <w:rsid w:val="004A7A7B"/>
    <w:rsid w:val="004B401D"/>
    <w:rsid w:val="004B58A1"/>
    <w:rsid w:val="004B7BB8"/>
    <w:rsid w:val="004C351C"/>
    <w:rsid w:val="004C5BB4"/>
    <w:rsid w:val="004C7372"/>
    <w:rsid w:val="004D508F"/>
    <w:rsid w:val="004D5F0E"/>
    <w:rsid w:val="004D6793"/>
    <w:rsid w:val="004D7DE9"/>
    <w:rsid w:val="004E15B7"/>
    <w:rsid w:val="004E4183"/>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5105"/>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36BBC"/>
    <w:rsid w:val="00645C30"/>
    <w:rsid w:val="0065497B"/>
    <w:rsid w:val="00654E41"/>
    <w:rsid w:val="0067149A"/>
    <w:rsid w:val="00686921"/>
    <w:rsid w:val="0069278A"/>
    <w:rsid w:val="006A1C84"/>
    <w:rsid w:val="006A745B"/>
    <w:rsid w:val="006A78F4"/>
    <w:rsid w:val="006B0F85"/>
    <w:rsid w:val="006B4B06"/>
    <w:rsid w:val="006B4D0D"/>
    <w:rsid w:val="006B60E5"/>
    <w:rsid w:val="006B636C"/>
    <w:rsid w:val="006C1DED"/>
    <w:rsid w:val="006C3692"/>
    <w:rsid w:val="006D0B78"/>
    <w:rsid w:val="006D45B7"/>
    <w:rsid w:val="006D566E"/>
    <w:rsid w:val="006D62B0"/>
    <w:rsid w:val="006F14EB"/>
    <w:rsid w:val="006F5BD8"/>
    <w:rsid w:val="006F6787"/>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B5244"/>
    <w:rsid w:val="007C0F24"/>
    <w:rsid w:val="007C1415"/>
    <w:rsid w:val="007C2670"/>
    <w:rsid w:val="007C2E4F"/>
    <w:rsid w:val="007C5E7D"/>
    <w:rsid w:val="007C7E2E"/>
    <w:rsid w:val="007D2127"/>
    <w:rsid w:val="007D3D6C"/>
    <w:rsid w:val="007E3095"/>
    <w:rsid w:val="007F23F9"/>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06C50"/>
    <w:rsid w:val="00907007"/>
    <w:rsid w:val="00910E73"/>
    <w:rsid w:val="009110DE"/>
    <w:rsid w:val="00913B22"/>
    <w:rsid w:val="00914BA4"/>
    <w:rsid w:val="00916B7D"/>
    <w:rsid w:val="00920C0A"/>
    <w:rsid w:val="00920E2A"/>
    <w:rsid w:val="00922BDC"/>
    <w:rsid w:val="00922EA0"/>
    <w:rsid w:val="009240D6"/>
    <w:rsid w:val="00924A08"/>
    <w:rsid w:val="009256ED"/>
    <w:rsid w:val="00927052"/>
    <w:rsid w:val="00927281"/>
    <w:rsid w:val="00940134"/>
    <w:rsid w:val="00943A3E"/>
    <w:rsid w:val="00944C93"/>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5417"/>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3459"/>
    <w:rsid w:val="00AE5C1B"/>
    <w:rsid w:val="00AE79D8"/>
    <w:rsid w:val="00AE7BAC"/>
    <w:rsid w:val="00AF0829"/>
    <w:rsid w:val="00AF09FB"/>
    <w:rsid w:val="00B00C16"/>
    <w:rsid w:val="00B03B3E"/>
    <w:rsid w:val="00B046A4"/>
    <w:rsid w:val="00B06382"/>
    <w:rsid w:val="00B0733F"/>
    <w:rsid w:val="00B10701"/>
    <w:rsid w:val="00B146E7"/>
    <w:rsid w:val="00B30B86"/>
    <w:rsid w:val="00B31C5A"/>
    <w:rsid w:val="00B32A4F"/>
    <w:rsid w:val="00B358E2"/>
    <w:rsid w:val="00B40CB6"/>
    <w:rsid w:val="00B41EDA"/>
    <w:rsid w:val="00B50AD6"/>
    <w:rsid w:val="00B51AB3"/>
    <w:rsid w:val="00B5337C"/>
    <w:rsid w:val="00B5340F"/>
    <w:rsid w:val="00B539A5"/>
    <w:rsid w:val="00B611F7"/>
    <w:rsid w:val="00B6765D"/>
    <w:rsid w:val="00B70B9C"/>
    <w:rsid w:val="00B717C5"/>
    <w:rsid w:val="00B75463"/>
    <w:rsid w:val="00B90F21"/>
    <w:rsid w:val="00B93445"/>
    <w:rsid w:val="00B94F7E"/>
    <w:rsid w:val="00B95F83"/>
    <w:rsid w:val="00B965C5"/>
    <w:rsid w:val="00B96E34"/>
    <w:rsid w:val="00B9729A"/>
    <w:rsid w:val="00BB0177"/>
    <w:rsid w:val="00BB3A31"/>
    <w:rsid w:val="00BB6964"/>
    <w:rsid w:val="00BC2D65"/>
    <w:rsid w:val="00BD1F2C"/>
    <w:rsid w:val="00BD2477"/>
    <w:rsid w:val="00BD2BBE"/>
    <w:rsid w:val="00BD7EF8"/>
    <w:rsid w:val="00BE0FEE"/>
    <w:rsid w:val="00BE4817"/>
    <w:rsid w:val="00BE721C"/>
    <w:rsid w:val="00BF0DC7"/>
    <w:rsid w:val="00BF1F54"/>
    <w:rsid w:val="00C01162"/>
    <w:rsid w:val="00C04782"/>
    <w:rsid w:val="00C04F2D"/>
    <w:rsid w:val="00C238F0"/>
    <w:rsid w:val="00C25CC6"/>
    <w:rsid w:val="00C31297"/>
    <w:rsid w:val="00C53AB8"/>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528A"/>
    <w:rsid w:val="00D07FED"/>
    <w:rsid w:val="00D1171B"/>
    <w:rsid w:val="00D1499A"/>
    <w:rsid w:val="00D16172"/>
    <w:rsid w:val="00D20653"/>
    <w:rsid w:val="00D25C67"/>
    <w:rsid w:val="00D30DDB"/>
    <w:rsid w:val="00D334A9"/>
    <w:rsid w:val="00D36199"/>
    <w:rsid w:val="00D43678"/>
    <w:rsid w:val="00D439FC"/>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2A66"/>
    <w:rsid w:val="00DC65F7"/>
    <w:rsid w:val="00DF32E5"/>
    <w:rsid w:val="00DF3EFD"/>
    <w:rsid w:val="00E07FDF"/>
    <w:rsid w:val="00E14EDE"/>
    <w:rsid w:val="00E172CA"/>
    <w:rsid w:val="00E242B2"/>
    <w:rsid w:val="00E31696"/>
    <w:rsid w:val="00E33E4C"/>
    <w:rsid w:val="00E44960"/>
    <w:rsid w:val="00E52F6A"/>
    <w:rsid w:val="00E545C9"/>
    <w:rsid w:val="00E55774"/>
    <w:rsid w:val="00E56018"/>
    <w:rsid w:val="00E64B7B"/>
    <w:rsid w:val="00E66654"/>
    <w:rsid w:val="00E74817"/>
    <w:rsid w:val="00E7514C"/>
    <w:rsid w:val="00E75B6D"/>
    <w:rsid w:val="00E76C2B"/>
    <w:rsid w:val="00E8294F"/>
    <w:rsid w:val="00E870C3"/>
    <w:rsid w:val="00E8738A"/>
    <w:rsid w:val="00E916E5"/>
    <w:rsid w:val="00E92F11"/>
    <w:rsid w:val="00E95399"/>
    <w:rsid w:val="00E95FBD"/>
    <w:rsid w:val="00E9654C"/>
    <w:rsid w:val="00EA1A1C"/>
    <w:rsid w:val="00EA304B"/>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418B6"/>
    <w:rsid w:val="00F50BA2"/>
    <w:rsid w:val="00F52661"/>
    <w:rsid w:val="00F5664D"/>
    <w:rsid w:val="00F6771B"/>
    <w:rsid w:val="00F703C3"/>
    <w:rsid w:val="00F724B1"/>
    <w:rsid w:val="00F80799"/>
    <w:rsid w:val="00F81776"/>
    <w:rsid w:val="00F835AD"/>
    <w:rsid w:val="00F844FD"/>
    <w:rsid w:val="00F869A3"/>
    <w:rsid w:val="00F86FB3"/>
    <w:rsid w:val="00F97BF1"/>
    <w:rsid w:val="00FA29D8"/>
    <w:rsid w:val="00FA5F5D"/>
    <w:rsid w:val="00FB0BA6"/>
    <w:rsid w:val="00FB0E08"/>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117708"/>
    <w:rsid w:val="2BC14C56"/>
    <w:rsid w:val="2C1B026F"/>
    <w:rsid w:val="2CC61F55"/>
    <w:rsid w:val="2EF7452F"/>
    <w:rsid w:val="2F1D13B4"/>
    <w:rsid w:val="2FAA3DA6"/>
    <w:rsid w:val="30682E1F"/>
    <w:rsid w:val="30E210D2"/>
    <w:rsid w:val="311371D6"/>
    <w:rsid w:val="31E80E97"/>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11</Pages>
  <Words>736</Words>
  <Characters>4201</Characters>
  <Lines>35</Lines>
  <Paragraphs>9</Paragraphs>
  <TotalTime>0</TotalTime>
  <ScaleCrop>false</ScaleCrop>
  <LinksUpToDate>false</LinksUpToDate>
  <CharactersWithSpaces>4928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2021-06-11T11:41:06Z</dcterms:modified>
  <cp:revision>835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