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70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52"/>
          <w:szCs w:val="52"/>
          <w:u w:color="000000"/>
          <w:lang w:val="zh-TW" w:eastAsia="zh-TW"/>
        </w:rPr>
        <w:t>新疆财政支出绩效</w:t>
      </w:r>
      <w:r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自评报告</w:t>
      </w:r>
    </w:p>
    <w:p>
      <w:pPr>
        <w:pStyle w:val="4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6"/>
        <w:spacing w:line="540" w:lineRule="exact"/>
        <w:jc w:val="center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6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6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6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6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6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6"/>
        <w:spacing w:line="540" w:lineRule="exact"/>
        <w:rPr>
          <w:rFonts w:eastAsia="Times New Roman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项目名称：零公里五金建材城大门、门牌、围墙维修及地坪建设项目  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实施单位（公章）：叶城县商务和经济信息化委员会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主管部门（公章）：叶城县商务和经济信息化委员会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项目负责人（签章）：刘进跃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填报时间：2018年12月10日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2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为维护社会大局，促进社会公平正义，保障人民安居乐业，</w:t>
      </w:r>
      <w:r>
        <w:rPr>
          <w:rFonts w:ascii="仿宋_GB2312" w:hAnsi="仿宋_GB2312" w:eastAsia="仿宋_GB2312" w:cs="仿宋_GB2312"/>
          <w:sz w:val="32"/>
          <w:szCs w:val="32"/>
        </w:rPr>
        <w:t>由财政拨款设立专项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，主要用于推进平安法治建设，加强社会治安综合治理，维护社会大局，为经济平稳健康发展创造良好环境。2017年，统筹推进平安盐城、法治盐城和政法队伍建设，圆满完成十九大安保任务，社会矛盾调处成功率全省第二，实现了全省综治平安建设先进市“六连冠”，荣获全国社会治安综合治理优秀市</w:t>
      </w:r>
      <w:r>
        <w:rPr>
          <w:rFonts w:ascii="方正仿宋_GBK" w:hAnsi="方正仿宋_GBK" w:eastAsia="方正仿宋_GBK" w:cs="方正仿宋_GBK"/>
          <w:color w:val="212121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叶城县零公里五金建材市场大门制作、围墙维修及厂区地坪建设工程项目由发改委（2016）289号文件批准建设，招标单位：叶城县商务和经济信息化委员会，资金来源为政府专项资金。工程投资80.76万元，中标单位：叶城县建业市政有限公司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1.绩效总目标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叶城县零公里五金建材市场大门制作、围墙维修及厂区地坪建设工程项目，建筑规模：铁艺大门一座及496平方米地坪建设，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混凝土</w:t>
      </w:r>
      <w:r>
        <w:rPr>
          <w:rFonts w:hint="eastAsia" w:ascii="仿宋_GB2312" w:hAnsi="仿宋_GB2312" w:eastAsia="仿宋_GB2312" w:cs="仿宋_GB2312"/>
          <w:sz w:val="32"/>
          <w:szCs w:val="32"/>
        </w:rPr>
        <w:t>地面工程1896平方米，面层18.5*3*0.8米标志牌一座，工程总投资80.76万元。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阶段性（个性化）绩效指标</w:t>
      </w:r>
      <w:bookmarkStart w:id="0" w:name="_GoBack"/>
      <w:bookmarkEnd w:id="0"/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（包括预期目标及阶段性目标；项目基本性质、用途和主要内容、涉及范围）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896" w:firstLineChars="28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资金主要使用范围：</w:t>
      </w:r>
      <w:r>
        <w:rPr>
          <w:rFonts w:hint="eastAsia" w:ascii="仿宋_GB2312" w:hAnsi="仿宋_GB2312" w:eastAsia="仿宋_GB2312" w:cs="仿宋_GB2312"/>
          <w:sz w:val="32"/>
          <w:szCs w:val="32"/>
        </w:rPr>
        <w:t> 平安法治建设。 叶城县零公里五金建材市场大门制作、围墙维修及厂区地坪建设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ascii="仿宋_GB2312" w:hAnsi="仿宋_GB2312" w:eastAsia="仿宋_GB2312" w:cs="仿宋_GB2312"/>
          <w:sz w:val="32"/>
          <w:szCs w:val="32"/>
        </w:rPr>
        <w:t>网格化管理、综治信息化建设、公众安全感法治满意度测评、镇村综治、法治组织建设和社区（村）建设、群防群治、行业性或专业性调解工作、特殊人群服务管理、列平安法治创建项目、法治社会建设、公正执法监督巡视、重要时期维护工作；</w:t>
      </w:r>
    </w:p>
    <w:p>
      <w:pPr>
        <w:spacing w:line="560" w:lineRule="exact"/>
        <w:ind w:firstLine="896" w:firstLineChars="28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工程总投资80.76万元。</w:t>
      </w:r>
    </w:p>
    <w:p>
      <w:pPr>
        <w:spacing w:line="560" w:lineRule="exact"/>
        <w:ind w:firstLine="877" w:firstLineChars="28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工程总投资80.76万元，全部由财政拨款。2018 </w:t>
      </w:r>
      <w:r>
        <w:rPr>
          <w:rFonts w:ascii="仿宋_GB2312" w:hAnsi="仿宋_GB2312" w:eastAsia="仿宋_GB2312" w:cs="仿宋_GB2312"/>
          <w:sz w:val="32"/>
          <w:szCs w:val="32"/>
        </w:rPr>
        <w:t>年度，平安法治专项资金安排资金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40</w:t>
      </w:r>
      <w:r>
        <w:rPr>
          <w:rFonts w:ascii="仿宋_GB2312" w:hAnsi="仿宋_GB2312" w:eastAsia="仿宋_GB2312" w:cs="仿宋_GB2312"/>
          <w:sz w:val="32"/>
          <w:szCs w:val="32"/>
        </w:rPr>
        <w:t>万元，是财政拨款资金，实际到位</w:t>
      </w:r>
      <w:r>
        <w:rPr>
          <w:rFonts w:hint="eastAsia" w:ascii="仿宋_GB2312" w:hAnsi="仿宋_GB2312" w:eastAsia="仿宋_GB2312" w:cs="仿宋_GB2312"/>
          <w:sz w:val="32"/>
          <w:szCs w:val="32"/>
        </w:rPr>
        <w:t>40</w:t>
      </w:r>
      <w:r>
        <w:rPr>
          <w:rFonts w:ascii="仿宋_GB2312" w:hAnsi="仿宋_GB2312" w:eastAsia="仿宋_GB2312" w:cs="仿宋_GB2312"/>
          <w:sz w:val="32"/>
          <w:szCs w:val="32"/>
        </w:rPr>
        <w:t>万元，实际支出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40</w:t>
      </w:r>
      <w:r>
        <w:rPr>
          <w:rFonts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</w:rPr>
        <w:t>8 </w:t>
      </w:r>
      <w:r>
        <w:rPr>
          <w:rFonts w:ascii="仿宋_GB2312" w:hAnsi="仿宋_GB2312" w:eastAsia="仿宋_GB2312" w:cs="仿宋_GB2312"/>
          <w:sz w:val="32"/>
          <w:szCs w:val="32"/>
        </w:rPr>
        <w:t>年，我委按照平安法治专项资金管理办法的要求，坚持“专项管理、单独核算、专款专用、跟踪评效”原则，严格资金申报、拨付、使用、监管流程，确保资金科学有效、依法有序地投入项目建设。一是专项资金实行专项管理、分账核算，严格按照规定用途使用，不得用于一般性工作经费等经常性支出、不得用于发放相关奖金、不得用于非本专项目以外的其他支出。二是专项资金实行专项申报、逐项核实，依法做到项目经费使用公开透明。项目实施后根据工作进度分期分批申请使用，严格规范经费开支的使用手续和程序。三是及时公开项目实施情况，增加透明度，便于群众监督。和时，建立项目档案，提高了平安法治专项资金的使用效益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项目实施过程中能严格执行专项资金使用管理相关规定，所有项目支出均通过委领导班子集体研究，根据部门职能和年初制定的绩效考核目标，进行了实地绩效考评，并对评价过程中收集的资料进行归纳，汇总分析形成资金分配方案报财政局审批。加强资金使用监督，定期对项目建设情况进行专项督查，确保实际项目内容与申报项目内容一致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截止201</w:t>
      </w: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年12月31日，所有项目资金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为全部</w:t>
      </w:r>
      <w:r>
        <w:rPr>
          <w:rFonts w:ascii="仿宋_GB2312" w:hAnsi="仿宋_GB2312" w:eastAsia="仿宋_GB2312" w:cs="仿宋_GB2312"/>
          <w:sz w:val="32"/>
          <w:szCs w:val="32"/>
        </w:rPr>
        <w:t>到位，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实际到位资金40万元，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自筹资金0万元，资金到位40万元，资金到位率100%。</w:t>
      </w:r>
    </w:p>
    <w:p>
      <w:pPr>
        <w:spacing w:line="56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312" w:firstLineChars="100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，指标完成率为100%，</w:t>
      </w:r>
      <w:r>
        <w:rPr>
          <w:rFonts w:hint="eastAsia" w:ascii="仿宋" w:hAnsi="仿宋" w:eastAsia="仿宋" w:cs="仿宋"/>
          <w:kern w:val="0"/>
          <w:sz w:val="30"/>
          <w:szCs w:val="30"/>
        </w:rPr>
        <w:t>根据年初设定的绩效目标，此项目自评得分为98分。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1.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产出指标完成情况分析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）项目完成数量</w:t>
      </w:r>
    </w:p>
    <w:p>
      <w:pPr>
        <w:spacing w:line="560" w:lineRule="exact"/>
        <w:ind w:firstLine="1022" w:firstLineChars="35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数量指标全部完成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）项目完成质量</w:t>
      </w:r>
    </w:p>
    <w:p>
      <w:pPr>
        <w:spacing w:line="560" w:lineRule="exact"/>
        <w:ind w:firstLine="876" w:firstLineChars="3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质量指标验收合格率100%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3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）项目实施进度</w:t>
      </w:r>
    </w:p>
    <w:p>
      <w:pPr>
        <w:spacing w:line="560" w:lineRule="exact"/>
        <w:ind w:firstLine="876" w:firstLineChars="3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项目按照年初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既定目标序时进行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4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）项目成本节约情况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无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2.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效益指标完成情况分析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）项目实施的经济效益分析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可增加安保人员就业3人</w:t>
      </w:r>
    </w:p>
    <w:p>
      <w:pPr>
        <w:spacing w:line="560" w:lineRule="exact"/>
        <w:ind w:firstLine="586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）项目实施的社会效益分析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维护社会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bCs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spacing w:val="-4"/>
          <w:sz w:val="30"/>
          <w:szCs w:val="30"/>
        </w:rPr>
        <w:t>3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）项目实施的生态效益分</w:t>
      </w:r>
      <w:r>
        <w:rPr>
          <w:rFonts w:hint="eastAsia" w:ascii="仿宋" w:hAnsi="仿宋" w:eastAsia="仿宋" w:cs="仿宋"/>
          <w:bCs/>
          <w:spacing w:val="-4"/>
          <w:sz w:val="30"/>
          <w:szCs w:val="30"/>
        </w:rPr>
        <w:t>析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该项目对环境的影响</w:t>
      </w:r>
      <w:r>
        <w:rPr>
          <w:rFonts w:ascii="仿宋" w:hAnsi="仿宋" w:eastAsia="仿宋" w:cs="仿宋"/>
          <w:spacing w:val="-4"/>
          <w:sz w:val="30"/>
          <w:szCs w:val="30"/>
        </w:rPr>
        <w:t>5%</w:t>
      </w:r>
    </w:p>
    <w:p>
      <w:pPr>
        <w:spacing w:line="560" w:lineRule="exact"/>
        <w:ind w:firstLine="584" w:firstLineChars="200"/>
        <w:rPr>
          <w:rFonts w:ascii="仿宋" w:hAnsi="仿宋" w:eastAsia="仿宋" w:cs="仿宋"/>
          <w:bCs/>
          <w:spacing w:val="-4"/>
          <w:sz w:val="30"/>
          <w:szCs w:val="30"/>
        </w:rPr>
      </w:pPr>
      <w:r>
        <w:rPr>
          <w:rFonts w:hint="eastAsia" w:ascii="仿宋" w:hAnsi="仿宋" w:eastAsia="仿宋" w:cs="仿宋"/>
          <w:bCs/>
          <w:spacing w:val="-4"/>
          <w:sz w:val="30"/>
          <w:szCs w:val="30"/>
        </w:rPr>
        <w:t>（</w:t>
      </w:r>
      <w:r>
        <w:rPr>
          <w:rFonts w:ascii="仿宋" w:hAnsi="仿宋" w:eastAsia="仿宋" w:cs="仿宋"/>
          <w:bCs/>
          <w:spacing w:val="-4"/>
          <w:sz w:val="30"/>
          <w:szCs w:val="30"/>
        </w:rPr>
        <w:t>4</w:t>
      </w:r>
      <w:r>
        <w:rPr>
          <w:rFonts w:hint="eastAsia" w:ascii="仿宋" w:hAnsi="仿宋" w:eastAsia="仿宋" w:cs="仿宋"/>
          <w:bCs/>
          <w:spacing w:val="-4"/>
          <w:sz w:val="30"/>
          <w:szCs w:val="30"/>
        </w:rPr>
        <w:t>）项目实施的可持续影响分析</w:t>
      </w:r>
    </w:p>
    <w:p>
      <w:pPr>
        <w:spacing w:line="560" w:lineRule="exact"/>
        <w:ind w:firstLine="292" w:firstLineChars="1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建设项目可持续使用年限（年）15年</w:t>
      </w:r>
    </w:p>
    <w:p>
      <w:pPr>
        <w:spacing w:line="560" w:lineRule="exact"/>
        <w:ind w:firstLine="292" w:firstLineChars="1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3.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满意度指标完成情况分析</w:t>
      </w:r>
    </w:p>
    <w:p>
      <w:pPr>
        <w:spacing w:line="560" w:lineRule="exact"/>
        <w:ind w:firstLine="292" w:firstLineChars="100"/>
        <w:rPr>
          <w:rStyle w:val="18"/>
          <w:rFonts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按计划完成项目实施，已做满意度调查问卷，项目的实施达到满意率达100%，服务对象满意度指标完成。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ascii="楷体" w:hAnsi="楷体" w:eastAsia="楷体"/>
          <w:spacing w:val="-4"/>
          <w:sz w:val="32"/>
          <w:szCs w:val="32"/>
        </w:rPr>
        <w:t>无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（一）主要措施</w:t>
      </w:r>
      <w:r>
        <w:rPr>
          <w:rFonts w:ascii="仿宋_GB2312" w:hAnsi="仿宋_GB2312" w:eastAsia="仿宋_GB2312" w:cs="仿宋_GB2312"/>
          <w:sz w:val="32"/>
          <w:szCs w:val="32"/>
        </w:rPr>
        <w:t>　　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</w:t>
      </w:r>
      <w:r>
        <w:rPr>
          <w:rFonts w:ascii="仿宋_GB2312" w:hAnsi="仿宋_GB2312" w:eastAsia="仿宋_GB2312" w:cs="仿宋_GB2312"/>
          <w:sz w:val="32"/>
          <w:szCs w:val="32"/>
        </w:rPr>
        <w:t>注重项目预算管理。加强对专项资金项目立项、可行性研究、预算编制工作的管理，以保证项目的可行性和科学性。在编报项目预算时要求制定详细的项目推进计划，明确分工，责任到人，以保证专项资金均能够保质保量执行到位。　　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ascii="仿宋_GB2312" w:hAnsi="仿宋_GB2312" w:eastAsia="仿宋_GB2312" w:cs="仿宋_GB2312"/>
          <w:sz w:val="32"/>
          <w:szCs w:val="32"/>
        </w:rPr>
        <w:t>加强资金动态管理。在专项资金项目执行过程中，注重加强对专项资金的动态管理，定期公布专项资金执行进度，并将专项资金执行情况纳入年度处室考核，促进专项资金按预算执行。　　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ascii="仿宋_GB2312" w:hAnsi="仿宋_GB2312" w:eastAsia="仿宋_GB2312" w:cs="仿宋_GB2312"/>
          <w:sz w:val="32"/>
          <w:szCs w:val="32"/>
        </w:rPr>
        <w:t>坚持项目过程管理。对项目的申报、实施、验收以及资金分配方案，进行流程管理，并及时在门户网站公示，接受群众监督。　　</w:t>
      </w:r>
    </w:p>
    <w:p>
      <w:pPr>
        <w:widowControl/>
        <w:spacing w:line="560" w:lineRule="exact"/>
        <w:ind w:firstLine="640"/>
        <w:jc w:val="left"/>
        <w:rPr>
          <w:rFonts w:ascii="宋体" w:hAnsi="宋体" w:cs="宋体"/>
          <w:szCs w:val="21"/>
        </w:rPr>
      </w:pP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（二）相关建议　　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建议：进一步加大对绩效评价工作的培训力度，增加培训课时，提高培训内容系统性、操作性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6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项目支出绩效目标自评表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241E0"/>
    <w:multiLevelType w:val="singleLevel"/>
    <w:tmpl w:val="B22241E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056778"/>
    <w:rsid w:val="00100B38"/>
    <w:rsid w:val="00121AE4"/>
    <w:rsid w:val="00145B5E"/>
    <w:rsid w:val="00146AAD"/>
    <w:rsid w:val="00171E36"/>
    <w:rsid w:val="001B3A40"/>
    <w:rsid w:val="001C354E"/>
    <w:rsid w:val="00206A9F"/>
    <w:rsid w:val="002A333C"/>
    <w:rsid w:val="002A43C7"/>
    <w:rsid w:val="003E555D"/>
    <w:rsid w:val="003F6A1D"/>
    <w:rsid w:val="004366A8"/>
    <w:rsid w:val="00502BA7"/>
    <w:rsid w:val="005162F1"/>
    <w:rsid w:val="00535153"/>
    <w:rsid w:val="00554F82"/>
    <w:rsid w:val="0056390D"/>
    <w:rsid w:val="005719B0"/>
    <w:rsid w:val="005D10D6"/>
    <w:rsid w:val="00691197"/>
    <w:rsid w:val="006E215C"/>
    <w:rsid w:val="00737975"/>
    <w:rsid w:val="007400FD"/>
    <w:rsid w:val="00855E3A"/>
    <w:rsid w:val="00922CB9"/>
    <w:rsid w:val="00942E4A"/>
    <w:rsid w:val="009737E0"/>
    <w:rsid w:val="009E1B38"/>
    <w:rsid w:val="009E5CD9"/>
    <w:rsid w:val="00A26421"/>
    <w:rsid w:val="00A4293B"/>
    <w:rsid w:val="00A67D50"/>
    <w:rsid w:val="00A8691A"/>
    <w:rsid w:val="00A95575"/>
    <w:rsid w:val="00AA73B4"/>
    <w:rsid w:val="00AC1946"/>
    <w:rsid w:val="00B40063"/>
    <w:rsid w:val="00B41F61"/>
    <w:rsid w:val="00BA46E6"/>
    <w:rsid w:val="00C15487"/>
    <w:rsid w:val="00C56C72"/>
    <w:rsid w:val="00C84EAC"/>
    <w:rsid w:val="00CA6457"/>
    <w:rsid w:val="00CB4E05"/>
    <w:rsid w:val="00CF4799"/>
    <w:rsid w:val="00D17F2E"/>
    <w:rsid w:val="00D30354"/>
    <w:rsid w:val="00DF42A0"/>
    <w:rsid w:val="00E769FE"/>
    <w:rsid w:val="00EA2CBE"/>
    <w:rsid w:val="00F32FEE"/>
    <w:rsid w:val="00FA07BB"/>
    <w:rsid w:val="00FB10BB"/>
    <w:rsid w:val="00FF60FA"/>
    <w:rsid w:val="016B7C61"/>
    <w:rsid w:val="0A3A69D8"/>
    <w:rsid w:val="14B276A9"/>
    <w:rsid w:val="17651485"/>
    <w:rsid w:val="20910B19"/>
    <w:rsid w:val="22D01F32"/>
    <w:rsid w:val="2A7C60F3"/>
    <w:rsid w:val="2E8F39D2"/>
    <w:rsid w:val="320850FF"/>
    <w:rsid w:val="33664F5F"/>
    <w:rsid w:val="355F68D6"/>
    <w:rsid w:val="35781B64"/>
    <w:rsid w:val="38886EE8"/>
    <w:rsid w:val="504B6F98"/>
    <w:rsid w:val="6F422345"/>
    <w:rsid w:val="71FF5299"/>
    <w:rsid w:val="77B95384"/>
    <w:rsid w:val="789A7846"/>
    <w:rsid w:val="7F4855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正文 A"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351</Words>
  <Characters>2001</Characters>
  <Lines>16</Lines>
  <Paragraphs>4</Paragraphs>
  <TotalTime>11</TotalTime>
  <ScaleCrop>false</ScaleCrop>
  <LinksUpToDate>false</LinksUpToDate>
  <CharactersWithSpaces>2348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2025-02-12T04:22:37Z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