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b/>
          <w:bCs/>
          <w:kern w:val="0"/>
          <w:sz w:val="52"/>
          <w:szCs w:val="52"/>
        </w:rPr>
      </w:pPr>
    </w:p>
    <w:p>
      <w:pPr>
        <w:spacing w:line="700" w:lineRule="exact"/>
        <w:jc w:val="left"/>
        <w:rPr>
          <w:rFonts w:ascii="华文中宋" w:hAnsi="华文中宋" w:eastAsia="华文中宋" w:cs="华文中宋"/>
          <w:b/>
          <w:bCs/>
          <w:color w:val="000000"/>
          <w:kern w:val="0"/>
          <w:sz w:val="52"/>
          <w:szCs w:val="52"/>
          <w:lang w:val="zh-TW" w:eastAsia="zh-TW"/>
        </w:rPr>
      </w:pPr>
    </w:p>
    <w:p>
      <w:pPr>
        <w:spacing w:line="700" w:lineRule="exact"/>
        <w:jc w:val="left"/>
        <w:rPr>
          <w:rFonts w:ascii="华文中宋" w:hAnsi="华文中宋" w:eastAsia="华文中宋" w:cs="华文中宋"/>
          <w:b/>
          <w:bCs/>
          <w:color w:val="000000"/>
          <w:kern w:val="0"/>
          <w:sz w:val="52"/>
          <w:szCs w:val="52"/>
          <w:lang w:val="zh-TW" w:eastAsia="zh-TW"/>
        </w:rPr>
      </w:pPr>
    </w:p>
    <w:p>
      <w:pPr>
        <w:spacing w:line="700" w:lineRule="exact"/>
        <w:jc w:val="center"/>
        <w:rPr>
          <w:rFonts w:ascii="华文中宋" w:hAnsi="华文中宋" w:eastAsia="华文中宋" w:cs="华文中宋"/>
          <w:b/>
          <w:bCs/>
          <w:kern w:val="0"/>
          <w:sz w:val="52"/>
          <w:szCs w:val="52"/>
          <w:lang w:val="zh-TW" w:eastAsia="zh-TW"/>
        </w:rPr>
      </w:pPr>
      <w:r>
        <w:rPr>
          <w:rFonts w:hint="eastAsia" w:ascii="华文中宋" w:hAnsi="华文中宋" w:eastAsia="华文中宋" w:cs="华文中宋"/>
          <w:b/>
          <w:bCs/>
          <w:color w:val="000000"/>
          <w:kern w:val="0"/>
          <w:sz w:val="52"/>
          <w:szCs w:val="52"/>
          <w:lang w:val="zh-TW" w:eastAsia="zh-TW"/>
        </w:rPr>
        <w:t>新疆财政支出绩效</w:t>
      </w:r>
      <w:r>
        <w:rPr>
          <w:rFonts w:hint="eastAsia" w:ascii="华文中宋" w:hAnsi="华文中宋" w:eastAsia="华文中宋" w:cs="华文中宋"/>
          <w:b/>
          <w:bCs/>
          <w:kern w:val="0"/>
          <w:sz w:val="52"/>
          <w:szCs w:val="52"/>
          <w:lang w:val="zh-TW" w:eastAsia="zh-TW"/>
        </w:rPr>
        <w:t>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lang w:val="zh-TW"/>
        </w:rPr>
        <w:t>8</w:t>
      </w:r>
      <w:r>
        <w:rPr>
          <w:rFonts w:hint="eastAsia" w:ascii="仿宋_GB2312" w:hAnsi="仿宋_GB2312" w:eastAsia="仿宋_GB2312" w:cs="仿宋_GB2312"/>
          <w:kern w:val="0"/>
          <w:sz w:val="36"/>
          <w:szCs w:val="36"/>
          <w:lang w:val="zh-TW" w:eastAsia="zh-TW"/>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项目名称：援疆资金</w:t>
      </w:r>
      <w:r>
        <w:rPr>
          <w:rFonts w:hAnsi="宋体" w:eastAsia="仿宋_GB2312" w:cs="宋体"/>
          <w:kern w:val="0"/>
          <w:sz w:val="36"/>
          <w:szCs w:val="36"/>
        </w:rPr>
        <w:t>1803CY05</w:t>
      </w:r>
      <w:r>
        <w:rPr>
          <w:rFonts w:hint="eastAsia" w:hAnsi="宋体" w:eastAsia="仿宋_GB2312" w:cs="宋体"/>
          <w:kern w:val="0"/>
          <w:sz w:val="36"/>
          <w:szCs w:val="36"/>
        </w:rPr>
        <w:t>产业促进就业专项资金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实施单位（公章）：叶城县商务和经济信息化委员会</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项目负责人（签章）：刘进跃</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w:t>
      </w:r>
      <w:r>
        <w:rPr>
          <w:rFonts w:hAnsi="宋体" w:eastAsia="仿宋_GB2312" w:cs="宋体"/>
          <w:kern w:val="0"/>
          <w:sz w:val="36"/>
          <w:szCs w:val="36"/>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567"/>
        <w:rPr>
          <w:rStyle w:val="19"/>
          <w:rFonts w:ascii="楷体" w:hAnsi="楷体" w:eastAsia="楷体"/>
          <w:b w:val="0"/>
          <w:spacing w:val="-4"/>
          <w:sz w:val="32"/>
          <w:szCs w:val="32"/>
        </w:rPr>
      </w:pPr>
      <w:r>
        <w:rPr>
          <w:rStyle w:val="19"/>
          <w:rFonts w:hint="eastAsia" w:ascii="楷体" w:hAnsi="楷体" w:eastAsia="楷体"/>
          <w:b w:val="0"/>
          <w:spacing w:val="-4"/>
          <w:sz w:val="32"/>
          <w:szCs w:val="32"/>
        </w:rPr>
        <w:t>（一）项目单位基本情况</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产业援疆促进就业是上海市对口援疆的优先目标，也是助力叶城县打赢脱贫攻坚战的重要组成部分。根据《中国制造</w:t>
      </w:r>
      <w:r>
        <w:rPr>
          <w:rFonts w:ascii="仿宋_GB2312" w:hAnsi="仿宋_GB2312" w:eastAsia="仿宋_GB2312" w:cs="仿宋_GB2312"/>
          <w:sz w:val="32"/>
          <w:szCs w:val="32"/>
        </w:rPr>
        <w:t>2025</w:t>
      </w:r>
      <w:r>
        <w:rPr>
          <w:rFonts w:hint="eastAsia" w:ascii="仿宋_GB2312" w:hAnsi="仿宋_GB2312" w:eastAsia="仿宋_GB2312" w:cs="仿宋_GB2312"/>
          <w:sz w:val="32"/>
          <w:szCs w:val="32"/>
        </w:rPr>
        <w:t>》、《“十三五”国家战略性新兴产业发展规划》等国家、自治区和地区关于支持规上企业、创建品牌、发展特色食品产业等文件精神，结合《上海产业援疆促进就业专项资金管理办法》（沪指文</w:t>
      </w:r>
      <w:r>
        <w:rPr>
          <w:rFonts w:ascii="仿宋_GB2312" w:hAnsi="仿宋_GB2312" w:eastAsia="仿宋_GB2312" w:cs="仿宋_GB2312"/>
          <w:sz w:val="32"/>
          <w:szCs w:val="32"/>
        </w:rPr>
        <w:t>[2017]110</w:t>
      </w:r>
      <w:r>
        <w:rPr>
          <w:rFonts w:hint="eastAsia" w:ascii="仿宋_GB2312" w:hAnsi="仿宋_GB2312" w:eastAsia="仿宋_GB2312" w:cs="仿宋_GB2312"/>
          <w:sz w:val="32"/>
          <w:szCs w:val="32"/>
        </w:rPr>
        <w:t>号）要求，为优化产业发展环境，支持带动就业效果明显、成长性好、带动性强、发展潜力大的企业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聚焦带动就业效果显著、成长性好、带动性强、发展潜力大的产业，对叶城县经济社会发展贡献大的行业和企业；聚焦战略性新兴产业，推动传统产业转型升级，促进制造业向智能化、绿色化、服务化和高端化发展；聚焦新兴服务业发展和创新型企业引入，着力培育新技术、新业态、新模式、新产业。</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项目预算绩效目标设定情况</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吸纳贫困户就业资助</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鼓励各类企业吸纳叶城县户籍且</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月在册未脱贫的建档立卡贫困户就业，企业应使用建档立卡贫困户</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人以上，建档立卡贫困户在和一企业连续就业</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个月以上，且和一会计年度内累计实际收入不低于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资助从</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日起开始，资助标准为每人每月</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元，其中</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由县产业援疆促进就业扶持资金安排，</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向上海援疆指挥部申请落实。自治区党委、政府或有关部门统一组织的疆内跨地区转移就业不在资助范围</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支持企业就业补助</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支持符合叶城县产业导向，带动当地就业的上海援疆企业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就业</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个月以上，</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年企业建档立卡贫困户比例占员工总数</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以上（</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年起比例为</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及以上），且员工总人数在</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人以上的产业项目（符合</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人以上就业条件的企业先推荐申报上海援疆资金统筹项目）。</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经认定，按照</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月以来实际就业用工月数给予每人每月</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元的就业补助，解决建档立卡户贫困人口就业的给予每人每月</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元的就业补助，单个企业连续补助不超过三年，每年进行认定。</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支持企业固定资产投资和厂房租赁补助</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符合叶城县产业发展导向，申请固定资产投资补助的上海援疆企业，必须要满足解决叶城县就业</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个月以上，企业建档立卡贫困户比例占员工总数</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以上（</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年起比例为</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及以上），且员工总人数在</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人以上的条件，不满足条件的企业不可申请固定资产投资补助。对</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日以来符合上述条件的企业，厂房新建和生产设备新购置等固定资产投资总金额不低于</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万元，经认定，给予新增投资额</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的补贴。</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支持企业技术改造、信息化与工业化融合</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支持在叶城县注册、具有独立法人资格的企业，符合国家和自治区战略性新兴产业、重点技术改造支持目录或产业的行业要求，自</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月以来采用国内外先进适用的新技术、新设备、新工艺、新材料的新建项目，以及对现有设备、生产工艺和辅助设施进行改造或扩建、迁建，设备投资额达到</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万元及以上且形成先进生产能力的企业技改项目；支持按照国家工信部要求，开展信息化与工业化融合建设，投资达到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万元及以上，对提升企业研发、生产、管理、销售等方面有一定作用的项目。</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按项目设备固定资产（信息化项目包括软硬件）投资的</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给予资金扶持，单个项目资助额度原则不超过</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支持产业技术创新体系建设</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把握科技进步大方向、产业变革大趋势，促进科技创新产业化，鼓励叶城县的企业和全国各地科研院所、高等院校、知名企业和人才团队联合建设符合国家、自治区创新战略和叶城县产业导向的实验室、研发、研发平台等，经认定，按照研发设备投入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，最高不超过</w:t>
      </w:r>
      <w:r>
        <w:rPr>
          <w:rFonts w:ascii="仿宋_GB2312" w:hAnsi="仿宋_GB2312" w:eastAsia="仿宋_GB2312" w:cs="仿宋_GB2312"/>
          <w:sz w:val="32"/>
          <w:szCs w:val="32"/>
        </w:rPr>
        <w:t>200</w:t>
      </w:r>
      <w:r>
        <w:rPr>
          <w:rFonts w:hint="eastAsia" w:ascii="仿宋_GB2312" w:hAnsi="仿宋_GB2312" w:eastAsia="仿宋_GB2312" w:cs="仿宋_GB2312"/>
          <w:sz w:val="32"/>
          <w:szCs w:val="32"/>
        </w:rPr>
        <w:t>万元资金扶持。鼓励支持研发能力强、产学研用结合成效显著的企业成立院士专家工作站、博士后科研工作站等，给予一次性奖励</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支持大学生创新创业</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对叶城籍大中专毕业生</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月以来创新创业，解决就业</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人以上，具有行业引领性、示范性，有市场前景的创新创业项目给予支持。经认定，对符合条件的项目给予一次性补助</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支持企业贷款贴息</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对叶城县规模以上企业，及计划培育升入规模以上的企业重点产业化项目，经提前报备认定，给予贷款贴息。项目投资应在</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万元以上，或年销售收入</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万元以上；在当年度内发生的银行贷款（包括新上项目、改建、扩建项目新增固定资金贷款，流动资金贷款）额度</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万元（含）以上。经认定，按照当年基准利率给予贴息，单个企业贷款贴息金额最高不超过</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支持举办各类产业推介活动</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支持举办或外出参加经县人民政府批准的各类有利于促进产业发展的活动，包括宣传推广、展会、论坛等，经认定，按实际发生金额给予支持，每次活动一般不超过</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支持重大产业项目</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对叶城县贡献大、行业影响力强的产业项目或产业促进就业项目，按照“一事一议”原则，经县人民政府研究确定支持金额。</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（一）项目资金安排落实、总投入等情况分析</w:t>
      </w:r>
    </w:p>
    <w:p>
      <w:pPr>
        <w:spacing w:line="560" w:lineRule="exact"/>
        <w:ind w:firstLine="768" w:firstLineChars="240"/>
        <w:rPr>
          <w:rFonts w:ascii="仿宋_GB2312" w:hAnsi="仿宋_GB2312" w:eastAsia="仿宋_GB2312" w:cs="仿宋_GB2312"/>
          <w:sz w:val="32"/>
          <w:szCs w:val="32"/>
        </w:rPr>
      </w:pPr>
      <w:r>
        <w:rPr>
          <w:rFonts w:hint="eastAsia" w:ascii="仿宋_GB2312" w:hAnsi="仿宋_GB2312" w:eastAsia="仿宋_GB2312" w:cs="仿宋_GB2312"/>
          <w:sz w:val="32"/>
          <w:szCs w:val="32"/>
        </w:rPr>
        <w:t>项目预计总投资</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万元，上海援疆资金安排配套专项资金</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万元。</w:t>
      </w:r>
      <w:r>
        <w:rPr>
          <w:rFonts w:hint="eastAsia" w:ascii="仿宋" w:hAnsi="仿宋" w:eastAsia="仿宋"/>
          <w:bCs/>
          <w:spacing w:val="-4"/>
          <w:sz w:val="32"/>
          <w:szCs w:val="32"/>
        </w:rPr>
        <w:t>自筹资金</w:t>
      </w:r>
      <w:r>
        <w:rPr>
          <w:rFonts w:ascii="仿宋" w:hAnsi="仿宋" w:eastAsia="仿宋"/>
          <w:bCs/>
          <w:spacing w:val="-4"/>
          <w:sz w:val="32"/>
          <w:szCs w:val="32"/>
        </w:rPr>
        <w:t>0</w:t>
      </w:r>
      <w:r>
        <w:rPr>
          <w:rFonts w:hint="eastAsia" w:ascii="仿宋" w:hAnsi="仿宋" w:eastAsia="仿宋"/>
          <w:bCs/>
          <w:spacing w:val="-4"/>
          <w:sz w:val="32"/>
          <w:szCs w:val="32"/>
        </w:rPr>
        <w:t>万元，资金到位</w:t>
      </w:r>
      <w:r>
        <w:rPr>
          <w:rFonts w:ascii="仿宋" w:hAnsi="仿宋" w:eastAsia="仿宋"/>
          <w:bCs/>
          <w:spacing w:val="-4"/>
          <w:sz w:val="32"/>
          <w:szCs w:val="32"/>
        </w:rPr>
        <w:t>211</w:t>
      </w:r>
      <w:r>
        <w:rPr>
          <w:rFonts w:hint="eastAsia" w:ascii="仿宋" w:hAnsi="仿宋" w:eastAsia="仿宋"/>
          <w:bCs/>
          <w:spacing w:val="-4"/>
          <w:sz w:val="32"/>
          <w:szCs w:val="32"/>
        </w:rPr>
        <w:t>万元，资金到位率</w:t>
      </w:r>
      <w:r>
        <w:rPr>
          <w:rFonts w:ascii="仿宋" w:hAnsi="仿宋" w:eastAsia="仿宋"/>
          <w:bCs/>
          <w:spacing w:val="-4"/>
          <w:sz w:val="32"/>
          <w:szCs w:val="32"/>
        </w:rPr>
        <w:t>100%</w:t>
      </w:r>
    </w:p>
    <w:p>
      <w:pPr>
        <w:spacing w:line="560" w:lineRule="exact"/>
        <w:ind w:firstLine="567" w:firstLineChars="181"/>
        <w:rPr>
          <w:rStyle w:val="19"/>
          <w:rFonts w:ascii="楷体" w:hAnsi="楷体" w:eastAsia="楷体"/>
          <w:b w:val="0"/>
          <w:spacing w:val="-4"/>
          <w:sz w:val="32"/>
          <w:szCs w:val="32"/>
        </w:rPr>
      </w:pPr>
      <w:r>
        <w:rPr>
          <w:rStyle w:val="19"/>
          <w:rFonts w:hint="eastAsia" w:ascii="楷体" w:hAnsi="楷体" w:eastAsia="楷体"/>
          <w:spacing w:val="-4"/>
          <w:sz w:val="32"/>
          <w:szCs w:val="32"/>
        </w:rPr>
        <w:t>（二）项目资金实际使用情况分析</w:t>
      </w:r>
    </w:p>
    <w:p>
      <w:pPr>
        <w:pStyle w:val="4"/>
        <w:spacing w:line="56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1</w:t>
      </w:r>
      <w:r>
        <w:rPr>
          <w:rFonts w:hint="eastAsia" w:ascii="仿宋_GB2312" w:hAnsi="仿宋_GB2312" w:eastAsia="仿宋_GB2312" w:cs="仿宋_GB2312"/>
          <w:b w:val="0"/>
          <w:bCs w:val="0"/>
          <w:kern w:val="2"/>
          <w:sz w:val="32"/>
          <w:szCs w:val="32"/>
        </w:rPr>
        <w:t>、支付资金</w:t>
      </w:r>
      <w:r>
        <w:rPr>
          <w:rFonts w:ascii="仿宋_GB2312" w:hAnsi="仿宋_GB2312" w:eastAsia="仿宋_GB2312" w:cs="仿宋_GB2312"/>
          <w:b w:val="0"/>
          <w:bCs w:val="0"/>
          <w:kern w:val="2"/>
          <w:sz w:val="32"/>
          <w:szCs w:val="32"/>
        </w:rPr>
        <w:t>3000</w:t>
      </w:r>
      <w:r>
        <w:rPr>
          <w:rFonts w:hint="eastAsia" w:ascii="仿宋_GB2312" w:hAnsi="仿宋_GB2312" w:eastAsia="仿宋_GB2312" w:cs="仿宋_GB2312"/>
          <w:b w:val="0"/>
          <w:bCs w:val="0"/>
          <w:kern w:val="2"/>
          <w:sz w:val="32"/>
          <w:szCs w:val="32"/>
        </w:rPr>
        <w:t>万元，上海援疆资金安排配套专项资金</w:t>
      </w:r>
      <w:r>
        <w:rPr>
          <w:rFonts w:ascii="仿宋_GB2312" w:hAnsi="仿宋_GB2312" w:eastAsia="仿宋_GB2312" w:cs="仿宋_GB2312"/>
          <w:b w:val="0"/>
          <w:bCs w:val="0"/>
          <w:kern w:val="2"/>
          <w:sz w:val="32"/>
          <w:szCs w:val="32"/>
        </w:rPr>
        <w:t>3000</w:t>
      </w:r>
      <w:r>
        <w:rPr>
          <w:rFonts w:hint="eastAsia" w:ascii="仿宋_GB2312" w:hAnsi="仿宋_GB2312" w:eastAsia="仿宋_GB2312" w:cs="仿宋_GB2312"/>
          <w:b w:val="0"/>
          <w:bCs w:val="0"/>
          <w:kern w:val="2"/>
          <w:sz w:val="32"/>
          <w:szCs w:val="32"/>
        </w:rPr>
        <w:t>万元。</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产业援疆促进就业扶持资金使用管理遵循专款专用、公开透明、突出重点、统筹管理、加强监督的原则，确保资金使用规范、安全和高效。</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在申报、审核期间，企业因重大安全生产事故、环境污染事故、质量问题等受到行政处罚或停产倒闭的，取消申报资格，不予发放补助资金。</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企业申请专项资金，项目信息必须真实、完整。县商经委要将企业申请资金的情况纳入诚信管理，对弄虚作假、骗取补贴资金的企业，一经查实将收回已拨付的补贴资金，并依法依规进行处理。</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项目组织情况分析</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该项目是上海援疆资金建设项目,实施过程均按照上海援疆项目资金相关财务管理制度和本单位制定的管理制度执行。</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本项目不存在调整情况。</w:t>
      </w:r>
    </w:p>
    <w:p>
      <w:pPr>
        <w:spacing w:line="560" w:lineRule="exact"/>
        <w:ind w:firstLine="64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本项目由叶城县经信委、叶城县市场监督管理局、采购单位、供货单位、设计单位、监理单位、施工单位等有关单位进行验收。</w:t>
      </w:r>
    </w:p>
    <w:p>
      <w:pPr>
        <w:spacing w:line="560" w:lineRule="exact"/>
        <w:ind w:firstLine="640"/>
        <w:rPr>
          <w:rFonts w:hint="eastAsia" w:ascii="仿宋_GB2312" w:hAnsi="仿宋_GB2312" w:eastAsia="仿宋_GB2312" w:cs="仿宋_GB2312"/>
          <w:b w:val="0"/>
          <w:bCs w:val="0"/>
          <w:kern w:val="2"/>
          <w:sz w:val="32"/>
          <w:szCs w:val="32"/>
          <w:lang w:val="en-US" w:eastAsia="zh-CN" w:bidi="ar-SA"/>
        </w:rPr>
      </w:pPr>
      <w:r>
        <w:rPr>
          <w:rFonts w:ascii="楷体" w:hAnsi="楷体" w:eastAsia="楷体" w:cs="宋体"/>
          <w:b/>
          <w:color w:val="000000"/>
          <w:sz w:val="32"/>
        </w:rPr>
        <w:t>(</w:t>
      </w:r>
      <w:r>
        <w:rPr>
          <w:rFonts w:hint="eastAsia" w:ascii="楷体" w:hAnsi="楷体" w:eastAsia="楷体" w:cs="宋体"/>
          <w:b/>
          <w:color w:val="000000"/>
          <w:sz w:val="32"/>
        </w:rPr>
        <w:t>一</w:t>
      </w:r>
      <w:r>
        <w:rPr>
          <w:rFonts w:ascii="楷体" w:hAnsi="楷体" w:eastAsia="楷体" w:cs="宋体"/>
          <w:b/>
          <w:color w:val="000000"/>
          <w:sz w:val="32"/>
        </w:rPr>
        <w:t>)</w:t>
      </w:r>
      <w:r>
        <w:rPr>
          <w:rFonts w:hint="eastAsia" w:ascii="楷体" w:hAnsi="楷体" w:eastAsia="楷体" w:cs="宋体"/>
          <w:b/>
          <w:color w:val="000000"/>
          <w:sz w:val="32"/>
        </w:rPr>
        <w:t>组织发动。</w:t>
      </w:r>
      <w:r>
        <w:rPr>
          <w:rFonts w:hint="eastAsia" w:ascii="仿宋_GB2312" w:hAnsi="仿宋_GB2312" w:eastAsia="仿宋_GB2312" w:cs="仿宋_GB2312"/>
          <w:b w:val="0"/>
          <w:bCs w:val="0"/>
          <w:kern w:val="2"/>
          <w:sz w:val="32"/>
          <w:szCs w:val="32"/>
          <w:lang w:val="en-US" w:eastAsia="zh-CN" w:bidi="ar-SA"/>
        </w:rPr>
        <w:t>每年由县商经委牵头，对园区及相关乡镇企业进行政策宣传、发动，及时将有关要求告知企业。</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ascii="楷体" w:hAnsi="楷体" w:eastAsia="楷体" w:cs="宋体"/>
          <w:b/>
          <w:color w:val="000000"/>
          <w:sz w:val="32"/>
        </w:rPr>
        <w:t>(</w:t>
      </w:r>
      <w:r>
        <w:rPr>
          <w:rFonts w:hint="eastAsia" w:ascii="楷体" w:hAnsi="楷体" w:eastAsia="楷体" w:cs="宋体"/>
          <w:b/>
          <w:color w:val="000000"/>
          <w:sz w:val="32"/>
        </w:rPr>
        <w:t>二</w:t>
      </w:r>
      <w:r>
        <w:rPr>
          <w:rFonts w:ascii="楷体" w:hAnsi="楷体" w:eastAsia="楷体" w:cs="宋体"/>
          <w:b/>
          <w:color w:val="000000"/>
          <w:sz w:val="32"/>
        </w:rPr>
        <w:t>)</w:t>
      </w:r>
      <w:r>
        <w:rPr>
          <w:rFonts w:hint="eastAsia" w:ascii="楷体" w:hAnsi="楷体" w:eastAsia="楷体" w:cs="宋体"/>
          <w:b/>
          <w:color w:val="000000"/>
          <w:sz w:val="32"/>
        </w:rPr>
        <w:t>申报程序。</w:t>
      </w:r>
      <w:r>
        <w:rPr>
          <w:rFonts w:hint="eastAsia" w:ascii="仿宋_GB2312" w:hAnsi="仿宋_GB2312" w:eastAsia="仿宋_GB2312" w:cs="仿宋_GB2312"/>
          <w:b w:val="0"/>
          <w:bCs w:val="0"/>
          <w:kern w:val="2"/>
          <w:sz w:val="32"/>
          <w:szCs w:val="32"/>
          <w:lang w:val="en-US" w:eastAsia="zh-CN" w:bidi="ar-SA"/>
        </w:rPr>
        <w:t>提出资助申请的企业，每年在5月、10月将申报材料一式二份报县商经委。县商经委收齐材料，初审后提交专项评审组审核。</w:t>
      </w:r>
    </w:p>
    <w:p>
      <w:pPr>
        <w:spacing w:line="560" w:lineRule="exact"/>
        <w:ind w:firstLine="585"/>
        <w:rPr>
          <w:rFonts w:ascii="宋体" w:cs="宋体"/>
          <w:color w:val="000000"/>
          <w:sz w:val="32"/>
        </w:rPr>
      </w:pPr>
      <w:r>
        <w:rPr>
          <w:rFonts w:ascii="楷体" w:hAnsi="楷体" w:eastAsia="楷体" w:cs="宋体"/>
          <w:b/>
          <w:color w:val="000000"/>
          <w:sz w:val="32"/>
        </w:rPr>
        <w:t>(</w:t>
      </w:r>
      <w:r>
        <w:rPr>
          <w:rFonts w:hint="eastAsia" w:ascii="楷体" w:hAnsi="楷体" w:eastAsia="楷体" w:cs="宋体"/>
          <w:b/>
          <w:color w:val="000000"/>
          <w:sz w:val="32"/>
        </w:rPr>
        <w:t>三</w:t>
      </w:r>
      <w:r>
        <w:rPr>
          <w:rFonts w:ascii="楷体" w:hAnsi="楷体" w:eastAsia="楷体" w:cs="宋体"/>
          <w:b/>
          <w:color w:val="000000"/>
          <w:sz w:val="32"/>
        </w:rPr>
        <w:t>)</w:t>
      </w:r>
      <w:r>
        <w:rPr>
          <w:rFonts w:hint="eastAsia" w:ascii="楷体" w:hAnsi="楷体" w:eastAsia="楷体" w:cs="宋体"/>
          <w:b/>
          <w:color w:val="000000"/>
          <w:sz w:val="32"/>
        </w:rPr>
        <w:t>材料要求。</w:t>
      </w:r>
      <w:r>
        <w:rPr>
          <w:rFonts w:hint="eastAsia" w:ascii="仿宋_GB2312" w:hAnsi="仿宋_GB2312" w:eastAsia="仿宋_GB2312" w:cs="仿宋_GB2312"/>
          <w:b w:val="0"/>
          <w:bCs w:val="0"/>
          <w:kern w:val="2"/>
          <w:sz w:val="32"/>
          <w:szCs w:val="32"/>
          <w:lang w:val="en-US" w:eastAsia="zh-CN" w:bidi="ar-SA"/>
        </w:rPr>
        <w:t>申报专项资金的企业，需提供以下材料：</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1、《叶城县产业援疆促进就业扶持资金项目申请表》；</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2、企业员工花名册、工资报表、劳动合和及相关依据；</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3、项目投资原始票据及复印件；</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4、其他相关材料（根据不和资金类型提供）。</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楷体" w:hAnsi="楷体" w:eastAsia="楷体" w:cs="宋体"/>
          <w:b/>
          <w:color w:val="000000"/>
          <w:sz w:val="32"/>
        </w:rPr>
        <w:t>（四）项目审核。</w:t>
      </w:r>
      <w:r>
        <w:rPr>
          <w:rFonts w:hint="eastAsia" w:ascii="仿宋_GB2312" w:hAnsi="仿宋_GB2312" w:eastAsia="仿宋_GB2312" w:cs="仿宋_GB2312"/>
          <w:b w:val="0"/>
          <w:bCs w:val="0"/>
          <w:kern w:val="2"/>
          <w:sz w:val="32"/>
          <w:szCs w:val="32"/>
          <w:lang w:val="en-US" w:eastAsia="zh-CN" w:bidi="ar-SA"/>
        </w:rPr>
        <w:t>建立专项评审组，评审组由县商经委牵头，县人社局、扶贫办、财政局、工业园区管委会等部门组成。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专项评审组委托第三方机构完成项目资料审查、实地查看、评估等工作。专项评审组根据第三方机构的评审报告，提出拟补助企业名单、补助项目和补助金额，上报县人民政府批准。批准后通过一定渠道进行公示7天。</w:t>
      </w:r>
    </w:p>
    <w:p>
      <w:p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项目管理情况分析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实施过程中，叶城县援疆办、叶城县经信委建立了严格的规章制度体系和严密的把关体系，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宋体" w:hAnsi="宋体" w:cs="宋体"/>
          <w:color w:val="000000"/>
          <w:sz w:val="32"/>
        </w:rPr>
        <w:t>资金拨付：</w:t>
      </w:r>
      <w:r>
        <w:rPr>
          <w:rFonts w:hint="eastAsia" w:ascii="仿宋_GB2312" w:hAnsi="仿宋_GB2312" w:eastAsia="仿宋_GB2312" w:cs="仿宋_GB2312"/>
          <w:b w:val="0"/>
          <w:bCs w:val="0"/>
          <w:kern w:val="2"/>
          <w:sz w:val="32"/>
          <w:szCs w:val="32"/>
          <w:lang w:val="en-US" w:eastAsia="zh-CN" w:bidi="ar-SA"/>
        </w:rPr>
        <w:t>上海援疆叶城分指挥部根据县人民政府的批复意见，按照援疆资金管理办法将资金拨付给县商经委，县商经委按规定程序将补贴资金拨付至企业，每年分两次完成补贴资金拨付。产业援疆促进就业扶持资金使用管理遵循专款专用、公开透明、突出重点、统筹管理、加强监督的原则，确保资金使用规范、安全和高效。</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在申报、审核期间</w:t>
      </w:r>
      <w:r>
        <w:rPr>
          <w:rFonts w:hint="eastAsia" w:ascii="宋体" w:hAnsi="宋体" w:cs="宋体"/>
          <w:color w:val="000000"/>
          <w:sz w:val="32"/>
        </w:rPr>
        <w:t>，</w:t>
      </w:r>
      <w:r>
        <w:rPr>
          <w:rFonts w:hint="eastAsia" w:ascii="仿宋_GB2312" w:hAnsi="仿宋_GB2312" w:eastAsia="仿宋_GB2312" w:cs="仿宋_GB2312"/>
          <w:b w:val="0"/>
          <w:bCs w:val="0"/>
          <w:kern w:val="2"/>
          <w:sz w:val="32"/>
          <w:szCs w:val="32"/>
          <w:lang w:val="en-US" w:eastAsia="zh-CN" w:bidi="ar-SA"/>
        </w:rPr>
        <w:t>企业因重大安全生产事故、环境污染事故、质量问题等受到行政处罚或停产倒闭的，取消申报资格，不予发放补助资金。</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企业申请专项资金，项目信息必须真实、完整。县商经委要将企业申请资金的情况纳入诚信管理，对弄虚作假、骗取补贴资金的企业，一经查实将收回已拨付的补贴资金，并依法依规进行处理。</w:t>
      </w:r>
    </w:p>
    <w:p>
      <w:pPr>
        <w:spacing w:line="560" w:lineRule="exact"/>
        <w:ind w:firstLine="585"/>
        <w:rPr>
          <w:rFonts w:ascii="宋体" w:cs="宋体"/>
          <w:color w:val="000000"/>
          <w:sz w:val="32"/>
        </w:rPr>
      </w:pPr>
      <w:r>
        <w:rPr>
          <w:rFonts w:hint="eastAsia" w:ascii="宋体" w:hAnsi="宋体" w:cs="宋体"/>
          <w:b/>
          <w:bCs/>
          <w:color w:val="000000"/>
          <w:sz w:val="32"/>
        </w:rPr>
        <w:t>四、项目绩效情况</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本项目共设置一级指标3个，二级指标9个，三级指标9个，其中已完成三级指标9个，指标完成率为100%，根据年初设定的绩效目标，此项目自评得分为96分。</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1.产出指标完成情况分析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（1）项目完成数量</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数量指标全部完成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（2）项目完成质量</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质量指标验收合格率100%</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（3）项目实施进度</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项目按照年初既定目标按时拨付率100%</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（4）项目成本节约情况</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降低企业成本3000万元</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减轻地方财政负担3000万元</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2.效益指标完成情况分析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（1）项目实施的经济效益分析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无</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（2）项目实施的社会效益分析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电商队伍，提升电子商务水平，加快电子商务发展步伐，扩大电子商务资源覆盖范围：逐年提高</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（3）项目实施的生态效益分析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无</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（4）项目实施的可持续影响分析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建设项目可持续使用年限10年</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3.满意度指标完成情况分析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按计划完成项目实施，已做满意度调查问卷，从事电子商务人员满意度达95%，服务对象满意度指标完成。</w:t>
      </w:r>
    </w:p>
    <w:p>
      <w:pPr>
        <w:spacing w:line="560" w:lineRule="exact"/>
        <w:ind w:firstLine="585"/>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（二）项目绩效目标未完成原因分析</w:t>
      </w:r>
    </w:p>
    <w:p>
      <w:pPr>
        <w:spacing w:line="560" w:lineRule="exact"/>
        <w:ind w:firstLine="585"/>
        <w:rPr>
          <w:rFonts w:ascii="宋体" w:cs="宋体"/>
          <w:color w:val="000000"/>
          <w:sz w:val="32"/>
        </w:rPr>
      </w:pPr>
      <w:r>
        <w:rPr>
          <w:rFonts w:hint="eastAsia" w:ascii="仿宋_GB2312" w:hAnsi="仿宋_GB2312" w:eastAsia="仿宋_GB2312" w:cs="仿宋_GB2312"/>
          <w:b w:val="0"/>
          <w:bCs w:val="0"/>
          <w:kern w:val="2"/>
          <w:sz w:val="32"/>
          <w:szCs w:val="32"/>
          <w:lang w:val="en-US" w:eastAsia="zh-CN" w:bidi="ar-SA"/>
        </w:rPr>
        <w:t>2018年本项目绩效目标不存在未完成原因分析。</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640" w:firstLineChars="200"/>
        <w:rPr>
          <w:color w:val="000000"/>
          <w:sz w:val="32"/>
          <w:szCs w:val="32"/>
        </w:rPr>
      </w:pPr>
      <w:r>
        <w:rPr>
          <w:rFonts w:hint="eastAsia" w:ascii="仿宋_GB2312" w:hAnsi="仿宋_GB2312" w:eastAsia="仿宋_GB2312" w:cs="仿宋_GB2312"/>
          <w:b w:val="0"/>
          <w:bCs w:val="0"/>
          <w:kern w:val="2"/>
          <w:sz w:val="32"/>
          <w:szCs w:val="32"/>
          <w:lang w:val="en-US" w:eastAsia="zh-CN" w:bidi="ar-SA"/>
        </w:rPr>
        <w:t>加快资金支付力度。</w:t>
      </w:r>
    </w:p>
    <w:p>
      <w:pPr>
        <w:numPr>
          <w:ilvl w:val="0"/>
          <w:numId w:val="1"/>
        </w:num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1、主要经验及做法：明确职责任务，加强组织领导。加强政策宣传，做好资料收集。严格资格审查，公开公示名单。严格上海援疆资金建设项目资金核拨及发放。</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情况摸底。一是全县产业基础情况，包括特色农产品、工业品、旅游等产业发展规模及特色产业市场覆盖面、市场占有率等情况。二是全县电商基础情况，包括物流快递企业及从业人员、电子商务交易额、本地网购情况以及基层服务网点数据等。三是全县特色产业和特色产品情况，包括核桃、红枣、杏子、石榴等农特产品。</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（2）、制定方案。制定电子商务进农村发展实施方案，成立叶城县电子商务进农村工作领导小组，按照相关规定及时开展各项工作。</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（3）、完成申报。根据商务部、自治区有关要求，完成电子商务进农村综合示范县申报工作。</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2、存在的问题 暂无</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3、建议</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暂无</w:t>
      </w:r>
    </w:p>
    <w:p>
      <w:pPr>
        <w:spacing w:line="560" w:lineRule="exact"/>
        <w:ind w:firstLine="579" w:firstLineChars="181"/>
        <w:rPr>
          <w:color w:val="000000"/>
          <w:sz w:val="32"/>
          <w:szCs w:val="32"/>
        </w:rPr>
      </w:pPr>
      <w:r>
        <w:rPr>
          <w:rFonts w:hint="eastAsia"/>
          <w:color w:val="000000"/>
          <w:sz w:val="32"/>
          <w:szCs w:val="32"/>
        </w:rPr>
        <w:t>（三）其他</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无其他说明内容。</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次评价通过文件研读、实地调研、数据分析等方式，全面了解2018年上海援疆资金建设项目的资金使用效率和效果，项目管理过程规范，完成了预期绩效目标。和时，通过开展自我评价来总结经验和教训，为我单位2019年上海援疆资金建设项目今后的开展提供参考建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w:t>
      </w:r>
      <w:bookmarkStart w:id="0" w:name="_GoBack"/>
      <w:r>
        <w:rPr>
          <w:rFonts w:hint="eastAsia" w:ascii="仿宋_GB2312" w:hAnsi="仿宋_GB2312" w:eastAsia="仿宋_GB2312" w:cs="仿宋_GB2312"/>
          <w:b w:val="0"/>
          <w:bCs w:val="0"/>
          <w:kern w:val="2"/>
          <w:sz w:val="32"/>
          <w:szCs w:val="32"/>
          <w:lang w:val="en-US" w:eastAsia="zh-CN" w:bidi="ar-SA"/>
        </w:rPr>
        <w:t>项目支出绩效目标自评表</w:t>
      </w:r>
      <w:bookmarkEnd w:id="0"/>
      <w:r>
        <w:rPr>
          <w:rStyle w:val="19"/>
          <w:rFonts w:hint="eastAsia" w:ascii="仿宋" w:hAnsi="仿宋" w:eastAsia="仿宋"/>
          <w:b w:val="0"/>
          <w:spacing w:val="-4"/>
          <w:sz w:val="32"/>
          <w:szCs w:val="32"/>
        </w:rPr>
        <w:t>》</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D9364F"/>
    <w:multiLevelType w:val="singleLevel"/>
    <w:tmpl w:val="7FD9364F"/>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22D19"/>
    <w:rsid w:val="00056465"/>
    <w:rsid w:val="00121AE4"/>
    <w:rsid w:val="001345FF"/>
    <w:rsid w:val="00146AAD"/>
    <w:rsid w:val="0019344B"/>
    <w:rsid w:val="001B3A40"/>
    <w:rsid w:val="00316A69"/>
    <w:rsid w:val="00340689"/>
    <w:rsid w:val="00400C71"/>
    <w:rsid w:val="004173D0"/>
    <w:rsid w:val="004366A8"/>
    <w:rsid w:val="004C2381"/>
    <w:rsid w:val="00502BA7"/>
    <w:rsid w:val="005162F1"/>
    <w:rsid w:val="00535153"/>
    <w:rsid w:val="00535EB0"/>
    <w:rsid w:val="00541F4D"/>
    <w:rsid w:val="00554F82"/>
    <w:rsid w:val="0056390D"/>
    <w:rsid w:val="005719B0"/>
    <w:rsid w:val="005D10D6"/>
    <w:rsid w:val="005D2708"/>
    <w:rsid w:val="005F0136"/>
    <w:rsid w:val="005F5EA8"/>
    <w:rsid w:val="00641F9D"/>
    <w:rsid w:val="006C7715"/>
    <w:rsid w:val="00732D06"/>
    <w:rsid w:val="007A5D6A"/>
    <w:rsid w:val="007F1CC9"/>
    <w:rsid w:val="007F596F"/>
    <w:rsid w:val="00855E3A"/>
    <w:rsid w:val="00922CB9"/>
    <w:rsid w:val="00926D46"/>
    <w:rsid w:val="009E5CD9"/>
    <w:rsid w:val="009F6D52"/>
    <w:rsid w:val="00A26421"/>
    <w:rsid w:val="00A4293B"/>
    <w:rsid w:val="00A67D50"/>
    <w:rsid w:val="00A8691A"/>
    <w:rsid w:val="00A93A28"/>
    <w:rsid w:val="00AC1946"/>
    <w:rsid w:val="00AF5A33"/>
    <w:rsid w:val="00B40063"/>
    <w:rsid w:val="00B41F61"/>
    <w:rsid w:val="00BA46E6"/>
    <w:rsid w:val="00C56C72"/>
    <w:rsid w:val="00C76C14"/>
    <w:rsid w:val="00CA6457"/>
    <w:rsid w:val="00CB1B2A"/>
    <w:rsid w:val="00CE5982"/>
    <w:rsid w:val="00D17F2E"/>
    <w:rsid w:val="00D30354"/>
    <w:rsid w:val="00D40CEE"/>
    <w:rsid w:val="00DF42A0"/>
    <w:rsid w:val="00E23845"/>
    <w:rsid w:val="00E6668C"/>
    <w:rsid w:val="00E70685"/>
    <w:rsid w:val="00E769FE"/>
    <w:rsid w:val="00EA24D9"/>
    <w:rsid w:val="00EA2CBE"/>
    <w:rsid w:val="00F0276C"/>
    <w:rsid w:val="00F32FEE"/>
    <w:rsid w:val="00F77DDB"/>
    <w:rsid w:val="00FB10BB"/>
    <w:rsid w:val="01184462"/>
    <w:rsid w:val="03A63E81"/>
    <w:rsid w:val="07D00604"/>
    <w:rsid w:val="0FCC2771"/>
    <w:rsid w:val="10A001A2"/>
    <w:rsid w:val="1296698A"/>
    <w:rsid w:val="14325428"/>
    <w:rsid w:val="1E9B0816"/>
    <w:rsid w:val="24464B55"/>
    <w:rsid w:val="32701447"/>
    <w:rsid w:val="345068A9"/>
    <w:rsid w:val="3665625B"/>
    <w:rsid w:val="3DA67487"/>
    <w:rsid w:val="3ED358A3"/>
    <w:rsid w:val="3EF63D69"/>
    <w:rsid w:val="3F5F296E"/>
    <w:rsid w:val="3F9C30BA"/>
    <w:rsid w:val="40C72A25"/>
    <w:rsid w:val="419F6E96"/>
    <w:rsid w:val="4FF91767"/>
    <w:rsid w:val="536C1EE6"/>
    <w:rsid w:val="60A50033"/>
    <w:rsid w:val="60F002BA"/>
    <w:rsid w:val="63B60F0D"/>
    <w:rsid w:val="767A48A8"/>
    <w:rsid w:val="7B5769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2">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1"/>
    <w:semiHidden/>
    <w:qFormat/>
    <w:uiPriority w:val="99"/>
    <w:rPr>
      <w:sz w:val="18"/>
      <w:szCs w:val="18"/>
    </w:rPr>
  </w:style>
  <w:style w:type="paragraph" w:styleId="12">
    <w:name w:val="footer"/>
    <w:basedOn w:val="1"/>
    <w:link w:val="32"/>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3"/>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4"/>
    <w:qFormat/>
    <w:uiPriority w:val="99"/>
    <w:pPr>
      <w:widowControl/>
      <w:spacing w:after="60"/>
      <w:jc w:val="center"/>
      <w:outlineLvl w:val="1"/>
    </w:pPr>
    <w:rPr>
      <w:rFonts w:ascii="Cambria" w:hAnsi="Cambria"/>
      <w:kern w:val="0"/>
      <w:sz w:val="24"/>
    </w:rPr>
  </w:style>
  <w:style w:type="paragraph" w:styleId="15">
    <w:name w:val="footnote text"/>
    <w:basedOn w:val="1"/>
    <w:link w:val="35"/>
    <w:semiHidden/>
    <w:qFormat/>
    <w:uiPriority w:val="99"/>
    <w:pPr>
      <w:snapToGrid w:val="0"/>
      <w:jc w:val="left"/>
    </w:pPr>
    <w:rPr>
      <w:sz w:val="18"/>
      <w:szCs w:val="18"/>
    </w:rPr>
  </w:style>
  <w:style w:type="paragraph" w:styleId="16">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19">
    <w:name w:val="Strong"/>
    <w:qFormat/>
    <w:uiPriority w:val="99"/>
    <w:rPr>
      <w:rFonts w:cs="Times New Roman"/>
      <w:b/>
      <w:bCs/>
    </w:rPr>
  </w:style>
  <w:style w:type="character" w:styleId="20">
    <w:name w:val="Emphasis"/>
    <w:qFormat/>
    <w:uiPriority w:val="99"/>
    <w:rPr>
      <w:rFonts w:ascii="Calibri" w:hAnsi="Calibri" w:cs="Times New Roman"/>
      <w:b/>
      <w:i/>
      <w:iCs/>
    </w:rPr>
  </w:style>
  <w:style w:type="character" w:styleId="21">
    <w:name w:val="footnote reference"/>
    <w:semiHidden/>
    <w:qFormat/>
    <w:uiPriority w:val="99"/>
    <w:rPr>
      <w:rFonts w:cs="Times New Roman"/>
      <w:vertAlign w:val="superscript"/>
    </w:rPr>
  </w:style>
  <w:style w:type="character" w:customStyle="1" w:styleId="22">
    <w:name w:val="标题 1 Char"/>
    <w:link w:val="3"/>
    <w:locked/>
    <w:uiPriority w:val="99"/>
    <w:rPr>
      <w:rFonts w:ascii="Cambria" w:hAnsi="Cambria" w:eastAsia="宋体" w:cs="Times New Roman"/>
      <w:b/>
      <w:bCs/>
      <w:kern w:val="32"/>
      <w:sz w:val="32"/>
      <w:szCs w:val="32"/>
    </w:rPr>
  </w:style>
  <w:style w:type="character" w:customStyle="1" w:styleId="23">
    <w:name w:val="标题 2 Char"/>
    <w:link w:val="2"/>
    <w:semiHidden/>
    <w:locked/>
    <w:uiPriority w:val="99"/>
    <w:rPr>
      <w:rFonts w:ascii="Cambria" w:hAnsi="Cambria" w:eastAsia="宋体" w:cs="Times New Roman"/>
      <w:b/>
      <w:bCs/>
      <w:i/>
      <w:iCs/>
      <w:sz w:val="28"/>
      <w:szCs w:val="28"/>
    </w:rPr>
  </w:style>
  <w:style w:type="character" w:customStyle="1" w:styleId="24">
    <w:name w:val="标题 3 Char"/>
    <w:link w:val="4"/>
    <w:semiHidden/>
    <w:locked/>
    <w:uiPriority w:val="99"/>
    <w:rPr>
      <w:rFonts w:ascii="Cambria" w:hAnsi="Cambria" w:eastAsia="宋体" w:cs="Times New Roman"/>
      <w:b/>
      <w:bCs/>
      <w:sz w:val="26"/>
      <w:szCs w:val="26"/>
    </w:rPr>
  </w:style>
  <w:style w:type="character" w:customStyle="1" w:styleId="25">
    <w:name w:val="标题 4 Char"/>
    <w:link w:val="5"/>
    <w:semiHidden/>
    <w:locked/>
    <w:uiPriority w:val="99"/>
    <w:rPr>
      <w:rFonts w:cs="Times New Roman"/>
      <w:b/>
      <w:bCs/>
      <w:sz w:val="28"/>
      <w:szCs w:val="28"/>
    </w:rPr>
  </w:style>
  <w:style w:type="character" w:customStyle="1" w:styleId="26">
    <w:name w:val="标题 5 Char"/>
    <w:link w:val="6"/>
    <w:semiHidden/>
    <w:locked/>
    <w:uiPriority w:val="99"/>
    <w:rPr>
      <w:rFonts w:cs="Times New Roman"/>
      <w:b/>
      <w:bCs/>
      <w:i/>
      <w:iCs/>
      <w:sz w:val="26"/>
      <w:szCs w:val="26"/>
    </w:rPr>
  </w:style>
  <w:style w:type="character" w:customStyle="1" w:styleId="27">
    <w:name w:val="标题 6 Char"/>
    <w:link w:val="7"/>
    <w:semiHidden/>
    <w:locked/>
    <w:uiPriority w:val="99"/>
    <w:rPr>
      <w:rFonts w:cs="Times New Roman"/>
      <w:b/>
      <w:bCs/>
    </w:rPr>
  </w:style>
  <w:style w:type="character" w:customStyle="1" w:styleId="28">
    <w:name w:val="标题 7 Char"/>
    <w:link w:val="8"/>
    <w:semiHidden/>
    <w:qFormat/>
    <w:locked/>
    <w:uiPriority w:val="99"/>
    <w:rPr>
      <w:rFonts w:cs="Times New Roman"/>
      <w:sz w:val="24"/>
      <w:szCs w:val="24"/>
    </w:rPr>
  </w:style>
  <w:style w:type="character" w:customStyle="1" w:styleId="29">
    <w:name w:val="标题 8 Char"/>
    <w:link w:val="9"/>
    <w:semiHidden/>
    <w:qFormat/>
    <w:locked/>
    <w:uiPriority w:val="99"/>
    <w:rPr>
      <w:rFonts w:cs="Times New Roman"/>
      <w:i/>
      <w:iCs/>
      <w:sz w:val="24"/>
      <w:szCs w:val="24"/>
    </w:rPr>
  </w:style>
  <w:style w:type="character" w:customStyle="1" w:styleId="30">
    <w:name w:val="标题 9 Char"/>
    <w:link w:val="10"/>
    <w:semiHidden/>
    <w:locked/>
    <w:uiPriority w:val="99"/>
    <w:rPr>
      <w:rFonts w:ascii="Cambria" w:hAnsi="Cambria" w:eastAsia="宋体" w:cs="Times New Roman"/>
    </w:rPr>
  </w:style>
  <w:style w:type="character" w:customStyle="1" w:styleId="31">
    <w:name w:val="批注框文本 Char"/>
    <w:link w:val="11"/>
    <w:semiHidden/>
    <w:qFormat/>
    <w:locked/>
    <w:uiPriority w:val="99"/>
    <w:rPr>
      <w:rFonts w:ascii="Times New Roman" w:hAnsi="Times New Roman" w:eastAsia="宋体" w:cs="Times New Roman"/>
      <w:kern w:val="2"/>
      <w:sz w:val="18"/>
      <w:szCs w:val="18"/>
    </w:rPr>
  </w:style>
  <w:style w:type="character" w:customStyle="1" w:styleId="32">
    <w:name w:val="页脚 Char"/>
    <w:link w:val="12"/>
    <w:qFormat/>
    <w:locked/>
    <w:uiPriority w:val="99"/>
    <w:rPr>
      <w:rFonts w:ascii="Calibri" w:hAnsi="Calibri" w:eastAsia="宋体" w:cs="Times New Roman"/>
      <w:kern w:val="2"/>
      <w:sz w:val="18"/>
      <w:szCs w:val="18"/>
    </w:rPr>
  </w:style>
  <w:style w:type="character" w:customStyle="1" w:styleId="33">
    <w:name w:val="页眉 Char"/>
    <w:link w:val="13"/>
    <w:qFormat/>
    <w:locked/>
    <w:uiPriority w:val="99"/>
    <w:rPr>
      <w:rFonts w:ascii="Calibri" w:hAnsi="Calibri" w:eastAsia="宋体" w:cs="Times New Roman"/>
      <w:kern w:val="2"/>
      <w:sz w:val="18"/>
      <w:szCs w:val="18"/>
    </w:rPr>
  </w:style>
  <w:style w:type="character" w:customStyle="1" w:styleId="34">
    <w:name w:val="副标题 Char"/>
    <w:link w:val="14"/>
    <w:qFormat/>
    <w:locked/>
    <w:uiPriority w:val="99"/>
    <w:rPr>
      <w:rFonts w:ascii="Cambria" w:hAnsi="Cambria" w:eastAsia="宋体" w:cs="Times New Roman"/>
      <w:sz w:val="24"/>
      <w:szCs w:val="24"/>
    </w:rPr>
  </w:style>
  <w:style w:type="character" w:customStyle="1" w:styleId="35">
    <w:name w:val="脚注文本 Char"/>
    <w:link w:val="15"/>
    <w:semiHidden/>
    <w:uiPriority w:val="99"/>
    <w:rPr>
      <w:rFonts w:ascii="Times New Roman" w:hAnsi="Times New Roman"/>
      <w:sz w:val="18"/>
      <w:szCs w:val="18"/>
    </w:rPr>
  </w:style>
  <w:style w:type="character" w:customStyle="1" w:styleId="36">
    <w:name w:val="标题 Char"/>
    <w:link w:val="16"/>
    <w:locked/>
    <w:uiPriority w:val="99"/>
    <w:rPr>
      <w:rFonts w:ascii="Cambria" w:hAnsi="Cambria" w:eastAsia="宋体" w:cs="Times New Roman"/>
      <w:b/>
      <w:bCs/>
      <w:kern w:val="28"/>
      <w:sz w:val="32"/>
      <w:szCs w:val="32"/>
    </w:rPr>
  </w:style>
  <w:style w:type="paragraph" w:styleId="37">
    <w:name w:val="No Spacing"/>
    <w:basedOn w:val="1"/>
    <w:qFormat/>
    <w:uiPriority w:val="99"/>
    <w:pPr>
      <w:widowControl/>
      <w:jc w:val="left"/>
    </w:pPr>
    <w:rPr>
      <w:rFonts w:ascii="Calibri" w:hAnsi="Calibri"/>
      <w:kern w:val="0"/>
      <w:sz w:val="24"/>
      <w:szCs w:val="32"/>
      <w:lang w:eastAsia="en-US"/>
    </w:rPr>
  </w:style>
  <w:style w:type="paragraph" w:styleId="38">
    <w:name w:val="List Paragraph"/>
    <w:basedOn w:val="1"/>
    <w:qFormat/>
    <w:uiPriority w:val="99"/>
    <w:pPr>
      <w:widowControl/>
      <w:ind w:left="720"/>
      <w:contextualSpacing/>
      <w:jc w:val="left"/>
    </w:pPr>
    <w:rPr>
      <w:rFonts w:ascii="Calibri" w:hAnsi="Calibri"/>
      <w:kern w:val="0"/>
      <w:sz w:val="24"/>
      <w:lang w:eastAsia="en-US"/>
    </w:rPr>
  </w:style>
  <w:style w:type="paragraph" w:styleId="39">
    <w:name w:val="Quote"/>
    <w:basedOn w:val="1"/>
    <w:next w:val="1"/>
    <w:link w:val="40"/>
    <w:qFormat/>
    <w:uiPriority w:val="99"/>
    <w:pPr>
      <w:widowControl/>
      <w:jc w:val="left"/>
    </w:pPr>
    <w:rPr>
      <w:rFonts w:ascii="Calibri" w:hAnsi="Calibri"/>
      <w:i/>
      <w:kern w:val="0"/>
      <w:sz w:val="24"/>
    </w:rPr>
  </w:style>
  <w:style w:type="character" w:customStyle="1" w:styleId="40">
    <w:name w:val="引用 Char"/>
    <w:link w:val="39"/>
    <w:qFormat/>
    <w:locked/>
    <w:uiPriority w:val="99"/>
    <w:rPr>
      <w:rFonts w:cs="Times New Roman"/>
      <w:i/>
      <w:sz w:val="24"/>
      <w:szCs w:val="24"/>
    </w:rPr>
  </w:style>
  <w:style w:type="paragraph"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link w:val="41"/>
    <w:qFormat/>
    <w:locked/>
    <w:uiPriority w:val="99"/>
    <w:rPr>
      <w:rFonts w:cs="Times New Roman"/>
      <w:b/>
      <w:i/>
      <w:sz w:val="24"/>
    </w:rPr>
  </w:style>
  <w:style w:type="character" w:customStyle="1" w:styleId="43">
    <w:name w:val="不明显强调1"/>
    <w:qFormat/>
    <w:uiPriority w:val="99"/>
    <w:rPr>
      <w:i/>
      <w:color w:val="595959"/>
    </w:rPr>
  </w:style>
  <w:style w:type="character" w:customStyle="1" w:styleId="44">
    <w:name w:val="明显强调1"/>
    <w:uiPriority w:val="99"/>
    <w:rPr>
      <w:rFonts w:cs="Times New Roman"/>
      <w:b/>
      <w:i/>
      <w:sz w:val="24"/>
      <w:szCs w:val="24"/>
      <w:u w:val="single"/>
    </w:rPr>
  </w:style>
  <w:style w:type="character" w:customStyle="1" w:styleId="45">
    <w:name w:val="不明显参考1"/>
    <w:qFormat/>
    <w:uiPriority w:val="99"/>
    <w:rPr>
      <w:rFonts w:cs="Times New Roman"/>
      <w:sz w:val="24"/>
      <w:szCs w:val="24"/>
      <w:u w:val="single"/>
    </w:rPr>
  </w:style>
  <w:style w:type="character" w:customStyle="1" w:styleId="46">
    <w:name w:val="明显参考1"/>
    <w:uiPriority w:val="99"/>
    <w:rPr>
      <w:rFonts w:cs="Times New Roman"/>
      <w:b/>
      <w:sz w:val="24"/>
      <w:u w:val="single"/>
    </w:rPr>
  </w:style>
  <w:style w:type="character" w:customStyle="1" w:styleId="47">
    <w:name w:val="书籍标题1"/>
    <w:uiPriority w:val="99"/>
    <w:rPr>
      <w:rFonts w:ascii="Cambria" w:hAnsi="Cambria" w:eastAsia="宋体" w:cs="Times New Roman"/>
      <w:b/>
      <w:i/>
      <w:sz w:val="24"/>
      <w:szCs w:val="24"/>
    </w:rPr>
  </w:style>
  <w:style w:type="paragraph" w:customStyle="1" w:styleId="48">
    <w:name w:val="TOC 标题1"/>
    <w:basedOn w:val="3"/>
    <w:next w:val="1"/>
    <w:semiHidden/>
    <w:qFormat/>
    <w:uiPriority w:val="99"/>
    <w:pPr>
      <w:outlineLvl w:val="9"/>
    </w:pPr>
    <w:rPr>
      <w:lang w:eastAsia="en-US"/>
    </w:rPr>
  </w:style>
  <w:style w:type="paragraph" w:customStyle="1" w:styleId="49">
    <w:name w:val="正文 A"/>
    <w:qFormat/>
    <w:uiPriority w:val="99"/>
    <w:pPr>
      <w:widowControl w:val="0"/>
      <w:jc w:val="both"/>
    </w:pPr>
    <w:rPr>
      <w:rFonts w:ascii="Arial Unicode MS" w:hAnsi="Arial Unicode MS" w:eastAsia="宋体"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661</Words>
  <Characters>3769</Characters>
  <Lines>31</Lines>
  <Paragraphs>8</Paragraphs>
  <TotalTime>37</TotalTime>
  <ScaleCrop>false</ScaleCrop>
  <LinksUpToDate>false</LinksUpToDate>
  <CharactersWithSpaces>4422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2021-07-12T15:55:09Z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