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喀什地区项目支出绩效自评报告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仿宋_GB2312"/>
          <w:kern w:val="0"/>
          <w:sz w:val="36"/>
          <w:szCs w:val="36"/>
        </w:rPr>
        <w:t>叶城县</w:t>
      </w:r>
      <w:r>
        <w:rPr>
          <w:rFonts w:hint="eastAsia" w:hAnsi="宋体" w:eastAsia="仿宋_GB2312" w:cs="仿宋_GB2312"/>
          <w:kern w:val="0"/>
          <w:sz w:val="36"/>
          <w:szCs w:val="36"/>
          <w:lang w:eastAsia="zh-CN"/>
        </w:rPr>
        <w:t>委</w:t>
      </w:r>
      <w:r>
        <w:rPr>
          <w:rFonts w:hint="eastAsia" w:hAnsi="宋体" w:eastAsia="仿宋_GB2312" w:cs="仿宋_GB2312"/>
          <w:kern w:val="0"/>
          <w:sz w:val="36"/>
          <w:szCs w:val="36"/>
        </w:rPr>
        <w:t>编办移动网络费用项目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仿宋_GB2312"/>
          <w:kern w:val="0"/>
          <w:sz w:val="36"/>
          <w:szCs w:val="36"/>
        </w:rPr>
        <w:t>叶城县委机构编制委员会办公室</w:t>
      </w:r>
    </w:p>
    <w:p>
      <w:pPr>
        <w:spacing w:line="700" w:lineRule="exact"/>
        <w:ind w:firstLine="360" w:firstLineChars="1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仿宋_GB2312"/>
          <w:kern w:val="0"/>
          <w:sz w:val="36"/>
          <w:szCs w:val="36"/>
        </w:rPr>
        <w:t>叶城县委机构编制委员会办公室</w:t>
      </w:r>
    </w:p>
    <w:p>
      <w:pPr>
        <w:spacing w:line="700" w:lineRule="exact"/>
        <w:ind w:firstLine="360" w:firstLineChars="1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项目负责人（签章）：董书杰</w:t>
      </w:r>
    </w:p>
    <w:p>
      <w:pPr>
        <w:spacing w:line="700" w:lineRule="exact"/>
        <w:ind w:firstLine="360" w:firstLineChars="1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Ansi="宋体" w:eastAsia="仿宋_GB2312" w:cs="宋体"/>
          <w:kern w:val="0"/>
          <w:sz w:val="36"/>
          <w:szCs w:val="36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Ansi="宋体" w:eastAsia="仿宋_GB2312" w:cs="宋体"/>
          <w:kern w:val="0"/>
          <w:sz w:val="36"/>
          <w:szCs w:val="36"/>
        </w:rPr>
        <w:t xml:space="preserve"> 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Ansi="宋体" w:eastAsia="仿宋_GB2312" w:cs="宋体"/>
          <w:kern w:val="0"/>
          <w:sz w:val="36"/>
          <w:szCs w:val="36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60" w:lineRule="exact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rPr>
          <w:rStyle w:val="19"/>
          <w:rFonts w:hint="eastAsia"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叶城县移动公司为网络服务公司，主要为县部门单位提供网络服务工作。人员编制情况：本单位2018年共核定行政编制3名，实有人员2人，工勤人员1人，核定全额事业编制6名，实有参公人员3人。本单位主要职责：主要从事行政、政协、人大、检法两院、乡镇、事业单位改革工作，制定各行政单位“三定”方案，事业单位改革方案，制定各单位职能职责，内设机构的设置，编制核定等工作，完成县委交办的其它工作。叶城县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  <w:lang w:eastAsia="zh-CN"/>
        </w:rPr>
        <w:t>委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编办使用县移动公司的外网及党政网络。</w:t>
      </w:r>
    </w:p>
    <w:p>
      <w:pPr>
        <w:spacing w:line="560" w:lineRule="exact"/>
        <w:rPr>
          <w:rStyle w:val="19"/>
          <w:rFonts w:hint="eastAsia"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（二）项目预算绩效目标设定情况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按照《县财经会议领导小组研究》要求，叶城县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  <w:lang w:eastAsia="zh-CN"/>
        </w:rPr>
        <w:t>委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编办2018年度用于移动公司网络费用项目年初预算申报时设立的绩效目标是：保障叶城县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  <w:lang w:eastAsia="zh-CN"/>
        </w:rPr>
        <w:t>委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编办网络工作顺利开展，完成各项工作任务。</w:t>
      </w:r>
    </w:p>
    <w:p>
      <w:pPr>
        <w:spacing w:line="560" w:lineRule="exact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rPr>
          <w:rStyle w:val="19"/>
          <w:rFonts w:hint="eastAsia"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（一）项目资金安排落实、总投入等情况分析</w:t>
      </w:r>
    </w:p>
    <w:p>
      <w:pPr>
        <w:spacing w:line="560" w:lineRule="exact"/>
        <w:ind w:firstLine="800" w:firstLineChars="25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按照《县财经会议领导小组研究》要求，叶城县移动网络县级专项，项目资金总投入1.2972万元，其中：财政资金1.2972万元。叶城县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  <w:lang w:eastAsia="zh-CN"/>
        </w:rPr>
        <w:t>委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编办2018年用于支付移动公司网络费用共计1.2972万元，项目资金的申请付款方式合理。</w:t>
      </w:r>
    </w:p>
    <w:p>
      <w:pPr>
        <w:spacing w:line="560" w:lineRule="exact"/>
        <w:rPr>
          <w:rStyle w:val="19"/>
          <w:rFonts w:hint="eastAsia"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（二）项目资金实际使用情况分析</w:t>
      </w:r>
    </w:p>
    <w:p>
      <w:pPr>
        <w:pStyle w:val="15"/>
        <w:shd w:val="clear" w:color="auto" w:fill="FFFFFF"/>
        <w:spacing w:before="0" w:beforeAutospacing="0" w:after="0" w:afterAutospacing="0" w:line="560" w:lineRule="exact"/>
        <w:ind w:firstLine="645"/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  <w:t>1、项目资金到位情况</w:t>
      </w:r>
    </w:p>
    <w:p>
      <w:pPr>
        <w:pStyle w:val="15"/>
        <w:shd w:val="clear" w:color="auto" w:fill="FFFFFF"/>
        <w:spacing w:before="0" w:beforeAutospacing="0" w:after="0" w:afterAutospacing="0" w:line="560" w:lineRule="exact"/>
        <w:ind w:firstLine="645"/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  <w:lang w:eastAsia="zh-CN"/>
        </w:rPr>
        <w:t>截至</w:t>
      </w:r>
      <w:r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  <w:t>目前，按我办工作进度拨付了县移动公司网络费用，已全部拨付到位。</w:t>
      </w:r>
    </w:p>
    <w:p>
      <w:pPr>
        <w:pStyle w:val="15"/>
        <w:shd w:val="clear" w:color="auto" w:fill="FFFFFF"/>
        <w:spacing w:before="0" w:beforeAutospacing="0" w:after="0" w:afterAutospacing="0" w:line="560" w:lineRule="exact"/>
        <w:ind w:firstLine="645"/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  <w:t>2、项目资金实际使用情况</w:t>
      </w:r>
    </w:p>
    <w:p>
      <w:pPr>
        <w:pStyle w:val="15"/>
        <w:shd w:val="clear" w:color="auto" w:fill="FFFFFF"/>
        <w:spacing w:before="0" w:beforeAutospacing="0" w:after="0" w:afterAutospacing="0" w:line="560" w:lineRule="exact"/>
        <w:ind w:firstLine="645"/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  <w:t>2018年度，我办移动公司网络费用县级专项经费支出1.2972万元，拨付率为100%。</w:t>
      </w:r>
    </w:p>
    <w:p>
      <w:pPr>
        <w:spacing w:line="560" w:lineRule="exact"/>
        <w:rPr>
          <w:rStyle w:val="19"/>
          <w:rFonts w:hint="eastAsia"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（三）项目资金管理情况分析</w:t>
      </w:r>
    </w:p>
    <w:p>
      <w:pPr>
        <w:pStyle w:val="15"/>
        <w:shd w:val="clear" w:color="auto" w:fill="FFFFFF"/>
        <w:spacing w:before="0" w:beforeAutospacing="0" w:after="0" w:afterAutospacing="0" w:line="560" w:lineRule="exact"/>
        <w:ind w:firstLine="645"/>
        <w:rPr>
          <w:rFonts w:hint="eastAsia" w:ascii="仿宋_GB2312" w:hAnsi="仿宋" w:eastAsia="仿宋_GB2312"/>
          <w:color w:val="333333"/>
          <w:kern w:val="2"/>
          <w:shd w:val="clear" w:color="auto" w:fill="FFFFFF"/>
        </w:rPr>
      </w:pPr>
      <w:r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  <w:t>为加强专项资金管理，提高资金使用效益，我办严</w:t>
      </w:r>
      <w:bookmarkStart w:id="0" w:name="_GoBack"/>
      <w:bookmarkEnd w:id="0"/>
      <w:r>
        <w:rPr>
          <w:rFonts w:hint="eastAsia" w:ascii="仿宋_GB2312" w:hAnsi="仿宋" w:eastAsia="仿宋_GB2312"/>
          <w:color w:val="333333"/>
          <w:kern w:val="2"/>
          <w:sz w:val="32"/>
          <w:szCs w:val="32"/>
          <w:shd w:val="clear" w:color="auto" w:fill="FFFFFF"/>
        </w:rPr>
        <w:t>格经费管理，厉行节约，杜绝浪费，确保专项资金专款专用。</w:t>
      </w:r>
    </w:p>
    <w:p>
      <w:pPr>
        <w:spacing w:line="560" w:lineRule="exact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rPr>
          <w:rStyle w:val="19"/>
          <w:rFonts w:hint="eastAsia"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（一）项目组织情况分析</w:t>
      </w:r>
    </w:p>
    <w:p>
      <w:pPr>
        <w:spacing w:line="560" w:lineRule="exact"/>
        <w:ind w:firstLine="640" w:firstLineChars="200"/>
        <w:rPr>
          <w:rStyle w:val="19"/>
          <w:rFonts w:hint="eastAsia" w:ascii="仿宋_GB2312" w:hAnsi="仿宋" w:eastAsia="仿宋_GB2312" w:cs="楷体"/>
          <w:spacing w:val="-4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叶城县移动公司网络费用县级专项经费总投入1.2972万元，为保障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  <w:lang w:eastAsia="zh-CN"/>
        </w:rPr>
        <w:t>县委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编办工作顺利开展，经费全部用于支付县移动公司网络费用。</w:t>
      </w:r>
    </w:p>
    <w:p>
      <w:pPr>
        <w:spacing w:line="560" w:lineRule="exact"/>
        <w:rPr>
          <w:rStyle w:val="19"/>
          <w:rFonts w:hint="eastAsia"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（二）项目管理情况分析</w:t>
      </w:r>
    </w:p>
    <w:p>
      <w:pPr>
        <w:spacing w:line="560" w:lineRule="exact"/>
        <w:ind w:firstLine="777" w:firstLineChars="243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项目资金属于专款专用资金，我办已根据实际情况制定了相应的资金管理制度，加强日常管理，项目资金统一由财政局国库管理，财务已按照财政专项资金的管理办法进行账务处理，并严格执行相关政。</w:t>
      </w:r>
    </w:p>
    <w:p>
      <w:pPr>
        <w:spacing w:line="560" w:lineRule="exact"/>
        <w:rPr>
          <w:rStyle w:val="19"/>
          <w:rFonts w:hint="eastAsia"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60" w:lineRule="exact"/>
        <w:rPr>
          <w:rFonts w:hint="eastAsia"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hAnsi="楷体" w:eastAsia="仿宋_GB2312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zh-TW"/>
        </w:rPr>
      </w:pPr>
      <w:r>
        <w:rPr>
          <w:rFonts w:hint="eastAsia" w:ascii="仿宋_GB2312" w:hAnsi="仿宋" w:eastAsia="仿宋_GB2312"/>
          <w:sz w:val="32"/>
          <w:szCs w:val="32"/>
          <w:lang w:val="zh-TW" w:eastAsia="zh-TW"/>
        </w:rPr>
        <w:t>本项目共设置一级指标</w:t>
      </w:r>
      <w:r>
        <w:rPr>
          <w:rFonts w:hint="eastAsia" w:ascii="仿宋_GB2312" w:hAnsi="仿宋" w:eastAsia="仿宋_GB2312"/>
          <w:sz w:val="32"/>
          <w:szCs w:val="32"/>
        </w:rPr>
        <w:t>3</w:t>
      </w:r>
      <w:r>
        <w:rPr>
          <w:rFonts w:hint="eastAsia" w:ascii="仿宋_GB2312" w:hAnsi="仿宋" w:eastAsia="仿宋_GB2312"/>
          <w:sz w:val="32"/>
          <w:szCs w:val="32"/>
          <w:lang w:val="zh-TW" w:eastAsia="zh-TW"/>
        </w:rPr>
        <w:t>个，二级指标</w:t>
      </w:r>
      <w:r>
        <w:rPr>
          <w:rFonts w:hint="eastAsia" w:ascii="仿宋_GB2312" w:hAnsi="仿宋" w:eastAsia="仿宋_GB2312"/>
          <w:sz w:val="32"/>
          <w:szCs w:val="32"/>
        </w:rPr>
        <w:t>7</w:t>
      </w:r>
      <w:r>
        <w:rPr>
          <w:rFonts w:hint="eastAsia" w:ascii="仿宋_GB2312" w:hAnsi="仿宋" w:eastAsia="仿宋_GB2312"/>
          <w:sz w:val="32"/>
          <w:szCs w:val="32"/>
          <w:lang w:val="zh-TW" w:eastAsia="zh-TW"/>
        </w:rPr>
        <w:t>个，三级指标</w:t>
      </w:r>
      <w:r>
        <w:rPr>
          <w:rFonts w:hint="eastAsia" w:ascii="仿宋_GB2312" w:hAnsi="仿宋" w:eastAsia="仿宋_GB2312"/>
          <w:sz w:val="32"/>
          <w:szCs w:val="32"/>
        </w:rPr>
        <w:t>7</w:t>
      </w:r>
      <w:r>
        <w:rPr>
          <w:rFonts w:hint="eastAsia" w:ascii="仿宋_GB2312" w:hAnsi="仿宋" w:eastAsia="仿宋_GB2312"/>
          <w:sz w:val="32"/>
          <w:szCs w:val="32"/>
          <w:lang w:val="zh-TW" w:eastAsia="zh-TW"/>
        </w:rPr>
        <w:t>个，其中已完成三级指标</w:t>
      </w:r>
      <w:r>
        <w:rPr>
          <w:rFonts w:hint="eastAsia" w:ascii="仿宋_GB2312" w:hAnsi="仿宋" w:eastAsia="仿宋_GB2312"/>
          <w:sz w:val="32"/>
          <w:szCs w:val="32"/>
        </w:rPr>
        <w:t>7</w:t>
      </w:r>
      <w:r>
        <w:rPr>
          <w:rFonts w:hint="eastAsia" w:ascii="仿宋_GB2312" w:hAnsi="仿宋" w:eastAsia="仿宋_GB2312"/>
          <w:sz w:val="32"/>
          <w:szCs w:val="32"/>
          <w:lang w:val="zh-TW" w:eastAsia="zh-TW"/>
        </w:rPr>
        <w:t>个，指标完成率为</w:t>
      </w:r>
      <w:r>
        <w:rPr>
          <w:rFonts w:hint="eastAsia" w:ascii="仿宋_GB2312" w:hAnsi="仿宋" w:eastAsia="仿宋_GB2312"/>
          <w:sz w:val="32"/>
          <w:szCs w:val="32"/>
        </w:rPr>
        <w:t>100</w:t>
      </w:r>
      <w:r>
        <w:rPr>
          <w:rFonts w:hint="eastAsia" w:ascii="仿宋_GB2312" w:hAnsi="仿宋" w:eastAsia="仿宋_GB2312"/>
          <w:sz w:val="32"/>
          <w:szCs w:val="32"/>
          <w:lang w:val="zh-TW" w:eastAsia="zh-TW"/>
        </w:rPr>
        <w:t>%。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根据年初设定的绩效目标，此项目自评得分为98分。</w:t>
      </w:r>
    </w:p>
    <w:p>
      <w:pPr>
        <w:spacing w:line="560" w:lineRule="exact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（1）项目完成数量</w:t>
      </w:r>
    </w:p>
    <w:p>
      <w:pPr>
        <w:widowControl/>
        <w:spacing w:line="560" w:lineRule="exact"/>
        <w:ind w:left="150" w:firstLine="624" w:firstLineChars="200"/>
        <w:jc w:val="left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财政业务平台账务管理系统1套，</w:t>
      </w:r>
      <w:r>
        <w:rPr>
          <w:rFonts w:hint="eastAsia" w:ascii="仿宋_GB2312" w:hAnsi="仿宋" w:eastAsia="仿宋_GB2312" w:cs="仿宋"/>
          <w:color w:val="000000"/>
          <w:spacing w:val="-4"/>
          <w:kern w:val="0"/>
          <w:sz w:val="32"/>
          <w:szCs w:val="32"/>
        </w:rPr>
        <w:t>截至2018年自评评价时,该项目已经完成</w:t>
      </w: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财政业务平台账务管理系统1套</w:t>
      </w:r>
      <w:r>
        <w:rPr>
          <w:rFonts w:hint="eastAsia" w:ascii="仿宋_GB2312" w:hAnsi="仿宋" w:eastAsia="仿宋_GB2312" w:cs="仿宋"/>
          <w:color w:val="000000"/>
          <w:spacing w:val="-4"/>
          <w:kern w:val="0"/>
          <w:sz w:val="32"/>
          <w:szCs w:val="32"/>
        </w:rPr>
        <w:t>,年度设定的预期目标全部完成,完成率为100%。</w:t>
      </w:r>
    </w:p>
    <w:p>
      <w:pPr>
        <w:spacing w:line="560" w:lineRule="exact"/>
        <w:ind w:firstLine="624" w:firstLineChars="2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（2）项目完成质量</w:t>
      </w:r>
    </w:p>
    <w:p>
      <w:pPr>
        <w:spacing w:line="560" w:lineRule="exact"/>
        <w:ind w:firstLine="936" w:firstLineChars="3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kern w:val="0"/>
          <w:sz w:val="32"/>
          <w:szCs w:val="32"/>
        </w:rPr>
        <w:t>全面保障了我办移动网络的正常使用95%。根据项目实施完成后的结果来看,我单位严格以高质量的项目完成情况来执行,收集和录入调查的数据资源真实有效的数据资源,完成率为100%。</w:t>
      </w:r>
    </w:p>
    <w:p>
      <w:pPr>
        <w:spacing w:line="560" w:lineRule="exact"/>
        <w:ind w:firstLine="624" w:firstLineChars="2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（3）项目实施进度</w:t>
      </w:r>
    </w:p>
    <w:p>
      <w:pPr>
        <w:widowControl/>
        <w:spacing w:line="560" w:lineRule="exact"/>
        <w:ind w:left="150" w:firstLine="624" w:firstLineChars="200"/>
        <w:jc w:val="left"/>
        <w:rPr>
          <w:rFonts w:hint="eastAsia" w:ascii="仿宋_GB2312" w:eastAsia="仿宋_GB2312"/>
        </w:rPr>
      </w:pPr>
      <w:r>
        <w:rPr>
          <w:rFonts w:hint="eastAsia" w:ascii="仿宋_GB2312" w:hAnsi="仿宋" w:eastAsia="仿宋_GB2312" w:cs="仿宋"/>
          <w:color w:val="000000"/>
          <w:spacing w:val="-4"/>
          <w:kern w:val="0"/>
          <w:sz w:val="32"/>
          <w:szCs w:val="32"/>
        </w:rPr>
        <w:t>年初设定目标为项目完成及时率100%。根据年初单位制定的实施方案,严格把控资金与项目实施进度相统一的原则,项目完成进度良好,当年完成率为100%。</w:t>
      </w:r>
    </w:p>
    <w:p>
      <w:pPr>
        <w:spacing w:line="560" w:lineRule="exact"/>
        <w:ind w:firstLine="624" w:firstLineChars="2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（4）项目成本节约情况</w:t>
      </w:r>
    </w:p>
    <w:p>
      <w:pPr>
        <w:spacing w:line="560" w:lineRule="exact"/>
        <w:ind w:firstLine="936" w:firstLineChars="3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移动网络费用标准1.2972万元，不存在浪费现象</w:t>
      </w:r>
    </w:p>
    <w:p>
      <w:pPr>
        <w:spacing w:line="560" w:lineRule="exact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2.效益指标完成情况分析</w:t>
      </w:r>
    </w:p>
    <w:p>
      <w:pPr>
        <w:spacing w:line="560" w:lineRule="exact"/>
        <w:ind w:firstLine="624" w:firstLineChars="2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（1）项目实施的经济效益分析</w:t>
      </w:r>
    </w:p>
    <w:p>
      <w:pPr>
        <w:spacing w:line="560" w:lineRule="exact"/>
        <w:ind w:firstLine="936" w:firstLineChars="3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无</w:t>
      </w:r>
    </w:p>
    <w:p>
      <w:pPr>
        <w:spacing w:line="560" w:lineRule="exact"/>
        <w:ind w:firstLine="627" w:firstLineChars="2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color w:val="000000"/>
          <w:spacing w:val="-4"/>
          <w:sz w:val="32"/>
          <w:szCs w:val="32"/>
        </w:rPr>
        <w:t>（</w:t>
      </w: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2）项目实施的社会效益分析</w:t>
      </w:r>
    </w:p>
    <w:p>
      <w:pPr>
        <w:spacing w:line="560" w:lineRule="exact"/>
        <w:ind w:firstLine="1248" w:firstLineChars="4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保障的各项工作顺利开展95%</w:t>
      </w:r>
    </w:p>
    <w:p>
      <w:pPr>
        <w:spacing w:line="560" w:lineRule="exact"/>
        <w:ind w:firstLine="624" w:firstLineChars="200"/>
        <w:rPr>
          <w:rFonts w:hint="eastAsia" w:ascii="仿宋_GB2312" w:hAnsi="仿宋" w:eastAsia="仿宋_GB2312" w:cs="仿宋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（3）项目实施的生态效益分</w:t>
      </w:r>
      <w:r>
        <w:rPr>
          <w:rFonts w:hint="eastAsia" w:ascii="仿宋_GB2312" w:hAnsi="仿宋" w:eastAsia="仿宋_GB2312" w:cs="仿宋"/>
          <w:bCs/>
          <w:color w:val="000000"/>
          <w:spacing w:val="-4"/>
          <w:sz w:val="32"/>
          <w:szCs w:val="32"/>
        </w:rPr>
        <w:t>析</w:t>
      </w:r>
    </w:p>
    <w:p>
      <w:pPr>
        <w:spacing w:line="560" w:lineRule="exact"/>
        <w:ind w:firstLine="1248" w:firstLineChars="40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无</w:t>
      </w:r>
    </w:p>
    <w:p>
      <w:pPr>
        <w:spacing w:line="560" w:lineRule="exact"/>
        <w:ind w:firstLine="624" w:firstLineChars="200"/>
        <w:rPr>
          <w:rFonts w:hint="eastAsia" w:ascii="仿宋_GB2312" w:hAnsi="仿宋" w:eastAsia="仿宋_GB2312" w:cs="仿宋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000000"/>
          <w:spacing w:val="-4"/>
          <w:sz w:val="32"/>
          <w:szCs w:val="32"/>
        </w:rPr>
        <w:t>（4）项目实施的可持续影响分析</w:t>
      </w:r>
    </w:p>
    <w:p>
      <w:pPr>
        <w:spacing w:line="560" w:lineRule="exact"/>
        <w:ind w:firstLine="780" w:firstLineChars="250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保障全面工作的顺利进行1年</w:t>
      </w:r>
    </w:p>
    <w:p>
      <w:pPr>
        <w:spacing w:line="560" w:lineRule="exact"/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3.满意度指标完成情况分析</w:t>
      </w:r>
    </w:p>
    <w:p>
      <w:pPr>
        <w:spacing w:line="560" w:lineRule="exact"/>
        <w:ind w:firstLine="780" w:firstLineChars="25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4"/>
          <w:sz w:val="32"/>
          <w:szCs w:val="32"/>
        </w:rPr>
        <w:t>按计划完成项目实施，已做满意度调查问卷，国家主要决策部门领导和相关机构满意度达95%，服务对象满意度指标完成。</w:t>
      </w:r>
    </w:p>
    <w:p>
      <w:pPr>
        <w:spacing w:line="560" w:lineRule="exact"/>
        <w:rPr>
          <w:rFonts w:hint="eastAsia"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hAnsi="楷体" w:eastAsia="仿宋_GB2312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" w:eastAsia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pacing w:val="-4"/>
          <w:sz w:val="32"/>
          <w:szCs w:val="32"/>
        </w:rPr>
        <w:t>2018年本项目绩效目标全部达成，不存在未完成原因分析。</w:t>
      </w:r>
    </w:p>
    <w:p>
      <w:pPr>
        <w:spacing w:line="560" w:lineRule="exact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rPr>
          <w:rFonts w:hint="eastAsia"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hAnsi="楷体" w:eastAsia="仿宋_GB2312"/>
          <w:b/>
          <w:spacing w:val="-4"/>
          <w:sz w:val="32"/>
          <w:szCs w:val="32"/>
        </w:rPr>
        <w:t>（一）后续工作计划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通过加大县移动公司网络费用县级专项经费投入，有利的保障我办正常业务工作的顺利进行。</w:t>
      </w:r>
    </w:p>
    <w:p>
      <w:pPr>
        <w:spacing w:line="560" w:lineRule="exact"/>
        <w:rPr>
          <w:rFonts w:hint="eastAsia"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hAnsi="楷体" w:eastAsia="仿宋_GB2312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1、落实管理规定，理顺管理体制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全面贯彻落实，把各项政策规定落到实处。加强日常管理，项目资金统一由财政局国库管理，财务已按照财政专项资金的管理办法进行账务处理，并严格执行相关政。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2、加大保障力度，夯实统计基础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本次县委专项资金的保障，保障了我县各项工作和顺利进行，为我县机构编制工作的开展提供了有利的保障。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存在的问题：</w:t>
      </w:r>
    </w:p>
    <w:p>
      <w:pPr>
        <w:spacing w:line="560" w:lineRule="exact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无</w:t>
      </w:r>
    </w:p>
    <w:p>
      <w:pPr>
        <w:spacing w:line="560" w:lineRule="exact"/>
        <w:rPr>
          <w:rFonts w:hint="eastAsia"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hAnsi="楷体" w:eastAsia="仿宋_GB2312"/>
          <w:b/>
          <w:spacing w:val="-4"/>
          <w:sz w:val="32"/>
          <w:szCs w:val="32"/>
        </w:rPr>
        <w:t>（三）其他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无</w:t>
      </w:r>
    </w:p>
    <w:p>
      <w:pPr>
        <w:spacing w:line="560" w:lineRule="exact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包括评价基础数据收集、资料来源和依据等佐证材料情况，项目现场勘验检查核实等情况。</w:t>
      </w:r>
    </w:p>
    <w:p>
      <w:pPr>
        <w:spacing w:line="560" w:lineRule="exact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Fonts w:hint="eastAsia" w:ascii="仿宋_GB2312" w:eastAsia="仿宋_GB2312" w:cs="宋体"/>
          <w:bCs/>
          <w:color w:val="333333"/>
          <w:shd w:val="clear" w:color="auto" w:fill="FFFFFF"/>
        </w:rPr>
      </w:pPr>
      <w:r>
        <w:rPr>
          <w:rFonts w:hint="eastAsia" w:ascii="仿宋_GB2312" w:eastAsia="仿宋_GB2312" w:cs="宋体"/>
          <w:bCs/>
          <w:color w:val="333333"/>
          <w:shd w:val="clear" w:color="auto" w:fill="FFFFFF"/>
        </w:rPr>
        <w:t>《</w:t>
      </w:r>
      <w:r>
        <w:rPr>
          <w:rFonts w:hint="eastAsia" w:ascii="仿宋_GB2312" w:hAnsi="仿宋" w:eastAsia="仿宋_GB2312" w:cs="宋体"/>
          <w:color w:val="333333"/>
          <w:sz w:val="32"/>
          <w:szCs w:val="32"/>
          <w:shd w:val="clear" w:color="auto" w:fill="FFFFFF"/>
        </w:rPr>
        <w:t>喀什地区财政项目支出绩效自评表</w:t>
      </w:r>
      <w:r>
        <w:rPr>
          <w:rFonts w:hint="eastAsia" w:ascii="仿宋_GB2312" w:eastAsia="仿宋_GB2312" w:cs="宋体"/>
          <w:bCs/>
          <w:color w:val="333333"/>
          <w:shd w:val="clear" w:color="auto" w:fill="FFFFFF"/>
        </w:rPr>
        <w:t>》</w:t>
      </w:r>
    </w:p>
    <w:p>
      <w:pPr>
        <w:spacing w:line="540" w:lineRule="exact"/>
        <w:ind w:firstLine="567"/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9"/>
          <w:rFonts w:hint="eastAsia" w:ascii="仿宋_GB2312" w:hAnsi="仿宋" w:eastAsia="仿宋_GB2312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6A205"/>
    <w:multiLevelType w:val="singleLevel"/>
    <w:tmpl w:val="5DB6A20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0381C"/>
    <w:rsid w:val="00056465"/>
    <w:rsid w:val="000E51E9"/>
    <w:rsid w:val="00121AE4"/>
    <w:rsid w:val="00146AAD"/>
    <w:rsid w:val="00147562"/>
    <w:rsid w:val="001B3A40"/>
    <w:rsid w:val="0024174C"/>
    <w:rsid w:val="002A0073"/>
    <w:rsid w:val="002D12F7"/>
    <w:rsid w:val="0036555F"/>
    <w:rsid w:val="00405A83"/>
    <w:rsid w:val="004366A8"/>
    <w:rsid w:val="004F23E8"/>
    <w:rsid w:val="00502BA7"/>
    <w:rsid w:val="005162F1"/>
    <w:rsid w:val="00535153"/>
    <w:rsid w:val="00554F82"/>
    <w:rsid w:val="0056349D"/>
    <w:rsid w:val="0056390D"/>
    <w:rsid w:val="005719B0"/>
    <w:rsid w:val="005A10C1"/>
    <w:rsid w:val="005D10D6"/>
    <w:rsid w:val="006E7BA8"/>
    <w:rsid w:val="006F09DA"/>
    <w:rsid w:val="006F6175"/>
    <w:rsid w:val="0072743E"/>
    <w:rsid w:val="007C4070"/>
    <w:rsid w:val="007C6A86"/>
    <w:rsid w:val="00855E3A"/>
    <w:rsid w:val="00860B6E"/>
    <w:rsid w:val="00860CCA"/>
    <w:rsid w:val="008F0412"/>
    <w:rsid w:val="008F16E3"/>
    <w:rsid w:val="00903F37"/>
    <w:rsid w:val="00920A57"/>
    <w:rsid w:val="00922CB9"/>
    <w:rsid w:val="00983276"/>
    <w:rsid w:val="0099273E"/>
    <w:rsid w:val="009E5CD9"/>
    <w:rsid w:val="009E7ADB"/>
    <w:rsid w:val="00A26421"/>
    <w:rsid w:val="00A4293B"/>
    <w:rsid w:val="00A67D50"/>
    <w:rsid w:val="00A700CE"/>
    <w:rsid w:val="00A8446A"/>
    <w:rsid w:val="00A8691A"/>
    <w:rsid w:val="00AC1946"/>
    <w:rsid w:val="00AC38DA"/>
    <w:rsid w:val="00B40063"/>
    <w:rsid w:val="00B41F61"/>
    <w:rsid w:val="00B65E19"/>
    <w:rsid w:val="00B72B04"/>
    <w:rsid w:val="00BA46E6"/>
    <w:rsid w:val="00BF26BA"/>
    <w:rsid w:val="00C331A8"/>
    <w:rsid w:val="00C34B64"/>
    <w:rsid w:val="00C56C72"/>
    <w:rsid w:val="00CA6457"/>
    <w:rsid w:val="00CE09C6"/>
    <w:rsid w:val="00D17F2E"/>
    <w:rsid w:val="00D21EEC"/>
    <w:rsid w:val="00D30354"/>
    <w:rsid w:val="00D6348A"/>
    <w:rsid w:val="00DF42A0"/>
    <w:rsid w:val="00E31FB5"/>
    <w:rsid w:val="00E67B07"/>
    <w:rsid w:val="00E769FE"/>
    <w:rsid w:val="00EA2CBE"/>
    <w:rsid w:val="00EF368C"/>
    <w:rsid w:val="00F01AA9"/>
    <w:rsid w:val="00F32FEE"/>
    <w:rsid w:val="00F764D0"/>
    <w:rsid w:val="00F8639F"/>
    <w:rsid w:val="00FB10BB"/>
    <w:rsid w:val="00FD4980"/>
    <w:rsid w:val="02995DCD"/>
    <w:rsid w:val="08D5326D"/>
    <w:rsid w:val="11AA7488"/>
    <w:rsid w:val="21704ABE"/>
    <w:rsid w:val="33A43539"/>
    <w:rsid w:val="37952474"/>
    <w:rsid w:val="3AA16859"/>
    <w:rsid w:val="3DE261A2"/>
    <w:rsid w:val="3F641753"/>
    <w:rsid w:val="45FB153E"/>
    <w:rsid w:val="49B24F9A"/>
    <w:rsid w:val="501703A8"/>
    <w:rsid w:val="54B253B1"/>
    <w:rsid w:val="66A00B75"/>
    <w:rsid w:val="67ED67CF"/>
    <w:rsid w:val="722822D0"/>
    <w:rsid w:val="72E96279"/>
    <w:rsid w:val="7CF9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8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9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0"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3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3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4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rFonts w:cs="Times New Roman"/>
      <w:b/>
      <w:bCs/>
    </w:rPr>
  </w:style>
  <w:style w:type="character" w:styleId="20">
    <w:name w:val="Emphasis"/>
    <w:basedOn w:val="18"/>
    <w:qFormat/>
    <w:uiPriority w:val="99"/>
    <w:rPr>
      <w:rFonts w:ascii="Calibri" w:hAnsi="Calibri" w:cs="Times New Roman"/>
      <w:b/>
      <w:i/>
      <w:iCs/>
    </w:rPr>
  </w:style>
  <w:style w:type="character" w:customStyle="1" w:styleId="21">
    <w:name w:val="标题 1 Char"/>
    <w:basedOn w:val="18"/>
    <w:link w:val="2"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locked/>
    <w:uiPriority w:val="99"/>
    <w:rPr>
      <w:rFonts w:cs="Times New Roman"/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locked/>
    <w:uiPriority w:val="99"/>
    <w:rPr>
      <w:rFonts w:cs="Times New Roman"/>
      <w:b/>
      <w:bCs/>
    </w:rPr>
  </w:style>
  <w:style w:type="character" w:customStyle="1" w:styleId="27">
    <w:name w:val="标题 7 Char"/>
    <w:basedOn w:val="18"/>
    <w:link w:val="8"/>
    <w:semiHidden/>
    <w:locked/>
    <w:uiPriority w:val="99"/>
    <w:rPr>
      <w:rFonts w:cs="Times New Roman"/>
      <w:sz w:val="24"/>
      <w:szCs w:val="24"/>
    </w:rPr>
  </w:style>
  <w:style w:type="character" w:customStyle="1" w:styleId="28">
    <w:name w:val="标题 8 Char"/>
    <w:basedOn w:val="18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locked/>
    <w:uiPriority w:val="99"/>
    <w:rPr>
      <w:rFonts w:ascii="Cambria" w:hAnsi="Cambria" w:eastAsia="宋体" w:cs="Times New Roman"/>
    </w:rPr>
  </w:style>
  <w:style w:type="character" w:customStyle="1" w:styleId="30">
    <w:name w:val="批注框文本 Char"/>
    <w:basedOn w:val="18"/>
    <w:link w:val="11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1">
    <w:name w:val="页脚 Char"/>
    <w:basedOn w:val="18"/>
    <w:link w:val="1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2">
    <w:name w:val="页眉 Char"/>
    <w:basedOn w:val="18"/>
    <w:link w:val="1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3">
    <w:name w:val="副标题 Char"/>
    <w:basedOn w:val="18"/>
    <w:link w:val="14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4">
    <w:name w:val="标题 Char"/>
    <w:basedOn w:val="18"/>
    <w:link w:val="16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35">
    <w:name w:val="无间隔1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36">
    <w:name w:val="列出段落1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37">
    <w:name w:val="引用1"/>
    <w:basedOn w:val="1"/>
    <w:next w:val="1"/>
    <w:link w:val="38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8">
    <w:name w:val="Quote Char"/>
    <w:basedOn w:val="18"/>
    <w:link w:val="37"/>
    <w:qFormat/>
    <w:locked/>
    <w:uiPriority w:val="99"/>
    <w:rPr>
      <w:rFonts w:cs="Times New Roman"/>
      <w:i/>
      <w:sz w:val="24"/>
      <w:szCs w:val="24"/>
    </w:rPr>
  </w:style>
  <w:style w:type="paragraph" w:customStyle="1" w:styleId="39">
    <w:name w:val="明显引用1"/>
    <w:basedOn w:val="1"/>
    <w:next w:val="1"/>
    <w:link w:val="40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0">
    <w:name w:val="Intense Quote Char"/>
    <w:basedOn w:val="18"/>
    <w:link w:val="39"/>
    <w:qFormat/>
    <w:locked/>
    <w:uiPriority w:val="99"/>
    <w:rPr>
      <w:rFonts w:cs="Times New Roman"/>
      <w:b/>
      <w:i/>
      <w:sz w:val="24"/>
    </w:rPr>
  </w:style>
  <w:style w:type="character" w:customStyle="1" w:styleId="41">
    <w:name w:val="不明显强调1"/>
    <w:qFormat/>
    <w:uiPriority w:val="99"/>
    <w:rPr>
      <w:i/>
      <w:color w:val="595959"/>
    </w:rPr>
  </w:style>
  <w:style w:type="character" w:customStyle="1" w:styleId="42">
    <w:name w:val="明显强调1"/>
    <w:basedOn w:val="18"/>
    <w:uiPriority w:val="99"/>
    <w:rPr>
      <w:rFonts w:cs="Times New Roman"/>
      <w:b/>
      <w:i/>
      <w:sz w:val="24"/>
      <w:szCs w:val="24"/>
      <w:u w:val="single"/>
    </w:rPr>
  </w:style>
  <w:style w:type="character" w:customStyle="1" w:styleId="43">
    <w:name w:val="不明显参考1"/>
    <w:basedOn w:val="18"/>
    <w:qFormat/>
    <w:uiPriority w:val="99"/>
    <w:rPr>
      <w:rFonts w:cs="Times New Roman"/>
      <w:sz w:val="24"/>
      <w:szCs w:val="24"/>
      <w:u w:val="single"/>
    </w:rPr>
  </w:style>
  <w:style w:type="character" w:customStyle="1" w:styleId="44">
    <w:name w:val="明显参考1"/>
    <w:basedOn w:val="18"/>
    <w:uiPriority w:val="99"/>
    <w:rPr>
      <w:rFonts w:cs="Times New Roman"/>
      <w:b/>
      <w:sz w:val="24"/>
      <w:u w:val="single"/>
    </w:rPr>
  </w:style>
  <w:style w:type="character" w:customStyle="1" w:styleId="45">
    <w:name w:val="书籍标题1"/>
    <w:basedOn w:val="18"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6">
    <w:name w:val="TOC 标题1"/>
    <w:basedOn w:val="2"/>
    <w:next w:val="1"/>
    <w:semiHidden/>
    <w:qFormat/>
    <w:uiPriority w:val="99"/>
    <w:pPr>
      <w:outlineLvl w:val="9"/>
    </w:pPr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291</Words>
  <Characters>1661</Characters>
  <Lines>13</Lines>
  <Paragraphs>3</Paragraphs>
  <TotalTime>4</TotalTime>
  <ScaleCrop>false</ScaleCrop>
  <LinksUpToDate>false</LinksUpToDate>
  <CharactersWithSpaces>1949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2025-02-12T04:23:52Z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