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年度新疆喀什地区叶城县委政法委员会部门决算公开说明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县委政法委贯彻落实党中央、自治区党委、地委关于政法工作的方针政策和决策部署，在履行职责过程中坚持和加强党对政法工作的集中统一领导。主要职责是：</w:t>
      </w:r>
      <w:r>
        <w:rPr>
          <w:rFonts w:ascii="仿宋_GB2312" w:eastAsia="仿宋_GB2312" w:cs="仿宋_GB2312"/>
          <w:sz w:val="32"/>
          <w:szCs w:val="32"/>
        </w:rPr>
        <w:t>(</w:t>
      </w:r>
      <w:r>
        <w:rPr>
          <w:rFonts w:hint="eastAsia" w:ascii="仿宋_GB2312" w:eastAsia="仿宋_GB2312" w:cs="仿宋_GB2312"/>
          <w:sz w:val="32"/>
          <w:szCs w:val="32"/>
        </w:rPr>
        <w:t>一</w:t>
      </w:r>
      <w:r>
        <w:rPr>
          <w:rFonts w:ascii="仿宋_GB2312" w:eastAsia="仿宋_GB2312" w:cs="仿宋_GB2312"/>
          <w:sz w:val="32"/>
          <w:szCs w:val="32"/>
        </w:rPr>
        <w:t>)</w:t>
      </w:r>
      <w:r>
        <w:rPr>
          <w:rFonts w:hint="eastAsia" w:ascii="仿宋_GB2312" w:eastAsia="仿宋_GB2312" w:cs="仿宋_GB2312"/>
          <w:sz w:val="32"/>
          <w:szCs w:val="32"/>
        </w:rPr>
        <w:t>在县委统一领导下，深入贯彻习近平新时代中国特色社会主义思想，深入贯彻党的方针路线政策和决策部署，统一政法各成员单位思想和行动，坚持党对政法工作的绝对领导，坚决维护党中央权威和集中统一领导。</w:t>
      </w:r>
      <w:r>
        <w:rPr>
          <w:rFonts w:ascii="仿宋_GB2312" w:eastAsia="仿宋_GB2312" w:cs="仿宋_GB2312"/>
          <w:sz w:val="32"/>
          <w:szCs w:val="32"/>
        </w:rPr>
        <w:t>(</w:t>
      </w:r>
      <w:r>
        <w:rPr>
          <w:rFonts w:hint="eastAsia" w:ascii="仿宋_GB2312" w:eastAsia="仿宋_GB2312" w:cs="仿宋_GB2312"/>
          <w:sz w:val="32"/>
          <w:szCs w:val="32"/>
        </w:rPr>
        <w:t>二</w:t>
      </w:r>
      <w:r>
        <w:rPr>
          <w:rFonts w:ascii="仿宋_GB2312" w:eastAsia="仿宋_GB2312" w:cs="仿宋_GB2312"/>
          <w:sz w:val="32"/>
          <w:szCs w:val="32"/>
        </w:rPr>
        <w:t>)</w:t>
      </w:r>
      <w:r>
        <w:rPr>
          <w:rFonts w:hint="eastAsia" w:ascii="仿宋_GB2312" w:eastAsia="仿宋_GB2312" w:cs="仿宋_GB2312"/>
          <w:sz w:val="32"/>
          <w:szCs w:val="32"/>
        </w:rPr>
        <w:t>深入贯彻落实党中央、自治区党委、地委及县委各项决策部署，对政法工作研究提出意见建议。</w:t>
      </w:r>
      <w:r>
        <w:rPr>
          <w:rFonts w:ascii="仿宋_GB2312" w:eastAsia="仿宋_GB2312" w:cs="仿宋_GB2312"/>
          <w:sz w:val="32"/>
          <w:szCs w:val="32"/>
        </w:rPr>
        <w:t>(</w:t>
      </w:r>
      <w:r>
        <w:rPr>
          <w:rFonts w:hint="eastAsia" w:ascii="仿宋_GB2312" w:eastAsia="仿宋_GB2312" w:cs="仿宋_GB2312"/>
          <w:sz w:val="32"/>
          <w:szCs w:val="32"/>
        </w:rPr>
        <w:t>三</w:t>
      </w:r>
      <w:r>
        <w:rPr>
          <w:rFonts w:ascii="仿宋_GB2312" w:eastAsia="仿宋_GB2312" w:cs="仿宋_GB2312"/>
          <w:sz w:val="32"/>
          <w:szCs w:val="32"/>
        </w:rPr>
        <w:t>)</w:t>
      </w:r>
      <w:r>
        <w:rPr>
          <w:rFonts w:hint="eastAsia" w:ascii="仿宋_GB2312" w:eastAsia="仿宋_GB2312" w:cs="仿宋_GB2312"/>
          <w:sz w:val="32"/>
          <w:szCs w:val="32"/>
        </w:rPr>
        <w:t>统筹协调社会综合治理、维护社会安定、工作有关法律法规政策的实施工作。</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从决算单位构成看，新疆喀什地区叶城县委政法委员会部门决算包括：新疆喀什地区叶城县委政法委员会部门本级决算、所属单位决算等。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纳入新疆喀什地区叶城县委政法委员会</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新疆喀什地区叶城县委政法委员会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424.66</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24,563.89</w:t>
      </w:r>
      <w:r>
        <w:rPr>
          <w:rFonts w:hint="eastAsia" w:ascii="仿宋_GB2312" w:eastAsia="仿宋_GB2312" w:cs="仿宋_GB2312"/>
          <w:sz w:val="32"/>
          <w:szCs w:val="32"/>
        </w:rPr>
        <w:t>万元，下降</w:t>
      </w:r>
      <w:r>
        <w:rPr>
          <w:rFonts w:ascii="仿宋_GB2312" w:eastAsia="仿宋_GB2312" w:cs="仿宋_GB2312"/>
          <w:sz w:val="32"/>
          <w:szCs w:val="32"/>
        </w:rPr>
        <w:t>98.3%</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本年度项目资金减少；</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424.66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24,563.89</w:t>
      </w:r>
      <w:r>
        <w:rPr>
          <w:rFonts w:hint="eastAsia" w:ascii="仿宋_GB2312" w:eastAsia="仿宋_GB2312" w:cs="仿宋_GB2312"/>
          <w:sz w:val="32"/>
          <w:szCs w:val="32"/>
        </w:rPr>
        <w:t>万元，下降</w:t>
      </w:r>
      <w:r>
        <w:rPr>
          <w:rFonts w:ascii="仿宋_GB2312" w:eastAsia="仿宋_GB2312" w:cs="仿宋_GB2312"/>
          <w:sz w:val="32"/>
          <w:szCs w:val="32"/>
        </w:rPr>
        <w:t>98.3%</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本年度项目资金减少；</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w:t>
      </w:r>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424.66</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424.66</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108.02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424.66</w:t>
      </w:r>
      <w:r>
        <w:rPr>
          <w:rFonts w:hint="eastAsia" w:ascii="仿宋_GB2312" w:eastAsia="仿宋_GB2312" w:cs="仿宋_GB2312"/>
          <w:sz w:val="32"/>
          <w:szCs w:val="32"/>
        </w:rPr>
        <w:t>万元，预决算差异率</w:t>
      </w:r>
      <w:r>
        <w:rPr>
          <w:rFonts w:ascii="仿宋_GB2312" w:eastAsia="仿宋_GB2312" w:cs="仿宋_GB2312"/>
          <w:sz w:val="32"/>
          <w:szCs w:val="32"/>
        </w:rPr>
        <w:t>293.13%</w:t>
      </w:r>
      <w:r>
        <w:rPr>
          <w:rFonts w:hint="eastAsia" w:ascii="仿宋_GB2312" w:eastAsia="仿宋_GB2312" w:cs="仿宋_GB2312"/>
          <w:sz w:val="32"/>
          <w:szCs w:val="32"/>
        </w:rPr>
        <w:t>，差异主要原因是</w:t>
      </w:r>
      <w:r>
        <w:rPr>
          <w:rFonts w:ascii="仿宋_GB2312" w:eastAsia="仿宋_GB2312" w:cs="仿宋_GB2312"/>
          <w:sz w:val="32"/>
          <w:szCs w:val="32"/>
        </w:rPr>
        <w:t>2017</w:t>
      </w:r>
      <w:r>
        <w:rPr>
          <w:rFonts w:hint="eastAsia" w:ascii="仿宋_GB2312" w:eastAsia="仿宋_GB2312" w:cs="仿宋_GB2312"/>
          <w:sz w:val="32"/>
          <w:szCs w:val="32"/>
        </w:rPr>
        <w:t>年项目资金多于</w:t>
      </w:r>
      <w:r>
        <w:rPr>
          <w:rFonts w:ascii="仿宋_GB2312" w:eastAsia="仿宋_GB2312" w:cs="仿宋_GB2312"/>
          <w:sz w:val="32"/>
          <w:szCs w:val="32"/>
        </w:rPr>
        <w:t>2018</w:t>
      </w:r>
      <w:r>
        <w:rPr>
          <w:rFonts w:hint="eastAsia" w:ascii="仿宋_GB2312" w:eastAsia="仿宋_GB2312" w:cs="仿宋_GB2312"/>
          <w:sz w:val="32"/>
          <w:szCs w:val="32"/>
        </w:rPr>
        <w:t>年。</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424.66</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362.46</w:t>
      </w:r>
      <w:r>
        <w:rPr>
          <w:rFonts w:hint="eastAsia" w:ascii="仿宋_GB2312" w:eastAsia="仿宋_GB2312" w:cs="仿宋_GB2312"/>
          <w:color w:val="000000"/>
          <w:sz w:val="32"/>
          <w:szCs w:val="32"/>
        </w:rPr>
        <w:t>万元，占</w:t>
      </w:r>
      <w:r>
        <w:rPr>
          <w:rFonts w:ascii="仿宋_GB2312" w:eastAsia="仿宋_GB2312" w:cs="仿宋_GB2312"/>
          <w:sz w:val="32"/>
          <w:szCs w:val="32"/>
        </w:rPr>
        <w:t>85.35%</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62.2</w:t>
      </w:r>
      <w:r>
        <w:rPr>
          <w:rFonts w:hint="eastAsia" w:ascii="仿宋_GB2312" w:eastAsia="仿宋_GB2312" w:cs="仿宋_GB2312"/>
          <w:color w:val="000000"/>
          <w:sz w:val="32"/>
          <w:szCs w:val="32"/>
        </w:rPr>
        <w:t>万元，占</w:t>
      </w:r>
      <w:r>
        <w:rPr>
          <w:rFonts w:ascii="仿宋_GB2312" w:eastAsia="仿宋_GB2312" w:cs="仿宋_GB2312"/>
          <w:sz w:val="32"/>
          <w:szCs w:val="32"/>
        </w:rPr>
        <w:t>14.65%</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108.02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424.66</w:t>
      </w:r>
      <w:r>
        <w:rPr>
          <w:rFonts w:hint="eastAsia" w:ascii="仿宋_GB2312" w:eastAsia="仿宋_GB2312" w:cs="仿宋_GB2312"/>
          <w:sz w:val="32"/>
          <w:szCs w:val="32"/>
        </w:rPr>
        <w:t>万元，预决算差异率</w:t>
      </w:r>
      <w:r>
        <w:rPr>
          <w:rFonts w:ascii="仿宋_GB2312" w:eastAsia="仿宋_GB2312" w:cs="仿宋_GB2312"/>
          <w:sz w:val="32"/>
          <w:szCs w:val="32"/>
        </w:rPr>
        <w:t>293.13%</w:t>
      </w:r>
      <w:r>
        <w:rPr>
          <w:rFonts w:hint="eastAsia" w:ascii="仿宋_GB2312" w:eastAsia="仿宋_GB2312" w:cs="仿宋_GB2312"/>
          <w:sz w:val="32"/>
          <w:szCs w:val="32"/>
        </w:rPr>
        <w:t>，差异主要原因是年度增加基本工资、新艰边调整，人员正常晋升。</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424.66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24,563.89</w:t>
      </w:r>
      <w:r>
        <w:rPr>
          <w:rFonts w:hint="eastAsia" w:ascii="仿宋_GB2312" w:eastAsia="仿宋_GB2312" w:cs="仿宋_GB2312"/>
          <w:sz w:val="32"/>
          <w:szCs w:val="32"/>
        </w:rPr>
        <w:t>万元，下降</w:t>
      </w:r>
      <w:r>
        <w:rPr>
          <w:rFonts w:ascii="仿宋_GB2312" w:eastAsia="仿宋_GB2312" w:cs="仿宋_GB2312"/>
          <w:sz w:val="32"/>
          <w:szCs w:val="32"/>
        </w:rPr>
        <w:t>98.3%</w:t>
      </w:r>
      <w:r>
        <w:rPr>
          <w:rFonts w:hint="eastAsia" w:ascii="仿宋_GB2312" w:eastAsia="仿宋_GB2312" w:cs="仿宋_GB2312"/>
          <w:sz w:val="32"/>
          <w:szCs w:val="32"/>
        </w:rPr>
        <w:t>，减少的主要原因是：本年度项目资金减少。</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424.66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24,563.89</w:t>
      </w:r>
      <w:r>
        <w:rPr>
          <w:rFonts w:hint="eastAsia" w:ascii="仿宋_GB2312" w:eastAsia="仿宋_GB2312" w:cs="仿宋_GB2312"/>
          <w:sz w:val="32"/>
          <w:szCs w:val="32"/>
        </w:rPr>
        <w:t>万元，下降</w:t>
      </w:r>
      <w:r>
        <w:rPr>
          <w:rFonts w:ascii="仿宋_GB2312" w:eastAsia="仿宋_GB2312" w:cs="仿宋_GB2312"/>
          <w:sz w:val="32"/>
          <w:szCs w:val="32"/>
        </w:rPr>
        <w:t>98.3%</w:t>
      </w:r>
      <w:r>
        <w:rPr>
          <w:rFonts w:hint="eastAsia" w:ascii="仿宋_GB2312" w:eastAsia="仿宋_GB2312" w:cs="仿宋_GB2312"/>
          <w:sz w:val="32"/>
          <w:szCs w:val="32"/>
        </w:rPr>
        <w:t>，减少的主要原因是：本年度项目资金减少。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362.46</w:t>
      </w:r>
      <w:r>
        <w:rPr>
          <w:rFonts w:hint="eastAsia" w:ascii="仿宋_GB2312" w:eastAsia="仿宋_GB2312" w:cs="仿宋_GB2312"/>
          <w:color w:val="000000"/>
          <w:sz w:val="32"/>
          <w:szCs w:val="32"/>
        </w:rPr>
        <w:t>万元，项目支出</w:t>
      </w:r>
      <w:r>
        <w:rPr>
          <w:rFonts w:ascii="仿宋_GB2312" w:eastAsia="仿宋_GB2312" w:cs="仿宋_GB2312"/>
          <w:sz w:val="32"/>
          <w:szCs w:val="32"/>
        </w:rPr>
        <w:t>62.2</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bookmarkEnd w:id="29"/>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108.02</w:t>
      </w:r>
      <w:r>
        <w:rPr>
          <w:rFonts w:hint="eastAsia" w:ascii="仿宋_GB2312" w:eastAsia="仿宋_GB2312" w:cs="仿宋_GB2312"/>
          <w:color w:val="000000"/>
          <w:sz w:val="32"/>
          <w:szCs w:val="32"/>
        </w:rPr>
        <w:t>万元，决算数</w:t>
      </w:r>
      <w:r>
        <w:rPr>
          <w:rFonts w:ascii="仿宋_GB2312" w:eastAsia="仿宋_GB2312" w:cs="仿宋_GB2312"/>
          <w:sz w:val="32"/>
          <w:szCs w:val="32"/>
        </w:rPr>
        <w:t>424.66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293.13%</w:t>
      </w:r>
      <w:r>
        <w:rPr>
          <w:rFonts w:hint="eastAsia" w:ascii="仿宋_GB2312" w:eastAsia="仿宋_GB2312" w:cs="仿宋_GB2312"/>
          <w:color w:val="000000"/>
          <w:sz w:val="32"/>
          <w:szCs w:val="32"/>
        </w:rPr>
        <w:t>，差异主要原因是年度增加基本工资、新艰边调整，人员正常晋升。</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108.02</w:t>
      </w:r>
      <w:r>
        <w:rPr>
          <w:rFonts w:hint="eastAsia" w:ascii="仿宋_GB2312" w:eastAsia="仿宋_GB2312" w:cs="仿宋_GB2312"/>
          <w:color w:val="000000"/>
          <w:sz w:val="32"/>
          <w:szCs w:val="32"/>
        </w:rPr>
        <w:t>万元，决算数</w:t>
      </w:r>
      <w:r>
        <w:rPr>
          <w:rFonts w:ascii="仿宋_GB2312" w:eastAsia="仿宋_GB2312" w:cs="仿宋_GB2312"/>
          <w:sz w:val="32"/>
          <w:szCs w:val="32"/>
        </w:rPr>
        <w:t>424.66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293.13%</w:t>
      </w:r>
      <w:r>
        <w:rPr>
          <w:rFonts w:hint="eastAsia" w:ascii="仿宋_GB2312" w:eastAsia="仿宋_GB2312" w:cs="仿宋_GB2312"/>
          <w:color w:val="000000"/>
          <w:sz w:val="32"/>
          <w:szCs w:val="32"/>
        </w:rPr>
        <w:t>，差异主要原因是年度增加基本工资、新艰边调整，人员正常晋升。</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424.66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24,563.89</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98.3%</w:t>
      </w:r>
      <w:r>
        <w:rPr>
          <w:rFonts w:hint="eastAsia" w:ascii="仿宋_GB2312" w:eastAsia="仿宋_GB2312" w:cs="仿宋_GB2312"/>
          <w:color w:val="000000"/>
          <w:sz w:val="32"/>
          <w:szCs w:val="32"/>
        </w:rPr>
        <w:t>，减少的主要原因是：本年度项目资金减少。</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424.66</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24,563.89</w:t>
      </w:r>
      <w:r>
        <w:rPr>
          <w:rFonts w:hint="eastAsia" w:ascii="仿宋_GB2312" w:eastAsia="仿宋_GB2312" w:cs="仿宋_GB2312"/>
          <w:sz w:val="32"/>
          <w:szCs w:val="32"/>
        </w:rPr>
        <w:t>万元，下降</w:t>
      </w:r>
      <w:r>
        <w:rPr>
          <w:rFonts w:ascii="仿宋_GB2312" w:eastAsia="仿宋_GB2312" w:cs="仿宋_GB2312"/>
          <w:sz w:val="32"/>
          <w:szCs w:val="32"/>
        </w:rPr>
        <w:t>98.3%</w:t>
      </w:r>
      <w:r>
        <w:rPr>
          <w:rFonts w:hint="eastAsia" w:ascii="仿宋_GB2312" w:eastAsia="仿宋_GB2312" w:cs="仿宋_GB2312"/>
          <w:sz w:val="32"/>
          <w:szCs w:val="32"/>
        </w:rPr>
        <w:t>，减少的主要原因是：本年度项目资金减少。</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22.52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支出</w:t>
      </w:r>
      <w:r>
        <w:rPr>
          <w:rFonts w:ascii="仿宋_GB2312" w:eastAsia="仿宋_GB2312" w:cs="仿宋_GB2312"/>
          <w:sz w:val="32"/>
          <w:szCs w:val="32"/>
        </w:rPr>
        <w:t>30</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公共安全支出</w:t>
      </w:r>
      <w:r>
        <w:rPr>
          <w:rFonts w:ascii="仿宋_GB2312" w:eastAsia="仿宋_GB2312" w:cs="仿宋_GB2312"/>
          <w:sz w:val="32"/>
          <w:szCs w:val="32"/>
        </w:rPr>
        <w:t>311.71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其他支出</w:t>
      </w:r>
      <w:r>
        <w:rPr>
          <w:rFonts w:ascii="仿宋_GB2312" w:eastAsia="仿宋_GB2312" w:cs="仿宋_GB2312"/>
          <w:sz w:val="32"/>
          <w:szCs w:val="32"/>
        </w:rPr>
        <w:t>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38.43</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322.6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60.76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41.31</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108.02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424.66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293.13%</w:t>
      </w:r>
      <w:r>
        <w:rPr>
          <w:rFonts w:hint="eastAsia" w:ascii="仿宋_GB2312" w:eastAsia="仿宋_GB2312" w:cs="仿宋_GB2312"/>
          <w:color w:val="000000"/>
          <w:sz w:val="32"/>
          <w:szCs w:val="32"/>
        </w:rPr>
        <w:t>，差异主要原因是年度增加基本工资、新艰边调整，人员正常晋升。</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108.02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424.66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293.13%</w:t>
      </w:r>
      <w:r>
        <w:rPr>
          <w:rFonts w:hint="eastAsia" w:ascii="仿宋_GB2312" w:eastAsia="仿宋_GB2312" w:cs="仿宋_GB2312"/>
          <w:color w:val="000000"/>
          <w:sz w:val="32"/>
          <w:szCs w:val="32"/>
        </w:rPr>
        <w:t>，差异主要原因是年度增加基本工资、新艰边调整，人员正常晋升。</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6" w:name="OLE_LINK23"/>
      <w:bookmarkStart w:id="47"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s="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1" w:name="OLE_LINK26"/>
      <w:bookmarkStart w:id="52" w:name="OLE_LINK25"/>
      <w:r>
        <w:rPr>
          <w:rFonts w:hint="eastAsia" w:ascii="仿宋_GB2312" w:eastAsia="仿宋_GB2312" w:cs="仿宋_GB2312"/>
          <w:color w:val="000000"/>
          <w:sz w:val="32"/>
          <w:szCs w:val="32"/>
        </w:rPr>
        <w:t>年末结转结余</w:t>
      </w:r>
      <w:bookmarkEnd w:id="51"/>
      <w:bookmarkEnd w:id="52"/>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3" w:name="OLE_LINK27"/>
      <w:bookmarkStart w:id="54" w:name="OLE_LINK28"/>
      <w:r>
        <w:rPr>
          <w:rFonts w:hint="eastAsia" w:ascii="仿宋_GB2312" w:eastAsia="仿宋_GB2312" w:cs="仿宋_GB2312"/>
          <w:color w:val="000000"/>
          <w:sz w:val="32"/>
          <w:szCs w:val="32"/>
        </w:rPr>
        <w:t>财政拨款结转结余</w:t>
      </w:r>
      <w:bookmarkEnd w:id="53"/>
      <w:bookmarkEnd w:id="54"/>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5"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6" w:name="OLE_LINK29"/>
      <w:r>
        <w:rPr>
          <w:rFonts w:hint="eastAsia" w:ascii="仿宋_GB2312" w:eastAsia="仿宋_GB2312" w:cs="仿宋_GB2312"/>
          <w:color w:val="000000"/>
          <w:sz w:val="32"/>
          <w:szCs w:val="32"/>
        </w:rPr>
        <w:t>一般公共预算“三公”经费支出决算</w:t>
      </w:r>
      <w:bookmarkEnd w:id="56"/>
      <w:r>
        <w:rPr>
          <w:rFonts w:ascii="仿宋_GB2312" w:eastAsia="仿宋_GB2312" w:cs="仿宋_GB2312"/>
          <w:sz w:val="32"/>
          <w:szCs w:val="32"/>
        </w:rPr>
        <w:t>2.7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0.3</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，减少的主要原因是：本单位执行中央、自治区和地区的相关规定。</w:t>
      </w:r>
      <w:bookmarkEnd w:id="55"/>
      <w:bookmarkStart w:id="57" w:name="OLE_LINK75"/>
      <w:r>
        <w:rPr>
          <w:rFonts w:hint="eastAsia" w:ascii="仿宋_GB2312" w:eastAsia="仿宋_GB2312" w:cs="仿宋_GB2312"/>
          <w:color w:val="000000"/>
          <w:sz w:val="32"/>
          <w:szCs w:val="32"/>
        </w:rPr>
        <w:t>其中，</w:t>
      </w:r>
      <w:bookmarkStart w:id="58"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，增加的主要原因是本单位无因公出国考察计划；</w:t>
      </w:r>
      <w:bookmarkEnd w:id="57"/>
      <w:bookmarkStart w:id="59" w:name="OLE_LINK31"/>
      <w:bookmarkStart w:id="60" w:name="OLE_LINK76"/>
      <w:r>
        <w:rPr>
          <w:rFonts w:hint="eastAsia" w:ascii="仿宋_GB2312" w:eastAsia="仿宋_GB2312" w:cs="仿宋_GB2312"/>
          <w:color w:val="000000"/>
          <w:sz w:val="32"/>
          <w:szCs w:val="32"/>
        </w:rPr>
        <w:t>公务用车购置及运行维护费支出</w:t>
      </w:r>
      <w:bookmarkEnd w:id="59"/>
      <w:r>
        <w:rPr>
          <w:rFonts w:ascii="仿宋_GB2312" w:eastAsia="仿宋_GB2312" w:cs="仿宋_GB2312"/>
          <w:sz w:val="32"/>
          <w:szCs w:val="32"/>
        </w:rPr>
        <w:t>2.7</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0.3</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，减少的主要原因是：我单位严把车辆管控关，严格遵守公务车辆配置标准，严禁公车私用；</w:t>
      </w:r>
      <w:bookmarkEnd w:id="60"/>
      <w:bookmarkStart w:id="61" w:name="OLE_LINK32"/>
      <w:bookmarkStart w:id="62" w:name="OLE_LINK78"/>
      <w:bookmarkStart w:id="63" w:name="OLE_LINK77"/>
      <w:r>
        <w:rPr>
          <w:rFonts w:hint="eastAsia" w:ascii="仿宋_GB2312" w:eastAsia="仿宋_GB2312" w:cs="仿宋_GB2312"/>
          <w:color w:val="000000"/>
          <w:sz w:val="32"/>
          <w:szCs w:val="32"/>
        </w:rPr>
        <w:t>公务接待费支出</w:t>
      </w:r>
      <w:bookmarkEnd w:id="6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，与上年相比，增加0万元，增长0%，增加的主要原因是：单位严格按制度执行。</w:t>
      </w:r>
      <w:bookmarkEnd w:id="62"/>
      <w:bookmarkEnd w:id="63"/>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4" w:name="OLE_LINK80"/>
      <w:bookmarkStart w:id="65" w:name="OLE_LINK79"/>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新疆喀什地区叶城县委政法委员会</w:t>
      </w:r>
      <w:r>
        <w:rPr>
          <w:rFonts w:hint="eastAsia" w:ascii="仿宋_GB2312" w:eastAsia="仿宋_GB2312" w:cs="仿宋_GB2312"/>
          <w:color w:val="000000"/>
          <w:sz w:val="32"/>
          <w:szCs w:val="32"/>
        </w:rPr>
        <w:t>单位</w:t>
      </w:r>
      <w:bookmarkStart w:id="66" w:name="OLE_LINK33"/>
      <w:r>
        <w:rPr>
          <w:rFonts w:hint="eastAsia" w:ascii="仿宋_GB2312" w:eastAsia="仿宋_GB2312" w:cs="仿宋_GB2312"/>
          <w:color w:val="000000"/>
          <w:sz w:val="32"/>
          <w:szCs w:val="32"/>
        </w:rPr>
        <w:t>全年</w:t>
      </w:r>
      <w:bookmarkStart w:id="67" w:name="OLE_LINK34"/>
      <w:bookmarkStart w:id="68" w:name="OLE_LINK35"/>
      <w:bookmarkStart w:id="69"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6"/>
      <w:bookmarkEnd w:id="67"/>
      <w:bookmarkEnd w:id="68"/>
      <w:r>
        <w:rPr>
          <w:rFonts w:ascii="仿宋_GB2312" w:eastAsia="仿宋_GB2312" w:cs="仿宋_GB2312"/>
          <w:sz w:val="32"/>
          <w:szCs w:val="32"/>
        </w:rPr>
        <w:t>0</w:t>
      </w:r>
      <w:r>
        <w:rPr>
          <w:rFonts w:hint="eastAsia" w:ascii="仿宋_GB2312" w:eastAsia="仿宋_GB2312" w:cs="仿宋_GB2312"/>
          <w:color w:val="000000"/>
          <w:sz w:val="32"/>
          <w:szCs w:val="32"/>
        </w:rPr>
        <w:t>个</w:t>
      </w:r>
      <w:bookmarkEnd w:id="69"/>
      <w:r>
        <w:rPr>
          <w:rFonts w:hint="eastAsia" w:ascii="仿宋_GB2312" w:eastAsia="仿宋_GB2312" w:cs="仿宋_GB2312"/>
          <w:color w:val="000000"/>
          <w:sz w:val="32"/>
          <w:szCs w:val="32"/>
        </w:rPr>
        <w:t>，</w:t>
      </w:r>
      <w:bookmarkStart w:id="70"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0"/>
      <w:r>
        <w:rPr>
          <w:rFonts w:hint="eastAsia" w:ascii="仿宋_GB2312" w:eastAsia="仿宋_GB2312" w:cs="仿宋_GB2312"/>
          <w:color w:val="000000"/>
          <w:sz w:val="32"/>
          <w:szCs w:val="32"/>
        </w:rPr>
        <w:t>。</w:t>
      </w:r>
      <w:bookmarkStart w:id="71" w:name="OLE_LINK38"/>
      <w:r>
        <w:rPr>
          <w:rFonts w:hint="eastAsia" w:ascii="仿宋_GB2312" w:eastAsia="仿宋_GB2312" w:cs="仿宋_GB2312"/>
          <w:color w:val="000000"/>
          <w:sz w:val="32"/>
          <w:szCs w:val="32"/>
        </w:rPr>
        <w:t>开支内容包括：无此项开支。</w:t>
      </w:r>
      <w:bookmarkEnd w:id="64"/>
      <w:bookmarkEnd w:id="65"/>
      <w:bookmarkEnd w:id="71"/>
    </w:p>
    <w:p>
      <w:pPr>
        <w:spacing w:line="540" w:lineRule="exact"/>
        <w:ind w:firstLine="640" w:firstLineChars="200"/>
        <w:rPr>
          <w:rFonts w:ascii="仿宋_GB2312" w:eastAsia="仿宋_GB2312"/>
          <w:color w:val="000000"/>
          <w:sz w:val="32"/>
          <w:szCs w:val="32"/>
        </w:rPr>
      </w:pPr>
      <w:bookmarkStart w:id="72"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2.7</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3"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3"/>
      <w:r>
        <w:rPr>
          <w:rFonts w:hint="eastAsia" w:ascii="仿宋_GB2312" w:eastAsia="仿宋_GB2312" w:cs="仿宋_GB2312"/>
          <w:color w:val="000000"/>
          <w:sz w:val="32"/>
          <w:szCs w:val="32"/>
        </w:rPr>
        <w:t>，</w:t>
      </w:r>
      <w:bookmarkStart w:id="74" w:name="OLE_LINK40"/>
      <w:bookmarkStart w:id="75"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2.7</w:t>
      </w:r>
      <w:r>
        <w:rPr>
          <w:rFonts w:hint="eastAsia" w:ascii="仿宋_GB2312" w:eastAsia="仿宋_GB2312" w:cs="仿宋_GB2312"/>
          <w:color w:val="000000"/>
          <w:sz w:val="32"/>
          <w:szCs w:val="32"/>
        </w:rPr>
        <w:t>万元</w:t>
      </w:r>
      <w:bookmarkEnd w:id="74"/>
      <w:bookmarkEnd w:id="75"/>
      <w:r>
        <w:rPr>
          <w:rFonts w:hint="eastAsia" w:ascii="仿宋_GB2312" w:eastAsia="仿宋_GB2312" w:cs="仿宋_GB2312"/>
          <w:color w:val="000000"/>
          <w:sz w:val="32"/>
          <w:szCs w:val="32"/>
        </w:rPr>
        <w:t>。主要用于</w:t>
      </w:r>
      <w:r>
        <w:rPr>
          <w:rFonts w:hint="eastAsia" w:ascii="仿宋_GB2312" w:eastAsia="仿宋_GB2312" w:cs="仿宋_GB2312"/>
          <w:sz w:val="32"/>
          <w:szCs w:val="32"/>
        </w:rPr>
        <w:t>维修费和修理费</w:t>
      </w:r>
      <w:r>
        <w:rPr>
          <w:rFonts w:hint="eastAsia" w:ascii="仿宋_GB2312" w:eastAsia="仿宋_GB2312" w:cs="仿宋_GB2312"/>
          <w:color w:val="000000"/>
          <w:sz w:val="32"/>
          <w:szCs w:val="32"/>
        </w:rPr>
        <w:t>等。</w:t>
      </w:r>
      <w:bookmarkEnd w:id="72"/>
      <w:bookmarkStart w:id="76"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2</w:t>
      </w:r>
      <w:r>
        <w:rPr>
          <w:rFonts w:hint="eastAsia" w:ascii="仿宋_GB2312" w:eastAsia="仿宋_GB2312" w:cs="仿宋_GB2312"/>
          <w:color w:val="000000"/>
          <w:sz w:val="32"/>
          <w:szCs w:val="32"/>
        </w:rPr>
        <w:t>辆。</w:t>
      </w:r>
      <w:bookmarkEnd w:id="76"/>
    </w:p>
    <w:p>
      <w:pPr>
        <w:spacing w:line="540" w:lineRule="exact"/>
        <w:ind w:firstLine="640" w:firstLineChars="200"/>
        <w:rPr>
          <w:rFonts w:ascii="仿宋_GB2312" w:eastAsia="仿宋_GB2312"/>
          <w:color w:val="000000"/>
          <w:sz w:val="32"/>
          <w:szCs w:val="32"/>
        </w:rPr>
      </w:pPr>
      <w:bookmarkStart w:id="77"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我单位严格按制度执行，本年未发生此类开支</w:t>
      </w:r>
      <w:r>
        <w:rPr>
          <w:rFonts w:hint="eastAsia" w:ascii="仿宋_GB2312" w:eastAsia="仿宋_GB2312" w:cs="仿宋_GB2312"/>
          <w:color w:val="000000"/>
          <w:sz w:val="32"/>
          <w:szCs w:val="32"/>
        </w:rPr>
        <w:t>。</w:t>
      </w:r>
      <w:bookmarkEnd w:id="77"/>
      <w:bookmarkStart w:id="78" w:name="OLE_LINK84"/>
      <w:r>
        <w:rPr>
          <w:rFonts w:hint="eastAsia" w:ascii="仿宋_GB2312" w:eastAsia="仿宋_GB2312" w:cs="仿宋_GB2312"/>
          <w:sz w:val="32"/>
          <w:szCs w:val="32"/>
        </w:rPr>
        <w:t>新疆喀什地区叶城县委政法委员会</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8"/>
    </w:p>
    <w:p>
      <w:pPr>
        <w:spacing w:line="540" w:lineRule="exact"/>
        <w:ind w:firstLine="640" w:firstLineChars="200"/>
        <w:rPr>
          <w:rFonts w:ascii="仿宋_GB2312" w:hAnsi="宋体" w:eastAsia="仿宋_GB2312"/>
          <w:color w:val="000000"/>
          <w:kern w:val="0"/>
          <w:sz w:val="32"/>
          <w:szCs w:val="32"/>
        </w:rPr>
      </w:pPr>
      <w:bookmarkStart w:id="79"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2.7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，差异主要原因是预算数与决算数一致。</w:t>
      </w:r>
      <w:bookmarkEnd w:id="79"/>
      <w:bookmarkStart w:id="80" w:name="OLE_LINK87"/>
      <w:bookmarkStart w:id="81"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，差异主要原因是本年未发生此类开支；</w:t>
      </w:r>
      <w:bookmarkEnd w:id="80"/>
      <w:bookmarkEnd w:id="81"/>
      <w:bookmarkStart w:id="82" w:name="OLE_LINK88"/>
      <w:bookmarkStart w:id="83"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，差异主要原因是本年未发生此类开支；</w:t>
      </w:r>
      <w:bookmarkEnd w:id="82"/>
      <w:bookmarkEnd w:id="83"/>
      <w:bookmarkStart w:id="84"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2.7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，差异主要原因是预算数与决算数一致；</w:t>
      </w:r>
      <w:bookmarkEnd w:id="84"/>
      <w:bookmarkStart w:id="85"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5"/>
      <w:r>
        <w:rPr>
          <w:rFonts w:hint="eastAsia" w:ascii="仿宋_GB2312" w:eastAsia="仿宋_GB2312" w:cs="仿宋_GB2312"/>
          <w:color w:val="000000"/>
          <w:sz w:val="32"/>
          <w:szCs w:val="32"/>
        </w:rPr>
        <w:t>本年未发生此类开支。</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年度新疆喀什地区叶城县委政法委员会机关运行经费支出</w:t>
      </w:r>
      <w:r>
        <w:rPr>
          <w:rFonts w:ascii="仿宋_GB2312" w:eastAsia="仿宋_GB2312" w:cs="仿宋_GB2312"/>
          <w:color w:val="000000"/>
          <w:sz w:val="32"/>
          <w:szCs w:val="32"/>
        </w:rPr>
        <w:t>5.56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2.9</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34.28%</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是本单位执行中央、自治区和地区的相关规定</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68.81</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62.38</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6.43</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0"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2</w:t>
      </w:r>
      <w:r>
        <w:rPr>
          <w:rFonts w:hint="eastAsia" w:ascii="仿宋_GB2312" w:eastAsia="仿宋_GB2312" w:cs="仿宋_GB2312"/>
          <w:color w:val="000000"/>
          <w:sz w:val="32"/>
          <w:szCs w:val="32"/>
        </w:rPr>
        <w:t>辆，价值</w:t>
      </w:r>
      <w:r>
        <w:rPr>
          <w:rFonts w:ascii="仿宋_GB2312" w:eastAsia="仿宋_GB2312" w:cs="仿宋_GB2312"/>
          <w:sz w:val="32"/>
          <w:szCs w:val="32"/>
        </w:rPr>
        <w:t>43.8</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adjustRightInd w:val="0"/>
        <w:snapToGrid w:val="0"/>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新疆喀什地区叶城县委政法委员会</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62.2</w:t>
      </w:r>
      <w:r>
        <w:rPr>
          <w:rFonts w:hint="eastAsia" w:ascii="仿宋_GB2312" w:eastAsia="仿宋_GB2312" w:cs="仿宋_GB2312"/>
          <w:sz w:val="32"/>
          <w:szCs w:val="32"/>
        </w:rPr>
        <w:t>万元，执行金额为</w:t>
      </w:r>
      <w:r>
        <w:rPr>
          <w:rFonts w:ascii="仿宋_GB2312" w:eastAsia="仿宋_GB2312" w:cs="仿宋_GB2312"/>
          <w:sz w:val="32"/>
          <w:szCs w:val="32"/>
        </w:rPr>
        <w:t>62.2</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3</w:t>
      </w:r>
      <w:r>
        <w:rPr>
          <w:rFonts w:hint="eastAsia" w:ascii="仿宋_GB2312" w:eastAsia="仿宋_GB2312" w:cs="仿宋_GB2312"/>
          <w:sz w:val="32"/>
          <w:szCs w:val="32"/>
        </w:rPr>
        <w:t>个，其中已完成项目</w:t>
      </w:r>
      <w:r>
        <w:rPr>
          <w:rFonts w:ascii="仿宋_GB2312" w:eastAsia="仿宋_GB2312" w:cs="仿宋_GB2312"/>
          <w:sz w:val="32"/>
          <w:szCs w:val="32"/>
        </w:rPr>
        <w:t>3</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w:t>
      </w:r>
      <w:r>
        <w:rPr>
          <w:rFonts w:hint="eastAsia" w:ascii="仿宋_GB2312" w:hAnsi="宋体" w:eastAsia="仿宋_GB2312"/>
          <w:kern w:val="0"/>
          <w:sz w:val="32"/>
          <w:szCs w:val="32"/>
        </w:rPr>
        <w:t>情况</w:t>
      </w:r>
      <w:r>
        <w:rPr>
          <w:rFonts w:hint="eastAsia" w:ascii="仿宋_GB2312" w:eastAsia="仿宋_GB2312" w:cs="仿宋_GB2312"/>
          <w:sz w:val="32"/>
          <w:szCs w:val="32"/>
        </w:rPr>
        <w:t>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adjustRightInd w:val="0"/>
        <w:snapToGrid w:val="0"/>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、偏远地区牧民奖励经费项目绩效自评综述：根据年初设定的绩效目标，该项目绩效自评得分为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）项目完成数量：保障数量为</w:t>
      </w:r>
      <w:r>
        <w:rPr>
          <w:rFonts w:ascii="仿宋_GB2312" w:eastAsia="仿宋_GB2312" w:cs="仿宋_GB2312"/>
          <w:sz w:val="32"/>
          <w:szCs w:val="32"/>
        </w:rPr>
        <w:t>100</w:t>
      </w:r>
      <w:r>
        <w:rPr>
          <w:rFonts w:hint="eastAsia" w:ascii="仿宋_GB2312" w:eastAsia="仿宋_GB2312" w:cs="仿宋_GB2312"/>
          <w:sz w:val="32"/>
          <w:szCs w:val="32"/>
        </w:rPr>
        <w:t>人，截至</w:t>
      </w:r>
      <w:r>
        <w:rPr>
          <w:rFonts w:ascii="仿宋_GB2312" w:eastAsia="仿宋_GB2312" w:cs="仿宋_GB2312"/>
          <w:sz w:val="32"/>
          <w:szCs w:val="32"/>
        </w:rPr>
        <w:t>2018</w:t>
      </w:r>
      <w:r>
        <w:rPr>
          <w:rFonts w:hint="eastAsia" w:ascii="仿宋_GB2312" w:eastAsia="仿宋_GB2312" w:cs="仿宋_GB2312"/>
          <w:sz w:val="32"/>
          <w:szCs w:val="32"/>
        </w:rPr>
        <w:t>年自评评价时，已完成保障数量</w:t>
      </w:r>
      <w:r>
        <w:rPr>
          <w:rFonts w:ascii="仿宋_GB2312" w:eastAsia="仿宋_GB2312" w:cs="仿宋_GB2312"/>
          <w:sz w:val="32"/>
          <w:szCs w:val="32"/>
        </w:rPr>
        <w:t>100</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）项目完成质量：年度预期目标为工作开展资金落实率为</w:t>
      </w:r>
      <w:r>
        <w:rPr>
          <w:rFonts w:ascii="仿宋_GB2312" w:eastAsia="仿宋_GB2312" w:cs="仿宋_GB2312"/>
          <w:sz w:val="32"/>
          <w:szCs w:val="32"/>
        </w:rPr>
        <w:t>100%</w:t>
      </w:r>
      <w:r>
        <w:rPr>
          <w:rFonts w:hint="eastAsia" w:ascii="仿宋_GB2312" w:eastAsia="仿宋_GB2312" w:cs="仿宋_GB2312"/>
          <w:sz w:val="32"/>
          <w:szCs w:val="32"/>
        </w:rPr>
        <w:t>，根据项目完成后情况来看，单位严格以高质量的项目完成情况来执行，完成率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）项目实施进度：年初设定目标为资金拨付及时率</w:t>
      </w:r>
      <w:r>
        <w:rPr>
          <w:rFonts w:ascii="仿宋_GB2312" w:eastAsia="仿宋_GB2312" w:cs="仿宋_GB2312"/>
          <w:sz w:val="32"/>
          <w:szCs w:val="32"/>
        </w:rPr>
        <w:t>100%</w:t>
      </w:r>
      <w:r>
        <w:rPr>
          <w:rFonts w:hint="eastAsia" w:ascii="仿宋_GB2312" w:eastAsia="仿宋_GB2312" w:cs="仿宋_GB2312"/>
          <w:sz w:val="32"/>
          <w:szCs w:val="32"/>
        </w:rPr>
        <w:t>。根据年初单位制定的实施方案</w:t>
      </w:r>
      <w:r>
        <w:rPr>
          <w:rFonts w:ascii="仿宋_GB2312" w:eastAsia="仿宋_GB2312" w:cs="仿宋_GB2312"/>
          <w:sz w:val="32"/>
          <w:szCs w:val="32"/>
        </w:rPr>
        <w:t>,</w:t>
      </w:r>
      <w:r>
        <w:rPr>
          <w:rFonts w:hint="eastAsia" w:ascii="仿宋_GB2312" w:eastAsia="仿宋_GB2312" w:cs="仿宋_GB2312"/>
          <w:sz w:val="32"/>
          <w:szCs w:val="32"/>
        </w:rPr>
        <w:t>严格把控资金与项目实施进度相统一的原则</w:t>
      </w:r>
      <w:r>
        <w:rPr>
          <w:rFonts w:ascii="仿宋_GB2312" w:eastAsia="仿宋_GB2312" w:cs="仿宋_GB2312"/>
          <w:sz w:val="32"/>
          <w:szCs w:val="32"/>
        </w:rPr>
        <w:t>,</w:t>
      </w:r>
      <w:r>
        <w:rPr>
          <w:rFonts w:hint="eastAsia" w:ascii="仿宋_GB2312" w:eastAsia="仿宋_GB2312" w:cs="仿宋_GB2312"/>
          <w:sz w:val="32"/>
          <w:szCs w:val="32"/>
        </w:rPr>
        <w:t>项目完成进度良好</w:t>
      </w:r>
      <w:r>
        <w:rPr>
          <w:rFonts w:ascii="仿宋_GB2312" w:eastAsia="仿宋_GB2312" w:cs="仿宋_GB2312"/>
          <w:sz w:val="32"/>
          <w:szCs w:val="32"/>
        </w:rPr>
        <w:t>,</w:t>
      </w:r>
      <w:r>
        <w:rPr>
          <w:rFonts w:hint="eastAsia" w:ascii="仿宋_GB2312" w:eastAsia="仿宋_GB2312" w:cs="仿宋_GB2312"/>
          <w:sz w:val="32"/>
          <w:szCs w:val="32"/>
        </w:rPr>
        <w:t>当年完成率为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）项目成本节约情况：奖励经费项目，增加每个奖励经费</w:t>
      </w:r>
      <w:r>
        <w:rPr>
          <w:rFonts w:ascii="仿宋_GB2312" w:eastAsia="仿宋_GB2312" w:cs="仿宋_GB2312"/>
          <w:sz w:val="32"/>
          <w:szCs w:val="32"/>
        </w:rPr>
        <w:t>700</w:t>
      </w:r>
      <w:r>
        <w:rPr>
          <w:rFonts w:hint="eastAsia" w:ascii="仿宋_GB2312" w:eastAsia="仿宋_GB2312" w:cs="仿宋_GB2312"/>
          <w:sz w:val="32"/>
          <w:szCs w:val="32"/>
        </w:rPr>
        <w:t>元。</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）项目实施的社会效益分析：实施该项目能够切实提高政法委为民服务能力和工作效率；为本地区社会和长治久安、经济建设提供有效的保障。（</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）项目实施的可持续影响分析：切实提高政法委财务管理工作水平、规范政法委财务管理，可持续影响时间为</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满意度指标完成情况分析：按计划完成项目实施，已做满意度调查问卷，人员满意率达</w:t>
      </w:r>
      <w:r>
        <w:rPr>
          <w:rFonts w:ascii="仿宋_GB2312" w:eastAsia="仿宋_GB2312" w:cs="仿宋_GB2312"/>
          <w:sz w:val="32"/>
          <w:szCs w:val="32"/>
        </w:rPr>
        <w:t>100%</w:t>
      </w:r>
      <w:r>
        <w:rPr>
          <w:rFonts w:hint="eastAsia" w:ascii="仿宋_GB2312" w:eastAsia="仿宋_GB2312" w:cs="仿宋_GB2312"/>
          <w:sz w:val="32"/>
          <w:szCs w:val="32"/>
        </w:rPr>
        <w:t>，服务对象满意度指标完成。发现的问题及原因：无。问题及原因：无。下一步改进措施：</w:t>
      </w:r>
      <w:r>
        <w:rPr>
          <w:rFonts w:ascii="仿宋_GB2312" w:eastAsia="仿宋_GB2312" w:cs="仿宋_GB2312"/>
          <w:sz w:val="32"/>
          <w:szCs w:val="32"/>
        </w:rPr>
        <w:t xml:space="preserve"> </w:t>
      </w:r>
      <w:r>
        <w:rPr>
          <w:rFonts w:hint="eastAsia" w:ascii="仿宋_GB2312" w:eastAsia="仿宋_GB2312" w:cs="仿宋_GB2312"/>
          <w:sz w:val="32"/>
          <w:szCs w:val="32"/>
        </w:rPr>
        <w:t>严格按照会计人员集中核算工作管理制度、财务收支审批制度、财务稽核制度、财务牵制制度、会计主管岗位职责等制度规定进行资金管理，确保政法委工作顺利进行。</w:t>
      </w:r>
    </w:p>
    <w:p>
      <w:pPr>
        <w:spacing w:line="540" w:lineRule="exact"/>
        <w:ind w:firstLine="200"/>
        <w:rPr>
          <w:rFonts w:asci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、军兵民联管联防专项经费项目绩效自评综述：根据年初设定的绩效目标，该项目绩效自评得分为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产</w:t>
      </w:r>
      <w:r>
        <w:rPr>
          <w:rFonts w:hint="eastAsia" w:ascii="仿宋_GB2312" w:eastAsia="仿宋_GB2312" w:cs="仿宋_GB2312"/>
          <w:sz w:val="32"/>
          <w:szCs w:val="32"/>
        </w:rPr>
        <w:t>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）项目完成数量：资金保障执勤点数为</w:t>
      </w:r>
      <w:r>
        <w:rPr>
          <w:rFonts w:ascii="仿宋_GB2312" w:eastAsia="仿宋_GB2312" w:cs="仿宋_GB2312"/>
          <w:sz w:val="32"/>
          <w:szCs w:val="32"/>
        </w:rPr>
        <w:t>126</w:t>
      </w:r>
      <w:r>
        <w:rPr>
          <w:rFonts w:hint="eastAsia" w:ascii="仿宋_GB2312" w:eastAsia="仿宋_GB2312" w:cs="仿宋_GB2312"/>
          <w:sz w:val="32"/>
          <w:szCs w:val="32"/>
        </w:rPr>
        <w:t>个，截至</w:t>
      </w:r>
      <w:r>
        <w:rPr>
          <w:rFonts w:ascii="仿宋_GB2312" w:eastAsia="仿宋_GB2312" w:cs="仿宋_GB2312"/>
          <w:sz w:val="32"/>
          <w:szCs w:val="32"/>
        </w:rPr>
        <w:t>2018</w:t>
      </w:r>
      <w:r>
        <w:rPr>
          <w:rFonts w:hint="eastAsia" w:ascii="仿宋_GB2312" w:eastAsia="仿宋_GB2312" w:cs="仿宋_GB2312"/>
          <w:sz w:val="32"/>
          <w:szCs w:val="32"/>
        </w:rPr>
        <w:t>年自评评价时，已完成资金保障执勤点数</w:t>
      </w:r>
      <w:r>
        <w:rPr>
          <w:rFonts w:ascii="仿宋_GB2312" w:eastAsia="仿宋_GB2312" w:cs="仿宋_GB2312"/>
          <w:sz w:val="32"/>
          <w:szCs w:val="32"/>
        </w:rPr>
        <w:t>126</w:t>
      </w:r>
      <w:r>
        <w:rPr>
          <w:rFonts w:hint="eastAsia" w:ascii="仿宋_GB2312" w:eastAsia="仿宋_GB2312" w:cs="仿宋_GB2312"/>
          <w:sz w:val="32"/>
          <w:szCs w:val="32"/>
        </w:rPr>
        <w:t>个，完成率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）项目完成质量：工作开展资金落实率为</w:t>
      </w:r>
      <w:r>
        <w:rPr>
          <w:rFonts w:ascii="仿宋_GB2312" w:eastAsia="仿宋_GB2312" w:cs="仿宋_GB2312"/>
          <w:sz w:val="32"/>
          <w:szCs w:val="32"/>
        </w:rPr>
        <w:t>100%</w:t>
      </w:r>
      <w:r>
        <w:rPr>
          <w:rFonts w:hint="eastAsia" w:ascii="仿宋_GB2312" w:eastAsia="仿宋_GB2312" w:cs="仿宋_GB2312"/>
          <w:sz w:val="32"/>
          <w:szCs w:val="32"/>
        </w:rPr>
        <w:t>，根据年度完成情况来看，我单位严格以高质量执行项目，完成率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）项目实施进度：年度设置时效指标为资金拨付及时率</w:t>
      </w:r>
      <w:r>
        <w:rPr>
          <w:rFonts w:ascii="仿宋_GB2312" w:eastAsia="仿宋_GB2312" w:cs="仿宋_GB2312"/>
          <w:sz w:val="32"/>
          <w:szCs w:val="32"/>
        </w:rPr>
        <w:t>100%</w:t>
      </w:r>
      <w:r>
        <w:rPr>
          <w:rFonts w:hint="eastAsia" w:ascii="仿宋_GB2312" w:eastAsia="仿宋_GB2312" w:cs="仿宋_GB2312"/>
          <w:sz w:val="32"/>
          <w:szCs w:val="32"/>
        </w:rPr>
        <w:t>，根据年初指定的实施方案严格执行，项目完成进度良好，完成率为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）项目成本节约情况：军兵民联管联防专项经费项目，平均每个执勤点一年费用</w:t>
      </w:r>
      <w:r>
        <w:rPr>
          <w:rFonts w:ascii="仿宋_GB2312" w:eastAsia="仿宋_GB2312" w:cs="仿宋_GB2312"/>
          <w:sz w:val="32"/>
          <w:szCs w:val="32"/>
        </w:rPr>
        <w:t>2381</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个。</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）项目实施的社会效益分析：切实提高政法委为民服务能力和工作效率；为本地区社会和长治久安、经济建设提供有效的保障达</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）项目实施的可持续影响分析：切实提高政法委财务管理工作水平、规范政法委财务管理，可持续影响时间为</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满意度指标完成情况分析：按计划完成项目实施，已做满意度调查问卷，人员满意率达</w:t>
      </w:r>
      <w:r>
        <w:rPr>
          <w:rFonts w:ascii="仿宋_GB2312" w:eastAsia="仿宋_GB2312" w:cs="仿宋_GB2312"/>
          <w:sz w:val="32"/>
          <w:szCs w:val="32"/>
        </w:rPr>
        <w:t>100%</w:t>
      </w:r>
      <w:r>
        <w:rPr>
          <w:rFonts w:hint="eastAsia" w:ascii="仿宋_GB2312" w:eastAsia="仿宋_GB2312" w:cs="仿宋_GB2312"/>
          <w:sz w:val="32"/>
          <w:szCs w:val="32"/>
        </w:rPr>
        <w:t>，服务对象满意度指标完成。</w:t>
      </w:r>
      <w:r>
        <w:rPr>
          <w:rFonts w:hint="eastAsia" w:ascii="仿宋_GB2312" w:hAnsi="仿宋_GB2312" w:eastAsia="仿宋_GB2312" w:cs="仿宋_GB2312"/>
          <w:sz w:val="32"/>
          <w:szCs w:val="32"/>
        </w:rPr>
        <w:t>发现的问题及原因：严格按照会计人员集中核算工作管理制度、财务收支审批制度、财务稽核制度、财务牵制制度、会计主管岗位职责等制度规定进行资金管理，确保政法委工作顺利进行，暂未发现问题及原因。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严格按照会计人员集中核算工作管理制度、财务收支审批制度、财务稽核制度、财务牵制制度、会计主管岗位职责等制度规定进行资金管理，确保政法委工作顺利进行。</w:t>
      </w:r>
    </w:p>
    <w:p>
      <w:pPr>
        <w:spacing w:line="5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、办公经费项目绩效自评综述：根据年初设定的绩效目标，该项目绩效自评得分为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25.2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25.2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）项目完成数量：保障人员数量为</w:t>
      </w:r>
      <w:r>
        <w:rPr>
          <w:rFonts w:ascii="仿宋_GB2312" w:hAnsi="仿宋_GB2312" w:eastAsia="仿宋_GB2312" w:cs="仿宋_GB2312"/>
          <w:sz w:val="32"/>
          <w:szCs w:val="32"/>
        </w:rPr>
        <w:t>59</w:t>
      </w:r>
      <w:r>
        <w:rPr>
          <w:rFonts w:hint="eastAsia" w:ascii="仿宋_GB2312" w:hAnsi="仿宋_GB2312" w:eastAsia="仿宋_GB2312" w:cs="仿宋_GB2312"/>
          <w:sz w:val="32"/>
          <w:szCs w:val="32"/>
        </w:rPr>
        <w:t>人，截至</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年自评评估时已完成保障人员</w:t>
      </w:r>
      <w:r>
        <w:rPr>
          <w:rFonts w:ascii="仿宋_GB2312" w:hAnsi="仿宋_GB2312" w:eastAsia="仿宋_GB2312" w:cs="仿宋_GB2312"/>
          <w:sz w:val="32"/>
          <w:szCs w:val="32"/>
        </w:rPr>
        <w:t>59</w:t>
      </w:r>
      <w:r>
        <w:rPr>
          <w:rFonts w:hint="eastAsia" w:ascii="仿宋_GB2312" w:hAnsi="仿宋_GB2312" w:eastAsia="仿宋_GB2312" w:cs="仿宋_GB2312"/>
          <w:sz w:val="32"/>
          <w:szCs w:val="32"/>
        </w:rPr>
        <w:t>人，完成率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）项目完成质量：年初设定预期目标为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工作开展资金落实率为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。根据项目实施完成后的结果来看</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我单位严格以高质量的项目完成情况来执行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收集和录入调查的数据资源真实有效的数据资源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）项目实施进度：年初设定目标为资金拨付及时率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。根据年初单位制定的实施方案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严格把控资金与项目实施进度相统一的原则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项目完成进度良好</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当年完成率为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）项目成本节约情况：办公经费项目，增加单位人均经费</w:t>
      </w:r>
      <w:r>
        <w:rPr>
          <w:rFonts w:ascii="仿宋_GB2312" w:hAnsi="仿宋_GB2312" w:eastAsia="仿宋_GB2312" w:cs="仿宋_GB2312"/>
          <w:sz w:val="32"/>
          <w:szCs w:val="32"/>
        </w:rPr>
        <w:t>356</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）项目实施的社会效益分析：实施该项目能够切实提高政法委为民服务能力和工作效率；为本地区社会和长治久安、经济建设提供有效的保障。（</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）项目实施的可持续影响分析：切实提高政法委财务管理工作水平、规范政法委财务管理，可持续影响时间为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满意度指标完成情况分析：按计划完成项目实施，已做满意度调查问卷，人员满意率达</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，服务对象满意度指标完成。发现的问题及原因：（</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保障人员数量为</w:t>
      </w:r>
      <w:r>
        <w:rPr>
          <w:rFonts w:ascii="仿宋_GB2312" w:hAnsi="仿宋_GB2312" w:eastAsia="仿宋_GB2312" w:cs="仿宋_GB2312"/>
          <w:sz w:val="32"/>
          <w:szCs w:val="32"/>
        </w:rPr>
        <w:t>59</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工作开展资金落实率为</w:t>
      </w:r>
      <w:r>
        <w:rPr>
          <w:rFonts w:ascii="仿宋_GB2312" w:hAnsi="仿宋_GB2312" w:eastAsia="仿宋_GB2312" w:cs="仿宋_GB2312"/>
          <w:sz w:val="32"/>
          <w:szCs w:val="32"/>
        </w:rPr>
        <w:t xml:space="preserve">100%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项目按照年初既定目标序时进行</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）项目成本节约情况增加单位人均经费</w:t>
      </w:r>
      <w:r>
        <w:rPr>
          <w:rFonts w:ascii="仿宋_GB2312" w:hAnsi="仿宋_GB2312" w:eastAsia="仿宋_GB2312" w:cs="仿宋_GB2312"/>
          <w:sz w:val="32"/>
          <w:szCs w:val="32"/>
        </w:rPr>
        <w:t>356</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增加单位人均经费</w:t>
      </w:r>
      <w:r>
        <w:rPr>
          <w:rFonts w:ascii="仿宋_GB2312" w:hAnsi="仿宋_GB2312" w:eastAsia="仿宋_GB2312" w:cs="仿宋_GB2312"/>
          <w:sz w:val="32"/>
          <w:szCs w:val="32"/>
        </w:rPr>
        <w:t>356</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切实提高政法委为民服务能力和工作效率；为本地区社会和长治久安、经济建设提供有效的保障</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切实提高政法委财务管理工作水平、规范政法委财务管理，可持续影响时间为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按计划完成项目实施，已做满意度调查问卷，人员满意率达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严格遵守相关规定和资金使用程序，落实三人签字、招投标规定、监督检查、审计等制度，分管领导加强管理，对及时建成项目兑现资金支付。</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72" w:firstLineChars="210"/>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费、公务用车购置及运行费和公务接待费。其中，因公出国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费反映单位公务</w:t>
      </w:r>
      <w:bookmarkStart w:id="91" w:name="_GoBack"/>
      <w:bookmarkEnd w:id="91"/>
      <w:r>
        <w:rPr>
          <w:rFonts w:hint="eastAsia" w:ascii="仿宋_GB2312" w:eastAsia="仿宋_GB2312" w:cs="仿宋_GB2312"/>
          <w:color w:val="000000"/>
          <w:sz w:val="32"/>
          <w:szCs w:val="32"/>
        </w:rPr>
        <w:t>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（项）指：其他公安支出。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36</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（项）指：其他共产党事务支出。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203</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1418" w:right="1418" w:bottom="1418" w:left="1418"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2B18"/>
    <w:rsid w:val="00044097"/>
    <w:rsid w:val="00050E1F"/>
    <w:rsid w:val="00053AA4"/>
    <w:rsid w:val="00054305"/>
    <w:rsid w:val="00060E28"/>
    <w:rsid w:val="000635BD"/>
    <w:rsid w:val="00065838"/>
    <w:rsid w:val="000718E0"/>
    <w:rsid w:val="00080DEB"/>
    <w:rsid w:val="000838B9"/>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06C04"/>
    <w:rsid w:val="001128DE"/>
    <w:rsid w:val="00113241"/>
    <w:rsid w:val="0012066C"/>
    <w:rsid w:val="00123283"/>
    <w:rsid w:val="00124713"/>
    <w:rsid w:val="00124A31"/>
    <w:rsid w:val="00124B40"/>
    <w:rsid w:val="00131838"/>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D20"/>
    <w:rsid w:val="001F0E21"/>
    <w:rsid w:val="001F2FE9"/>
    <w:rsid w:val="001F3267"/>
    <w:rsid w:val="001F6948"/>
    <w:rsid w:val="0020033F"/>
    <w:rsid w:val="00200C57"/>
    <w:rsid w:val="002025A7"/>
    <w:rsid w:val="00207AD5"/>
    <w:rsid w:val="0021204D"/>
    <w:rsid w:val="002127E3"/>
    <w:rsid w:val="002146E7"/>
    <w:rsid w:val="00216FD0"/>
    <w:rsid w:val="00226DF0"/>
    <w:rsid w:val="00231C2E"/>
    <w:rsid w:val="00241293"/>
    <w:rsid w:val="00245135"/>
    <w:rsid w:val="002453A6"/>
    <w:rsid w:val="00247520"/>
    <w:rsid w:val="0025184C"/>
    <w:rsid w:val="00251FC8"/>
    <w:rsid w:val="00256471"/>
    <w:rsid w:val="00257943"/>
    <w:rsid w:val="002608FE"/>
    <w:rsid w:val="00261651"/>
    <w:rsid w:val="00271D59"/>
    <w:rsid w:val="0027418F"/>
    <w:rsid w:val="00282470"/>
    <w:rsid w:val="00295B34"/>
    <w:rsid w:val="0029700A"/>
    <w:rsid w:val="002A150F"/>
    <w:rsid w:val="002A7E48"/>
    <w:rsid w:val="002B1DA2"/>
    <w:rsid w:val="002B557B"/>
    <w:rsid w:val="002B5D8E"/>
    <w:rsid w:val="002C0EB1"/>
    <w:rsid w:val="002C0FB9"/>
    <w:rsid w:val="002C4530"/>
    <w:rsid w:val="002C635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2BD0"/>
    <w:rsid w:val="0032647C"/>
    <w:rsid w:val="00326734"/>
    <w:rsid w:val="00332A5A"/>
    <w:rsid w:val="0033566D"/>
    <w:rsid w:val="00340619"/>
    <w:rsid w:val="003441F7"/>
    <w:rsid w:val="00344D62"/>
    <w:rsid w:val="00345984"/>
    <w:rsid w:val="00353A4B"/>
    <w:rsid w:val="00361388"/>
    <w:rsid w:val="00363F78"/>
    <w:rsid w:val="003642F3"/>
    <w:rsid w:val="00364924"/>
    <w:rsid w:val="00366A76"/>
    <w:rsid w:val="003700A6"/>
    <w:rsid w:val="00371AB7"/>
    <w:rsid w:val="00376020"/>
    <w:rsid w:val="00376E66"/>
    <w:rsid w:val="0038040D"/>
    <w:rsid w:val="003818F3"/>
    <w:rsid w:val="0038402D"/>
    <w:rsid w:val="003857F9"/>
    <w:rsid w:val="00386083"/>
    <w:rsid w:val="003913BA"/>
    <w:rsid w:val="003929A0"/>
    <w:rsid w:val="00394E80"/>
    <w:rsid w:val="00396057"/>
    <w:rsid w:val="003A03AB"/>
    <w:rsid w:val="003A251D"/>
    <w:rsid w:val="003A339C"/>
    <w:rsid w:val="003A4403"/>
    <w:rsid w:val="003B29BD"/>
    <w:rsid w:val="003B4AA1"/>
    <w:rsid w:val="003B51F5"/>
    <w:rsid w:val="003B68E6"/>
    <w:rsid w:val="003B6E53"/>
    <w:rsid w:val="003C5A61"/>
    <w:rsid w:val="003D124B"/>
    <w:rsid w:val="003D161B"/>
    <w:rsid w:val="003D3AA4"/>
    <w:rsid w:val="003E4A05"/>
    <w:rsid w:val="003E5F5C"/>
    <w:rsid w:val="003E7D9E"/>
    <w:rsid w:val="003F37E0"/>
    <w:rsid w:val="003F5ADD"/>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3201"/>
    <w:rsid w:val="004957F5"/>
    <w:rsid w:val="004976A5"/>
    <w:rsid w:val="004A0034"/>
    <w:rsid w:val="004A02D4"/>
    <w:rsid w:val="004A0690"/>
    <w:rsid w:val="004A2CA4"/>
    <w:rsid w:val="004A7A7B"/>
    <w:rsid w:val="004B1336"/>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529"/>
    <w:rsid w:val="004F77C5"/>
    <w:rsid w:val="00501302"/>
    <w:rsid w:val="0050308E"/>
    <w:rsid w:val="00507F68"/>
    <w:rsid w:val="00523B8A"/>
    <w:rsid w:val="00526378"/>
    <w:rsid w:val="00532585"/>
    <w:rsid w:val="00533FA0"/>
    <w:rsid w:val="0054006F"/>
    <w:rsid w:val="00540C10"/>
    <w:rsid w:val="005464FA"/>
    <w:rsid w:val="00560650"/>
    <w:rsid w:val="00567FB5"/>
    <w:rsid w:val="005770C3"/>
    <w:rsid w:val="00577753"/>
    <w:rsid w:val="00581AD2"/>
    <w:rsid w:val="005857A0"/>
    <w:rsid w:val="00592D42"/>
    <w:rsid w:val="005977CB"/>
    <w:rsid w:val="005A162E"/>
    <w:rsid w:val="005A47B1"/>
    <w:rsid w:val="005A5B02"/>
    <w:rsid w:val="005B3245"/>
    <w:rsid w:val="005B6754"/>
    <w:rsid w:val="005B75C0"/>
    <w:rsid w:val="005C1B02"/>
    <w:rsid w:val="005C3143"/>
    <w:rsid w:val="005D311B"/>
    <w:rsid w:val="005D61D8"/>
    <w:rsid w:val="005E27F5"/>
    <w:rsid w:val="005E3B86"/>
    <w:rsid w:val="005E4E6B"/>
    <w:rsid w:val="005E6995"/>
    <w:rsid w:val="005E7C64"/>
    <w:rsid w:val="005F2A5A"/>
    <w:rsid w:val="005F2AEA"/>
    <w:rsid w:val="005F4FFE"/>
    <w:rsid w:val="005F559C"/>
    <w:rsid w:val="00602C6F"/>
    <w:rsid w:val="00604ECA"/>
    <w:rsid w:val="006069FD"/>
    <w:rsid w:val="00610EE1"/>
    <w:rsid w:val="0061632B"/>
    <w:rsid w:val="006168AD"/>
    <w:rsid w:val="00621929"/>
    <w:rsid w:val="0062266C"/>
    <w:rsid w:val="0062495B"/>
    <w:rsid w:val="006250CB"/>
    <w:rsid w:val="00627F36"/>
    <w:rsid w:val="006304D1"/>
    <w:rsid w:val="00631DA8"/>
    <w:rsid w:val="0063431E"/>
    <w:rsid w:val="00645C30"/>
    <w:rsid w:val="0065497B"/>
    <w:rsid w:val="00654E41"/>
    <w:rsid w:val="00667863"/>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378D"/>
    <w:rsid w:val="007476BA"/>
    <w:rsid w:val="00750798"/>
    <w:rsid w:val="00752BCF"/>
    <w:rsid w:val="0076538D"/>
    <w:rsid w:val="00765E02"/>
    <w:rsid w:val="00770737"/>
    <w:rsid w:val="007714E5"/>
    <w:rsid w:val="00773D5E"/>
    <w:rsid w:val="007756B7"/>
    <w:rsid w:val="00776FAF"/>
    <w:rsid w:val="00777229"/>
    <w:rsid w:val="007775E8"/>
    <w:rsid w:val="0078072D"/>
    <w:rsid w:val="0078605D"/>
    <w:rsid w:val="00795099"/>
    <w:rsid w:val="00796088"/>
    <w:rsid w:val="0079613A"/>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1166"/>
    <w:rsid w:val="007F27ED"/>
    <w:rsid w:val="008043B9"/>
    <w:rsid w:val="0080628E"/>
    <w:rsid w:val="00807ACF"/>
    <w:rsid w:val="00821E76"/>
    <w:rsid w:val="008259BC"/>
    <w:rsid w:val="0083105A"/>
    <w:rsid w:val="00837040"/>
    <w:rsid w:val="008427AB"/>
    <w:rsid w:val="00844ACC"/>
    <w:rsid w:val="00847DCE"/>
    <w:rsid w:val="0085023C"/>
    <w:rsid w:val="00853966"/>
    <w:rsid w:val="00857827"/>
    <w:rsid w:val="008644B4"/>
    <w:rsid w:val="00866A6C"/>
    <w:rsid w:val="00867672"/>
    <w:rsid w:val="008969FE"/>
    <w:rsid w:val="008A237C"/>
    <w:rsid w:val="008A2D2C"/>
    <w:rsid w:val="008A3633"/>
    <w:rsid w:val="008A6AF0"/>
    <w:rsid w:val="008B2514"/>
    <w:rsid w:val="008B4607"/>
    <w:rsid w:val="008C030F"/>
    <w:rsid w:val="008C3836"/>
    <w:rsid w:val="008E28BD"/>
    <w:rsid w:val="008E4EAC"/>
    <w:rsid w:val="008E5D6E"/>
    <w:rsid w:val="008F0F07"/>
    <w:rsid w:val="00910E73"/>
    <w:rsid w:val="009110DE"/>
    <w:rsid w:val="00913B22"/>
    <w:rsid w:val="00914BA4"/>
    <w:rsid w:val="0091777D"/>
    <w:rsid w:val="00920C0A"/>
    <w:rsid w:val="00920E2A"/>
    <w:rsid w:val="00922EA0"/>
    <w:rsid w:val="009240D6"/>
    <w:rsid w:val="00924A08"/>
    <w:rsid w:val="009256ED"/>
    <w:rsid w:val="00927052"/>
    <w:rsid w:val="00927281"/>
    <w:rsid w:val="009313F2"/>
    <w:rsid w:val="00940134"/>
    <w:rsid w:val="00943A3E"/>
    <w:rsid w:val="00944CCC"/>
    <w:rsid w:val="00945E7F"/>
    <w:rsid w:val="00947403"/>
    <w:rsid w:val="0095057C"/>
    <w:rsid w:val="009543BA"/>
    <w:rsid w:val="00954FB4"/>
    <w:rsid w:val="00960925"/>
    <w:rsid w:val="00970AB3"/>
    <w:rsid w:val="00975B74"/>
    <w:rsid w:val="00982C13"/>
    <w:rsid w:val="00985DF4"/>
    <w:rsid w:val="00987E45"/>
    <w:rsid w:val="0099241E"/>
    <w:rsid w:val="009942F3"/>
    <w:rsid w:val="00994950"/>
    <w:rsid w:val="0099652B"/>
    <w:rsid w:val="009A0831"/>
    <w:rsid w:val="009A44FB"/>
    <w:rsid w:val="009A5CDE"/>
    <w:rsid w:val="009B3F92"/>
    <w:rsid w:val="009B5BF4"/>
    <w:rsid w:val="009C3CE9"/>
    <w:rsid w:val="009C6A82"/>
    <w:rsid w:val="009D15D2"/>
    <w:rsid w:val="009D2573"/>
    <w:rsid w:val="009D592F"/>
    <w:rsid w:val="009D641F"/>
    <w:rsid w:val="009E3776"/>
    <w:rsid w:val="009E49B5"/>
    <w:rsid w:val="009E711C"/>
    <w:rsid w:val="009F06B8"/>
    <w:rsid w:val="00A0017F"/>
    <w:rsid w:val="00A0316B"/>
    <w:rsid w:val="00A037A6"/>
    <w:rsid w:val="00A10C99"/>
    <w:rsid w:val="00A11A5F"/>
    <w:rsid w:val="00A11F40"/>
    <w:rsid w:val="00A13D3F"/>
    <w:rsid w:val="00A273DB"/>
    <w:rsid w:val="00A3080D"/>
    <w:rsid w:val="00A30EB7"/>
    <w:rsid w:val="00A31417"/>
    <w:rsid w:val="00A31D7F"/>
    <w:rsid w:val="00A338C6"/>
    <w:rsid w:val="00A408E3"/>
    <w:rsid w:val="00A425CE"/>
    <w:rsid w:val="00A44660"/>
    <w:rsid w:val="00A55F77"/>
    <w:rsid w:val="00A611E1"/>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AF3444"/>
    <w:rsid w:val="00B00C16"/>
    <w:rsid w:val="00B03B3E"/>
    <w:rsid w:val="00B046A4"/>
    <w:rsid w:val="00B04B9A"/>
    <w:rsid w:val="00B06382"/>
    <w:rsid w:val="00B0733F"/>
    <w:rsid w:val="00B10701"/>
    <w:rsid w:val="00B146E7"/>
    <w:rsid w:val="00B30B86"/>
    <w:rsid w:val="00B32A4F"/>
    <w:rsid w:val="00B33E4E"/>
    <w:rsid w:val="00B358E2"/>
    <w:rsid w:val="00B40CB6"/>
    <w:rsid w:val="00B50AD6"/>
    <w:rsid w:val="00B51AB3"/>
    <w:rsid w:val="00B5337C"/>
    <w:rsid w:val="00B5340F"/>
    <w:rsid w:val="00B57BDF"/>
    <w:rsid w:val="00B611F7"/>
    <w:rsid w:val="00B6765D"/>
    <w:rsid w:val="00B717C5"/>
    <w:rsid w:val="00B75463"/>
    <w:rsid w:val="00B813F6"/>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436E"/>
    <w:rsid w:val="00C25CC6"/>
    <w:rsid w:val="00C31297"/>
    <w:rsid w:val="00C56723"/>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0644"/>
    <w:rsid w:val="00CF226A"/>
    <w:rsid w:val="00CF3263"/>
    <w:rsid w:val="00CF444E"/>
    <w:rsid w:val="00D001BF"/>
    <w:rsid w:val="00D071C1"/>
    <w:rsid w:val="00D07FED"/>
    <w:rsid w:val="00D1171B"/>
    <w:rsid w:val="00D1499A"/>
    <w:rsid w:val="00D16172"/>
    <w:rsid w:val="00D20653"/>
    <w:rsid w:val="00D25C67"/>
    <w:rsid w:val="00D30DDB"/>
    <w:rsid w:val="00D334A9"/>
    <w:rsid w:val="00D36199"/>
    <w:rsid w:val="00D42B27"/>
    <w:rsid w:val="00D43678"/>
    <w:rsid w:val="00D51F2C"/>
    <w:rsid w:val="00D5247F"/>
    <w:rsid w:val="00D528F6"/>
    <w:rsid w:val="00D641CC"/>
    <w:rsid w:val="00D670F7"/>
    <w:rsid w:val="00D74727"/>
    <w:rsid w:val="00D7746E"/>
    <w:rsid w:val="00D819E7"/>
    <w:rsid w:val="00D85A61"/>
    <w:rsid w:val="00D91BCB"/>
    <w:rsid w:val="00D92C82"/>
    <w:rsid w:val="00DA1E10"/>
    <w:rsid w:val="00DA463D"/>
    <w:rsid w:val="00DA5B64"/>
    <w:rsid w:val="00DB2B00"/>
    <w:rsid w:val="00DB45E7"/>
    <w:rsid w:val="00DB61EC"/>
    <w:rsid w:val="00DC19E1"/>
    <w:rsid w:val="00DC25CF"/>
    <w:rsid w:val="00DC65F7"/>
    <w:rsid w:val="00DF32E5"/>
    <w:rsid w:val="00DF3EFD"/>
    <w:rsid w:val="00E07FDF"/>
    <w:rsid w:val="00E14EDE"/>
    <w:rsid w:val="00E242B2"/>
    <w:rsid w:val="00E31696"/>
    <w:rsid w:val="00E321DB"/>
    <w:rsid w:val="00E33E4C"/>
    <w:rsid w:val="00E44960"/>
    <w:rsid w:val="00E52F6A"/>
    <w:rsid w:val="00E545C9"/>
    <w:rsid w:val="00E55774"/>
    <w:rsid w:val="00E56018"/>
    <w:rsid w:val="00E63D32"/>
    <w:rsid w:val="00E64B7B"/>
    <w:rsid w:val="00E66654"/>
    <w:rsid w:val="00E74817"/>
    <w:rsid w:val="00E75B6D"/>
    <w:rsid w:val="00E76C2B"/>
    <w:rsid w:val="00E8294F"/>
    <w:rsid w:val="00E8302D"/>
    <w:rsid w:val="00E870C3"/>
    <w:rsid w:val="00E8738A"/>
    <w:rsid w:val="00E916E5"/>
    <w:rsid w:val="00E92F11"/>
    <w:rsid w:val="00E95399"/>
    <w:rsid w:val="00E95FBD"/>
    <w:rsid w:val="00E9654C"/>
    <w:rsid w:val="00EA1A1C"/>
    <w:rsid w:val="00EA36D3"/>
    <w:rsid w:val="00EB1C85"/>
    <w:rsid w:val="00EB22F0"/>
    <w:rsid w:val="00EB380F"/>
    <w:rsid w:val="00EB3823"/>
    <w:rsid w:val="00EB511C"/>
    <w:rsid w:val="00EC5A7D"/>
    <w:rsid w:val="00EC7099"/>
    <w:rsid w:val="00ED5E90"/>
    <w:rsid w:val="00ED60E2"/>
    <w:rsid w:val="00EE0A13"/>
    <w:rsid w:val="00EE2897"/>
    <w:rsid w:val="00EF31D5"/>
    <w:rsid w:val="00EF7FDA"/>
    <w:rsid w:val="00F01612"/>
    <w:rsid w:val="00F04B17"/>
    <w:rsid w:val="00F113F4"/>
    <w:rsid w:val="00F13479"/>
    <w:rsid w:val="00F14CE8"/>
    <w:rsid w:val="00F15C25"/>
    <w:rsid w:val="00F1625A"/>
    <w:rsid w:val="00F17C93"/>
    <w:rsid w:val="00F30716"/>
    <w:rsid w:val="00F4276A"/>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B5036"/>
    <w:rsid w:val="00FC29A0"/>
    <w:rsid w:val="00FC6C17"/>
    <w:rsid w:val="00FE48DB"/>
    <w:rsid w:val="00FF33C9"/>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6127792"/>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291160"/>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rPr>
      <w:rFonts w:cs="Times New Roman"/>
    </w:rPr>
  </w:style>
  <w:style w:type="character" w:styleId="10">
    <w:name w:val="annotation reference"/>
    <w:basedOn w:val="8"/>
    <w:semiHidden/>
    <w:uiPriority w:val="99"/>
    <w:rPr>
      <w:rFonts w:cs="Times New Roman"/>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16</Pages>
  <Words>1217</Words>
  <Characters>6943</Characters>
  <Lines>57</Lines>
  <Paragraphs>16</Paragraphs>
  <TotalTime>0</TotalTime>
  <ScaleCrop>false</ScaleCrop>
  <LinksUpToDate>false</LinksUpToDate>
  <CharactersWithSpaces>8144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2021-06-11T11:48:44Z</dcterms:modified>
  <cp:revision>838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