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年度新疆喀什地区叶城县审计局部门决算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bookmarkStart w:id="91" w:name="_GoBack"/>
      <w:bookmarkEnd w:id="91"/>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2018</w:t>
      </w:r>
      <w:r>
        <w:rPr>
          <w:rFonts w:hint="eastAsia" w:ascii="仿宋_GB2312" w:eastAsia="仿宋_GB2312" w:cs="仿宋_GB2312"/>
          <w:sz w:val="32"/>
          <w:szCs w:val="32"/>
        </w:rPr>
        <w:t>年，我县审计工作的指导思想是：全面贯彻党的各项方针政策，按照喀什</w:t>
      </w:r>
      <w:r>
        <w:rPr>
          <w:rFonts w:hint="eastAsia" w:ascii="仿宋_GB2312" w:eastAsia="仿宋_GB2312" w:cs="仿宋_GB2312"/>
          <w:sz w:val="32"/>
          <w:szCs w:val="32"/>
          <w:lang w:eastAsia="zh-CN"/>
        </w:rPr>
        <w:t>地</w:t>
      </w:r>
      <w:r>
        <w:rPr>
          <w:rFonts w:hint="eastAsia" w:ascii="仿宋_GB2312" w:eastAsia="仿宋_GB2312" w:cs="仿宋_GB2312"/>
          <w:sz w:val="32"/>
          <w:szCs w:val="32"/>
        </w:rPr>
        <w:t>区审计工作会议、县委扩大会议精神，积极落实审计工作会议上的安排部署，认真履行审计监督职责，充分发挥审计保障国家经济健康运行的“免疫系统”功能。紧紧围绕县委、县人民政府确定的经济建设和各项事业发展的工作，把“推进法治、维护民生、推动改革、促进发展”作为审计工作的出发点和落脚点，认真履行《宪法》和《审计法》赋予的审计监督职责，全面监督财政财务收支的真实性、合法性、效益性，重点加强财政预算、专项资金、经济责任、固定资产投资审计</w:t>
      </w:r>
      <w:r>
        <w:rPr>
          <w:rFonts w:ascii="仿宋_GB2312" w:eastAsia="仿宋_GB2312" w:cs="仿宋_GB2312"/>
          <w:sz w:val="32"/>
          <w:szCs w:val="32"/>
        </w:rPr>
        <w:t>(</w:t>
      </w:r>
      <w:r>
        <w:rPr>
          <w:rFonts w:hint="eastAsia" w:ascii="仿宋_GB2312" w:eastAsia="仿宋_GB2312" w:cs="仿宋_GB2312"/>
          <w:sz w:val="32"/>
          <w:szCs w:val="32"/>
        </w:rPr>
        <w:t>含援疆资金</w:t>
      </w:r>
      <w:r>
        <w:rPr>
          <w:rFonts w:ascii="仿宋_GB2312" w:eastAsia="仿宋_GB2312" w:cs="仿宋_GB2312"/>
          <w:sz w:val="32"/>
          <w:szCs w:val="32"/>
        </w:rPr>
        <w:t>)</w:t>
      </w:r>
      <w:r>
        <w:rPr>
          <w:rFonts w:hint="eastAsia" w:ascii="仿宋_GB2312" w:eastAsia="仿宋_GB2312" w:cs="仿宋_GB2312"/>
          <w:sz w:val="32"/>
          <w:szCs w:val="32"/>
        </w:rPr>
        <w:t>工作的监督力度。</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从决算单位构成看，新疆喀什地区叶城县审计局部门决算包括：新疆喀什地区叶城县审计局部门本级决算、所属单位决算等。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纳入新疆喀什地区叶城县审计局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新疆喀什地区叶城县审计局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eastAsia="仿宋_GB2312" w:cs="仿宋_GB2312"/>
          <w:sz w:val="32"/>
          <w:szCs w:val="32"/>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327.08</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0.63</w:t>
      </w:r>
      <w:r>
        <w:rPr>
          <w:rFonts w:hint="eastAsia" w:ascii="仿宋_GB2312" w:eastAsia="仿宋_GB2312" w:cs="仿宋_GB2312"/>
          <w:sz w:val="32"/>
          <w:szCs w:val="32"/>
        </w:rPr>
        <w:t>万元，下降</w:t>
      </w:r>
      <w:r>
        <w:rPr>
          <w:rFonts w:ascii="仿宋_GB2312" w:eastAsia="仿宋_GB2312" w:cs="仿宋_GB2312"/>
          <w:sz w:val="32"/>
          <w:szCs w:val="32"/>
        </w:rPr>
        <w:t>0.19%</w:t>
      </w:r>
      <w:r>
        <w:rPr>
          <w:rFonts w:hint="eastAsia" w:ascii="仿宋_GB2312" w:eastAsia="仿宋_GB2312" w:cs="仿宋_GB2312"/>
          <w:sz w:val="32"/>
          <w:szCs w:val="32"/>
        </w:rPr>
        <w:t>，减少的主要原因是：人员调整</w:t>
      </w:r>
      <w:r>
        <w:rPr>
          <w:rFonts w:hint="eastAsia" w:ascii="仿宋_GB2312" w:eastAsia="仿宋_GB2312" w:cs="仿宋_GB2312"/>
          <w:color w:val="000000"/>
          <w:sz w:val="32"/>
          <w:szCs w:val="32"/>
        </w:rPr>
        <w:t>；</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327.08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0.63</w:t>
      </w:r>
      <w:r>
        <w:rPr>
          <w:rFonts w:hint="eastAsia" w:ascii="仿宋_GB2312" w:eastAsia="仿宋_GB2312" w:cs="仿宋_GB2312"/>
          <w:sz w:val="32"/>
          <w:szCs w:val="32"/>
        </w:rPr>
        <w:t>万元，下降</w:t>
      </w:r>
      <w:r>
        <w:rPr>
          <w:rFonts w:ascii="仿宋_GB2312" w:eastAsia="仿宋_GB2312" w:cs="仿宋_GB2312"/>
          <w:sz w:val="32"/>
          <w:szCs w:val="32"/>
        </w:rPr>
        <w:t>0.19%</w:t>
      </w:r>
      <w:r>
        <w:rPr>
          <w:rFonts w:hint="eastAsia" w:ascii="仿宋_GB2312" w:eastAsia="仿宋_GB2312" w:cs="仿宋_GB2312"/>
          <w:sz w:val="32"/>
          <w:szCs w:val="32"/>
        </w:rPr>
        <w:t>，减少的主要原因是：人员调资</w:t>
      </w:r>
      <w:r>
        <w:rPr>
          <w:rFonts w:hint="eastAsia" w:ascii="仿宋_GB2312" w:eastAsia="仿宋_GB2312" w:cs="仿宋_GB2312"/>
          <w:color w:val="000000"/>
          <w:sz w:val="32"/>
          <w:szCs w:val="32"/>
        </w:rPr>
        <w:t>；</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8"/>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，增减变动的主要原因：本单位无结余资金。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327.08</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327.08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298.96</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327.08</w:t>
      </w:r>
      <w:r>
        <w:rPr>
          <w:rFonts w:hint="eastAsia" w:ascii="仿宋_GB2312" w:eastAsia="仿宋_GB2312" w:cs="仿宋_GB2312"/>
          <w:sz w:val="32"/>
          <w:szCs w:val="32"/>
        </w:rPr>
        <w:t>万元，预决算差异率</w:t>
      </w:r>
      <w:r>
        <w:rPr>
          <w:rFonts w:ascii="仿宋_GB2312" w:eastAsia="仿宋_GB2312" w:cs="仿宋_GB2312"/>
          <w:sz w:val="32"/>
          <w:szCs w:val="32"/>
        </w:rPr>
        <w:t>9.41%</w:t>
      </w:r>
      <w:r>
        <w:rPr>
          <w:rFonts w:hint="eastAsia" w:ascii="仿宋_GB2312" w:eastAsia="仿宋_GB2312" w:cs="仿宋_GB2312"/>
          <w:sz w:val="32"/>
          <w:szCs w:val="32"/>
        </w:rPr>
        <w:t>，差异主要</w:t>
      </w:r>
      <w:r>
        <w:rPr>
          <w:rFonts w:hint="eastAsia" w:ascii="仿宋_GB2312" w:eastAsia="仿宋_GB2312" w:cs="仿宋_GB2312"/>
          <w:sz w:val="32"/>
          <w:szCs w:val="32"/>
          <w:lang w:eastAsia="zh-CN"/>
        </w:rPr>
        <w:t>原因是</w:t>
      </w:r>
      <w:r>
        <w:rPr>
          <w:rFonts w:hint="eastAsia" w:ascii="仿宋_GB2312" w:eastAsia="仿宋_GB2312" w:cs="仿宋_GB2312"/>
          <w:sz w:val="32"/>
          <w:szCs w:val="32"/>
        </w:rPr>
        <w:t>本年度有人员调出，工资福利支出减少。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327.08</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327.08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298.96</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327.08</w:t>
      </w:r>
      <w:r>
        <w:rPr>
          <w:rFonts w:hint="eastAsia" w:ascii="仿宋_GB2312" w:eastAsia="仿宋_GB2312" w:cs="仿宋_GB2312"/>
          <w:sz w:val="32"/>
          <w:szCs w:val="32"/>
        </w:rPr>
        <w:t>万元，预决算差异率</w:t>
      </w:r>
      <w:r>
        <w:rPr>
          <w:rFonts w:ascii="仿宋_GB2312" w:eastAsia="仿宋_GB2312" w:cs="仿宋_GB2312"/>
          <w:sz w:val="32"/>
          <w:szCs w:val="32"/>
        </w:rPr>
        <w:t>9.41%</w:t>
      </w:r>
      <w:r>
        <w:rPr>
          <w:rFonts w:hint="eastAsia" w:ascii="仿宋_GB2312" w:eastAsia="仿宋_GB2312" w:cs="仿宋_GB2312"/>
          <w:sz w:val="32"/>
          <w:szCs w:val="32"/>
        </w:rPr>
        <w:t>，差异主要</w:t>
      </w:r>
      <w:r>
        <w:rPr>
          <w:rFonts w:hint="eastAsia" w:ascii="仿宋_GB2312" w:eastAsia="仿宋_GB2312" w:cs="仿宋_GB2312"/>
          <w:sz w:val="32"/>
          <w:szCs w:val="32"/>
          <w:lang w:eastAsia="zh-CN"/>
        </w:rPr>
        <w:t>原因是</w:t>
      </w:r>
      <w:r>
        <w:rPr>
          <w:rFonts w:hint="eastAsia" w:ascii="仿宋_GB2312" w:eastAsia="仿宋_GB2312" w:cs="仿宋_GB2312"/>
          <w:sz w:val="32"/>
          <w:szCs w:val="32"/>
        </w:rPr>
        <w:t>本年度有人员调出，工资福利支出减少。</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327.08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0.63</w:t>
      </w:r>
      <w:r>
        <w:rPr>
          <w:rFonts w:hint="eastAsia" w:ascii="仿宋_GB2312" w:eastAsia="仿宋_GB2312" w:cs="仿宋_GB2312"/>
          <w:sz w:val="32"/>
          <w:szCs w:val="32"/>
        </w:rPr>
        <w:t>万元，下降</w:t>
      </w:r>
      <w:r>
        <w:rPr>
          <w:rFonts w:ascii="仿宋_GB2312" w:eastAsia="仿宋_GB2312" w:cs="仿宋_GB2312"/>
          <w:sz w:val="32"/>
          <w:szCs w:val="32"/>
        </w:rPr>
        <w:t>0.19%</w:t>
      </w:r>
      <w:r>
        <w:rPr>
          <w:rFonts w:hint="eastAsia" w:ascii="仿宋_GB2312" w:eastAsia="仿宋_GB2312" w:cs="仿宋_GB2312"/>
          <w:sz w:val="32"/>
          <w:szCs w:val="32"/>
        </w:rPr>
        <w:t>，减少的主要原因是：</w:t>
      </w:r>
      <w:bookmarkEnd w:id="23"/>
      <w:bookmarkEnd w:id="24"/>
      <w:bookmarkStart w:id="26" w:name="OLE_LINK14"/>
      <w:bookmarkStart w:id="27" w:name="OLE_LINK59"/>
      <w:bookmarkStart w:id="28" w:name="OLE_LINK60"/>
      <w:r>
        <w:rPr>
          <w:rFonts w:hint="eastAsia" w:ascii="仿宋_GB2312" w:eastAsia="仿宋_GB2312" w:cs="仿宋_GB2312"/>
          <w:sz w:val="32"/>
          <w:szCs w:val="32"/>
        </w:rPr>
        <w:t>本年度有人员调出，工资福利支出减少。</w:t>
      </w:r>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327.08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0.63</w:t>
      </w:r>
      <w:r>
        <w:rPr>
          <w:rFonts w:hint="eastAsia" w:ascii="仿宋_GB2312" w:eastAsia="仿宋_GB2312" w:cs="仿宋_GB2312"/>
          <w:sz w:val="32"/>
          <w:szCs w:val="32"/>
        </w:rPr>
        <w:t>万元，下降</w:t>
      </w:r>
      <w:r>
        <w:rPr>
          <w:rFonts w:ascii="仿宋_GB2312" w:eastAsia="仿宋_GB2312" w:cs="仿宋_GB2312"/>
          <w:sz w:val="32"/>
          <w:szCs w:val="32"/>
        </w:rPr>
        <w:t>0.19%</w:t>
      </w:r>
      <w:r>
        <w:rPr>
          <w:rFonts w:hint="eastAsia" w:ascii="仿宋_GB2312" w:eastAsia="仿宋_GB2312" w:cs="仿宋_GB2312"/>
          <w:sz w:val="32"/>
          <w:szCs w:val="32"/>
        </w:rPr>
        <w:t>，减少的主要原因是：</w:t>
      </w:r>
      <w:bookmarkEnd w:id="27"/>
      <w:bookmarkEnd w:id="28"/>
      <w:bookmarkStart w:id="29" w:name="OLE_LINK61"/>
      <w:r>
        <w:rPr>
          <w:rFonts w:hint="eastAsia" w:ascii="仿宋_GB2312" w:eastAsia="仿宋_GB2312" w:cs="仿宋_GB2312"/>
          <w:sz w:val="32"/>
          <w:szCs w:val="32"/>
        </w:rPr>
        <w:t>本年度有人员调出，工资福利支出减少。</w:t>
      </w:r>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327.08</w:t>
      </w:r>
      <w:r>
        <w:rPr>
          <w:rFonts w:hint="eastAsia" w:ascii="仿宋_GB2312" w:eastAsia="仿宋_GB2312" w:cs="仿宋_GB2312"/>
          <w:color w:val="000000"/>
          <w:sz w:val="32"/>
          <w:szCs w:val="32"/>
        </w:rPr>
        <w:t>万元，项目支出</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298.96</w:t>
      </w:r>
      <w:r>
        <w:rPr>
          <w:rFonts w:hint="eastAsia" w:ascii="仿宋_GB2312" w:eastAsia="仿宋_GB2312" w:cs="仿宋_GB2312"/>
          <w:color w:val="000000"/>
          <w:sz w:val="32"/>
          <w:szCs w:val="32"/>
        </w:rPr>
        <w:t>万元，决算数</w:t>
      </w:r>
      <w:r>
        <w:rPr>
          <w:rFonts w:ascii="仿宋_GB2312" w:eastAsia="仿宋_GB2312" w:cs="仿宋_GB2312"/>
          <w:sz w:val="32"/>
          <w:szCs w:val="32"/>
        </w:rPr>
        <w:t>327.08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9.41%</w:t>
      </w:r>
      <w:r>
        <w:rPr>
          <w:rFonts w:hint="eastAsia" w:ascii="仿宋_GB2312" w:eastAsia="仿宋_GB2312" w:cs="仿宋_GB2312"/>
          <w:color w:val="000000"/>
          <w:sz w:val="32"/>
          <w:szCs w:val="32"/>
        </w:rPr>
        <w:t>，差异主要</w:t>
      </w:r>
      <w:r>
        <w:rPr>
          <w:rFonts w:hint="eastAsia" w:ascii="仿宋_GB2312" w:eastAsia="仿宋_GB2312" w:cs="仿宋_GB2312"/>
          <w:color w:val="000000"/>
          <w:sz w:val="32"/>
          <w:szCs w:val="32"/>
          <w:lang w:eastAsia="zh-CN"/>
        </w:rPr>
        <w:t>原因是</w:t>
      </w:r>
      <w:r>
        <w:rPr>
          <w:rFonts w:hint="eastAsia" w:ascii="仿宋_GB2312" w:eastAsia="仿宋_GB2312" w:cs="仿宋_GB2312"/>
          <w:color w:val="000000"/>
          <w:sz w:val="32"/>
          <w:szCs w:val="32"/>
        </w:rPr>
        <w:t>本年度有人员调出，工资福利支出减少。</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298.96</w:t>
      </w:r>
      <w:r>
        <w:rPr>
          <w:rFonts w:hint="eastAsia" w:ascii="仿宋_GB2312" w:eastAsia="仿宋_GB2312" w:cs="仿宋_GB2312"/>
          <w:color w:val="000000"/>
          <w:sz w:val="32"/>
          <w:szCs w:val="32"/>
        </w:rPr>
        <w:t>万元，决算数</w:t>
      </w:r>
      <w:r>
        <w:rPr>
          <w:rFonts w:ascii="仿宋_GB2312" w:eastAsia="仿宋_GB2312" w:cs="仿宋_GB2312"/>
          <w:sz w:val="32"/>
          <w:szCs w:val="32"/>
        </w:rPr>
        <w:t>327.08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9.41%</w:t>
      </w:r>
      <w:r>
        <w:rPr>
          <w:rFonts w:hint="eastAsia" w:ascii="仿宋_GB2312" w:eastAsia="仿宋_GB2312" w:cs="仿宋_GB2312"/>
          <w:color w:val="000000"/>
          <w:sz w:val="32"/>
          <w:szCs w:val="32"/>
        </w:rPr>
        <w:t>，差异主要</w:t>
      </w:r>
      <w:r>
        <w:rPr>
          <w:rFonts w:hint="eastAsia" w:ascii="仿宋_GB2312" w:eastAsia="仿宋_GB2312" w:cs="仿宋_GB2312"/>
          <w:color w:val="000000"/>
          <w:sz w:val="32"/>
          <w:szCs w:val="32"/>
          <w:lang w:eastAsia="zh-CN"/>
        </w:rPr>
        <w:t>原因是</w:t>
      </w:r>
      <w:r>
        <w:rPr>
          <w:rFonts w:hint="eastAsia" w:ascii="仿宋_GB2312" w:eastAsia="仿宋_GB2312" w:cs="仿宋_GB2312"/>
          <w:color w:val="000000"/>
          <w:sz w:val="32"/>
          <w:szCs w:val="32"/>
        </w:rPr>
        <w:t>本年度有人员调出，工资福利支出减少。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327.08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0.63</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0.19%</w:t>
      </w:r>
      <w:r>
        <w:rPr>
          <w:rFonts w:hint="eastAsia" w:ascii="仿宋_GB2312" w:eastAsia="仿宋_GB2312" w:cs="仿宋_GB2312"/>
          <w:color w:val="000000"/>
          <w:sz w:val="32"/>
          <w:szCs w:val="32"/>
        </w:rPr>
        <w:t>，减少的主要原因是：</w:t>
      </w:r>
      <w:bookmarkEnd w:id="34"/>
      <w:bookmarkStart w:id="36" w:name="OLE_LINK18"/>
      <w:bookmarkStart w:id="37" w:name="OLE_LINK65"/>
      <w:r>
        <w:rPr>
          <w:rFonts w:hint="eastAsia" w:ascii="仿宋_GB2312" w:eastAsia="仿宋_GB2312" w:cs="仿宋_GB2312"/>
          <w:sz w:val="32"/>
          <w:szCs w:val="32"/>
        </w:rPr>
        <w:t>本年度有人员调出，工资福利支出减少。</w:t>
      </w:r>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327.08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0.63</w:t>
      </w:r>
      <w:r>
        <w:rPr>
          <w:rFonts w:hint="eastAsia" w:ascii="仿宋_GB2312" w:eastAsia="仿宋_GB2312" w:cs="仿宋_GB2312"/>
          <w:sz w:val="32"/>
          <w:szCs w:val="32"/>
        </w:rPr>
        <w:t>万元，下降</w:t>
      </w:r>
      <w:r>
        <w:rPr>
          <w:rFonts w:ascii="仿宋_GB2312" w:eastAsia="仿宋_GB2312" w:cs="仿宋_GB2312"/>
          <w:sz w:val="32"/>
          <w:szCs w:val="32"/>
        </w:rPr>
        <w:t>0.19%</w:t>
      </w:r>
      <w:r>
        <w:rPr>
          <w:rFonts w:hint="eastAsia" w:ascii="仿宋_GB2312" w:eastAsia="仿宋_GB2312" w:cs="仿宋_GB2312"/>
          <w:sz w:val="32"/>
          <w:szCs w:val="32"/>
        </w:rPr>
        <w:t>，减少的主要原因是：</w:t>
      </w:r>
      <w:bookmarkEnd w:id="37"/>
      <w:r>
        <w:rPr>
          <w:rFonts w:hint="eastAsia" w:ascii="仿宋_GB2312" w:eastAsia="仿宋_GB2312" w:cs="仿宋_GB2312"/>
          <w:sz w:val="32"/>
          <w:szCs w:val="32"/>
        </w:rPr>
        <w:t>本年度有人员调出，工资福利支出减少。</w:t>
      </w:r>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20.83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270.7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35.56</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319.09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4.02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3.96</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298.96</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327.08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9.41%</w:t>
      </w:r>
      <w:r>
        <w:rPr>
          <w:rFonts w:hint="eastAsia" w:ascii="仿宋_GB2312" w:eastAsia="仿宋_GB2312" w:cs="仿宋_GB2312"/>
          <w:color w:val="000000"/>
          <w:sz w:val="32"/>
          <w:szCs w:val="32"/>
        </w:rPr>
        <w:t>，差异主要</w:t>
      </w:r>
      <w:r>
        <w:rPr>
          <w:rFonts w:hint="eastAsia" w:ascii="仿宋_GB2312" w:eastAsia="仿宋_GB2312" w:cs="仿宋_GB2312"/>
          <w:color w:val="000000"/>
          <w:sz w:val="32"/>
          <w:szCs w:val="32"/>
          <w:lang w:eastAsia="zh-CN"/>
        </w:rPr>
        <w:t>原因是</w:t>
      </w:r>
      <w:r>
        <w:rPr>
          <w:rFonts w:hint="eastAsia" w:ascii="仿宋_GB2312" w:eastAsia="仿宋_GB2312" w:cs="仿宋_GB2312"/>
          <w:color w:val="000000"/>
          <w:sz w:val="32"/>
          <w:szCs w:val="32"/>
        </w:rPr>
        <w:t>本年度有人员调出，工资福利支出减少。</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298.96</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327.08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9.41%</w:t>
      </w:r>
      <w:r>
        <w:rPr>
          <w:rFonts w:hint="eastAsia" w:ascii="仿宋_GB2312" w:eastAsia="仿宋_GB2312" w:cs="仿宋_GB2312"/>
          <w:color w:val="000000"/>
          <w:sz w:val="32"/>
          <w:szCs w:val="32"/>
        </w:rPr>
        <w:t>，差异主要</w:t>
      </w:r>
      <w:r>
        <w:rPr>
          <w:rFonts w:hint="eastAsia" w:ascii="仿宋_GB2312" w:eastAsia="仿宋_GB2312" w:cs="仿宋_GB2312"/>
          <w:color w:val="000000"/>
          <w:sz w:val="32"/>
          <w:szCs w:val="32"/>
          <w:lang w:eastAsia="zh-CN"/>
        </w:rPr>
        <w:t>原因是</w:t>
      </w:r>
      <w:r>
        <w:rPr>
          <w:rFonts w:hint="eastAsia" w:ascii="仿宋_GB2312" w:eastAsia="仿宋_GB2312" w:cs="仿宋_GB2312"/>
          <w:color w:val="000000"/>
          <w:sz w:val="32"/>
          <w:szCs w:val="32"/>
        </w:rPr>
        <w:t>本年度有人员调出，工资福利支出减少。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0.64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1.36</w:t>
      </w:r>
      <w:r>
        <w:rPr>
          <w:rFonts w:hint="eastAsia" w:ascii="仿宋_GB2312" w:eastAsia="仿宋_GB2312" w:cs="仿宋_GB2312"/>
          <w:sz w:val="32"/>
          <w:szCs w:val="32"/>
        </w:rPr>
        <w:t>万元，下降</w:t>
      </w:r>
      <w:r>
        <w:rPr>
          <w:rFonts w:ascii="仿宋_GB2312" w:eastAsia="仿宋_GB2312" w:cs="仿宋_GB2312"/>
          <w:sz w:val="32"/>
          <w:szCs w:val="32"/>
        </w:rPr>
        <w:t>68%</w:t>
      </w:r>
      <w:r>
        <w:rPr>
          <w:rFonts w:hint="eastAsia" w:ascii="仿宋_GB2312" w:eastAsia="仿宋_GB2312" w:cs="仿宋_GB2312"/>
          <w:sz w:val="32"/>
          <w:szCs w:val="32"/>
        </w:rPr>
        <w:t>，减少的主要原因是：</w:t>
      </w:r>
      <w:bookmarkEnd w:id="56"/>
      <w:bookmarkStart w:id="58" w:name="OLE_LINK75"/>
      <w:r>
        <w:rPr>
          <w:rFonts w:hint="eastAsia" w:ascii="仿宋_GB2312" w:eastAsia="仿宋_GB2312" w:cs="仿宋_GB2312"/>
          <w:sz w:val="32"/>
          <w:szCs w:val="32"/>
        </w:rPr>
        <w:t>我单位执行中央、自治区和地区的相关规定。</w:t>
      </w:r>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，与上年相比，增加0万元，增长0%，增加的主要原因是本单位无此支出；</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0.64</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0.86</w:t>
      </w:r>
      <w:r>
        <w:rPr>
          <w:rFonts w:hint="eastAsia" w:ascii="仿宋_GB2312" w:eastAsia="仿宋_GB2312" w:cs="仿宋_GB2312"/>
          <w:sz w:val="32"/>
          <w:szCs w:val="32"/>
        </w:rPr>
        <w:t>万元，下降</w:t>
      </w:r>
      <w:r>
        <w:rPr>
          <w:rFonts w:ascii="仿宋_GB2312" w:eastAsia="仿宋_GB2312" w:cs="仿宋_GB2312"/>
          <w:sz w:val="32"/>
          <w:szCs w:val="32"/>
        </w:rPr>
        <w:t>57.33%</w:t>
      </w:r>
      <w:r>
        <w:rPr>
          <w:rFonts w:hint="eastAsia" w:ascii="仿宋_GB2312" w:eastAsia="仿宋_GB2312" w:cs="仿宋_GB2312"/>
          <w:sz w:val="32"/>
          <w:szCs w:val="32"/>
        </w:rPr>
        <w:t>，减少的主要原因是：我单位严把车辆管控，关严格遵守公务车辆配置标准，严禁公车私用</w:t>
      </w:r>
      <w:bookmarkEnd w:id="61"/>
      <w:bookmarkStart w:id="62" w:name="OLE_LINK32"/>
      <w:bookmarkStart w:id="63" w:name="OLE_LINK78"/>
      <w:bookmarkStart w:id="64" w:name="OLE_LINK77"/>
      <w:r>
        <w:rPr>
          <w:rFonts w:hint="eastAsia" w:ascii="仿宋_GB2312" w:eastAsia="仿宋_GB2312" w:cs="仿宋_GB2312"/>
          <w:sz w:val="32"/>
          <w:szCs w:val="32"/>
        </w:rPr>
        <w:t>。</w:t>
      </w:r>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0.5</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，减少的主要原因是：我单位严把严查监督严格按制度执行。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新疆喀什地区叶城县审计局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End w:id="65"/>
      <w:bookmarkEnd w:id="66"/>
      <w:r>
        <w:rPr>
          <w:rFonts w:hint="eastAsia" w:ascii="仿宋_GB2312" w:eastAsia="仿宋_GB2312" w:cs="仿宋_GB2312"/>
          <w:color w:val="000000"/>
          <w:sz w:val="32"/>
          <w:szCs w:val="32"/>
        </w:rPr>
        <w:t>开支内容包括：无此项开支。</w:t>
      </w:r>
    </w:p>
    <w:p>
      <w:pPr>
        <w:spacing w:line="540" w:lineRule="exact"/>
        <w:ind w:firstLine="640" w:firstLineChars="200"/>
        <w:rPr>
          <w:rFonts w:ascii="仿宋_GB2312" w:eastAsia="仿宋_GB2312"/>
          <w:color w:val="000000"/>
          <w:sz w:val="32"/>
          <w:szCs w:val="32"/>
        </w:rPr>
      </w:pPr>
      <w:bookmarkStart w:id="72"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0.64</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3"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3"/>
      <w:r>
        <w:rPr>
          <w:rFonts w:hint="eastAsia" w:ascii="仿宋_GB2312" w:eastAsia="仿宋_GB2312" w:cs="仿宋_GB2312"/>
          <w:color w:val="000000"/>
          <w:sz w:val="32"/>
          <w:szCs w:val="32"/>
        </w:rPr>
        <w:t>，</w:t>
      </w:r>
      <w:bookmarkStart w:id="74" w:name="OLE_LINK41"/>
      <w:bookmarkStart w:id="75"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0.64</w:t>
      </w:r>
      <w:r>
        <w:rPr>
          <w:rFonts w:hint="eastAsia" w:ascii="仿宋_GB2312" w:eastAsia="仿宋_GB2312" w:cs="仿宋_GB2312"/>
          <w:color w:val="000000"/>
          <w:sz w:val="32"/>
          <w:szCs w:val="32"/>
        </w:rPr>
        <w:t>万元</w:t>
      </w:r>
      <w:bookmarkEnd w:id="74"/>
      <w:bookmarkEnd w:id="75"/>
      <w:r>
        <w:rPr>
          <w:rFonts w:hint="eastAsia" w:ascii="仿宋_GB2312" w:eastAsia="仿宋_GB2312" w:cs="仿宋_GB2312"/>
          <w:color w:val="000000"/>
          <w:sz w:val="32"/>
          <w:szCs w:val="32"/>
        </w:rPr>
        <w:t>。主要用于</w:t>
      </w:r>
      <w:r>
        <w:rPr>
          <w:rFonts w:hint="eastAsia" w:ascii="仿宋_GB2312" w:eastAsia="仿宋_GB2312" w:cs="仿宋_GB2312"/>
          <w:sz w:val="32"/>
          <w:szCs w:val="32"/>
        </w:rPr>
        <w:t>车辆运行维护检修，</w:t>
      </w:r>
      <w:r>
        <w:rPr>
          <w:rFonts w:hint="eastAsia" w:ascii="仿宋_GB2312" w:eastAsia="仿宋_GB2312" w:cs="仿宋_GB2312"/>
          <w:color w:val="000000"/>
          <w:sz w:val="32"/>
          <w:szCs w:val="32"/>
        </w:rPr>
        <w:t>车辆保险等。</w:t>
      </w:r>
      <w:bookmarkEnd w:id="72"/>
      <w:bookmarkStart w:id="76"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6"/>
    </w:p>
    <w:p>
      <w:pPr>
        <w:spacing w:line="540" w:lineRule="exact"/>
        <w:ind w:firstLine="640" w:firstLineChars="200"/>
        <w:rPr>
          <w:rFonts w:ascii="仿宋_GB2312" w:eastAsia="仿宋_GB2312"/>
          <w:color w:val="000000"/>
          <w:sz w:val="32"/>
          <w:szCs w:val="32"/>
        </w:rPr>
      </w:pPr>
      <w:bookmarkStart w:id="77"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本单位无公务接待费</w:t>
      </w:r>
      <w:r>
        <w:rPr>
          <w:rFonts w:hint="eastAsia" w:ascii="仿宋_GB2312" w:eastAsia="仿宋_GB2312" w:cs="仿宋_GB2312"/>
          <w:color w:val="000000"/>
          <w:sz w:val="32"/>
          <w:szCs w:val="32"/>
        </w:rPr>
        <w:t>等。</w:t>
      </w:r>
      <w:bookmarkEnd w:id="77"/>
      <w:bookmarkStart w:id="78" w:name="OLE_LINK84"/>
      <w:r>
        <w:rPr>
          <w:rFonts w:hint="eastAsia" w:ascii="仿宋_GB2312" w:eastAsia="仿宋_GB2312" w:cs="仿宋_GB2312"/>
          <w:sz w:val="32"/>
          <w:szCs w:val="32"/>
        </w:rPr>
        <w:t>新疆喀什地区叶城县审计局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8"/>
    </w:p>
    <w:p>
      <w:pPr>
        <w:spacing w:line="540" w:lineRule="exact"/>
        <w:ind w:firstLine="640" w:firstLineChars="200"/>
        <w:rPr>
          <w:rFonts w:ascii="仿宋_GB2312" w:hAnsi="宋体" w:eastAsia="仿宋_GB2312"/>
          <w:color w:val="000000"/>
          <w:kern w:val="0"/>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0.64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-52.59%</w:t>
      </w:r>
      <w:r>
        <w:rPr>
          <w:rFonts w:hint="eastAsia" w:ascii="仿宋_GB2312" w:eastAsia="仿宋_GB2312" w:cs="仿宋_GB2312"/>
          <w:color w:val="000000"/>
          <w:sz w:val="32"/>
          <w:szCs w:val="32"/>
        </w:rPr>
        <w:t>，差异主要原因是与预算数相比严格按照公务用车管理办法，</w:t>
      </w:r>
      <w:r>
        <w:rPr>
          <w:rFonts w:hint="eastAsia" w:ascii="仿宋_GB2312" w:eastAsia="仿宋_GB2312" w:cs="仿宋_GB2312"/>
          <w:sz w:val="32"/>
          <w:szCs w:val="32"/>
        </w:rPr>
        <w:t>严禁公车私用</w:t>
      </w:r>
      <w:r>
        <w:rPr>
          <w:rFonts w:hint="eastAsia" w:ascii="仿宋_GB2312" w:eastAsia="仿宋_GB2312" w:cs="仿宋_GB2312"/>
          <w:color w:val="000000"/>
          <w:sz w:val="32"/>
          <w:szCs w:val="32"/>
        </w:rPr>
        <w:t>。</w:t>
      </w:r>
      <w:bookmarkEnd w:id="79"/>
      <w:bookmarkStart w:id="80" w:name="OLE_LINK86"/>
      <w:bookmarkStart w:id="81" w:name="OLE_LINK87"/>
      <w:r>
        <w:rPr>
          <w:rFonts w:hint="eastAsia" w:ascii="仿宋_GB2312" w:hAnsi="宋体" w:eastAsia="仿宋_GB2312" w:cs="仿宋_GB2312"/>
          <w:color w:val="000000"/>
          <w:kern w:val="0"/>
          <w:sz w:val="32"/>
          <w:szCs w:val="32"/>
        </w:rPr>
        <w:t>其中：因公出国（境）费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0"/>
      <w:bookmarkEnd w:id="81"/>
      <w:bookmarkStart w:id="82" w:name="OLE_LINK88"/>
      <w:bookmarkStart w:id="83"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2"/>
      <w:bookmarkEnd w:id="83"/>
      <w:bookmarkStart w:id="84"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0.64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-52.59%</w:t>
      </w:r>
      <w:r>
        <w:rPr>
          <w:rFonts w:hint="eastAsia" w:ascii="仿宋_GB2312" w:eastAsia="仿宋_GB2312" w:cs="仿宋_GB2312"/>
          <w:color w:val="000000"/>
          <w:sz w:val="32"/>
          <w:szCs w:val="32"/>
        </w:rPr>
        <w:t>，差异主要原因是严格执行</w:t>
      </w:r>
      <w:r>
        <w:rPr>
          <w:rFonts w:hint="eastAsia" w:ascii="仿宋_GB2312" w:eastAsia="仿宋_GB2312" w:cs="仿宋_GB2312"/>
          <w:sz w:val="32"/>
          <w:szCs w:val="32"/>
        </w:rPr>
        <w:t>我单位严把车辆管控，关严格遵守公务车辆配置标准，严禁公车私用</w:t>
      </w:r>
      <w:r>
        <w:rPr>
          <w:rFonts w:hint="eastAsia" w:ascii="仿宋_GB2312" w:eastAsia="仿宋_GB2312" w:cs="仿宋_GB2312"/>
          <w:color w:val="000000"/>
          <w:sz w:val="32"/>
          <w:szCs w:val="32"/>
        </w:rPr>
        <w:t>；</w:t>
      </w:r>
      <w:bookmarkEnd w:id="84"/>
      <w:bookmarkStart w:id="85"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5"/>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年度新疆喀什地区叶城县审计局机关运行经费支出</w:t>
      </w:r>
      <w:r>
        <w:rPr>
          <w:rFonts w:ascii="仿宋_GB2312" w:eastAsia="仿宋_GB2312" w:cs="仿宋_GB2312"/>
          <w:color w:val="000000"/>
          <w:sz w:val="32"/>
          <w:szCs w:val="32"/>
        </w:rPr>
        <w:t>4.02</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3.88</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49.11%</w:t>
      </w:r>
      <w:r>
        <w:rPr>
          <w:rFonts w:hint="eastAsia" w:ascii="仿宋_GB2312" w:eastAsia="仿宋_GB2312" w:cs="仿宋_GB2312"/>
          <w:color w:val="000000"/>
          <w:sz w:val="32"/>
          <w:szCs w:val="32"/>
        </w:rPr>
        <w:t>，减少的主要原因是：压减开支。</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6.78</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6.55</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0.23</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0"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16.17</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辆办公用车，单位价值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年度，本部门单位预算绩效自评情况：本单位无项目，因此无预算绩效自评。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cs="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- 7 -</w:t>
    </w:r>
    <w:r>
      <w:rPr>
        <w:rStyle w:val="9"/>
        <w:rFonts w:ascii="宋体" w:hAnsi="宋体" w:eastAsia="宋体" w:cs="宋体"/>
        <w:sz w:val="28"/>
        <w:szCs w:val="28"/>
      </w:rPr>
      <w:fldChar w:fldCharType="end"/>
    </w:r>
    <w:r>
      <w:rPr>
        <w:rStyle w:val="9"/>
        <w:rFonts w:ascii="宋体" w:hAnsi="宋体" w:eastAsia="宋体" w:cs="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33361"/>
    <w:rsid w:val="0003797A"/>
    <w:rsid w:val="00040E57"/>
    <w:rsid w:val="00044097"/>
    <w:rsid w:val="00050E1F"/>
    <w:rsid w:val="00054305"/>
    <w:rsid w:val="00060E28"/>
    <w:rsid w:val="000635BD"/>
    <w:rsid w:val="00065838"/>
    <w:rsid w:val="00080DEB"/>
    <w:rsid w:val="00083BBE"/>
    <w:rsid w:val="00083EBE"/>
    <w:rsid w:val="00091B9F"/>
    <w:rsid w:val="000956F1"/>
    <w:rsid w:val="000A2EE8"/>
    <w:rsid w:val="000A497E"/>
    <w:rsid w:val="000A7773"/>
    <w:rsid w:val="000B08C5"/>
    <w:rsid w:val="000B206D"/>
    <w:rsid w:val="000B2C8D"/>
    <w:rsid w:val="000B6AD4"/>
    <w:rsid w:val="000B6C14"/>
    <w:rsid w:val="000B7C75"/>
    <w:rsid w:val="000C1474"/>
    <w:rsid w:val="000D21F9"/>
    <w:rsid w:val="000E0AB3"/>
    <w:rsid w:val="000E0F99"/>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441E7"/>
    <w:rsid w:val="00145F8C"/>
    <w:rsid w:val="00150BEF"/>
    <w:rsid w:val="00151A95"/>
    <w:rsid w:val="00156324"/>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E29"/>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33E8"/>
    <w:rsid w:val="001F6948"/>
    <w:rsid w:val="0020033F"/>
    <w:rsid w:val="00200C57"/>
    <w:rsid w:val="00207AD5"/>
    <w:rsid w:val="0021204D"/>
    <w:rsid w:val="002127E3"/>
    <w:rsid w:val="002146E7"/>
    <w:rsid w:val="00216FD0"/>
    <w:rsid w:val="00226DF0"/>
    <w:rsid w:val="00227FB3"/>
    <w:rsid w:val="00231C2E"/>
    <w:rsid w:val="00241293"/>
    <w:rsid w:val="00245135"/>
    <w:rsid w:val="002453A6"/>
    <w:rsid w:val="00247520"/>
    <w:rsid w:val="00251FC8"/>
    <w:rsid w:val="002534B6"/>
    <w:rsid w:val="00256471"/>
    <w:rsid w:val="00257943"/>
    <w:rsid w:val="002608FE"/>
    <w:rsid w:val="00261D78"/>
    <w:rsid w:val="00263259"/>
    <w:rsid w:val="00271D59"/>
    <w:rsid w:val="0027418F"/>
    <w:rsid w:val="00282470"/>
    <w:rsid w:val="00284285"/>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96921"/>
    <w:rsid w:val="003A03AB"/>
    <w:rsid w:val="003A251D"/>
    <w:rsid w:val="003A4403"/>
    <w:rsid w:val="003B29BD"/>
    <w:rsid w:val="003B4AA1"/>
    <w:rsid w:val="003B6661"/>
    <w:rsid w:val="003B68E6"/>
    <w:rsid w:val="003B6E53"/>
    <w:rsid w:val="003C5A61"/>
    <w:rsid w:val="003D124B"/>
    <w:rsid w:val="003D161B"/>
    <w:rsid w:val="003D3AA4"/>
    <w:rsid w:val="003E4A05"/>
    <w:rsid w:val="003E5F5C"/>
    <w:rsid w:val="003E7D9E"/>
    <w:rsid w:val="003F37E0"/>
    <w:rsid w:val="003F5913"/>
    <w:rsid w:val="003F748F"/>
    <w:rsid w:val="00401A23"/>
    <w:rsid w:val="00401CA2"/>
    <w:rsid w:val="004027AB"/>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155"/>
    <w:rsid w:val="004802CE"/>
    <w:rsid w:val="00486DB6"/>
    <w:rsid w:val="004877BE"/>
    <w:rsid w:val="00487D16"/>
    <w:rsid w:val="00490E1A"/>
    <w:rsid w:val="004957F5"/>
    <w:rsid w:val="004976A5"/>
    <w:rsid w:val="004A0034"/>
    <w:rsid w:val="004A02D4"/>
    <w:rsid w:val="004A0690"/>
    <w:rsid w:val="004A2CA4"/>
    <w:rsid w:val="004A7A7B"/>
    <w:rsid w:val="004B401D"/>
    <w:rsid w:val="004B58A1"/>
    <w:rsid w:val="004B71ED"/>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4663"/>
    <w:rsid w:val="004F77C5"/>
    <w:rsid w:val="00501302"/>
    <w:rsid w:val="00507F68"/>
    <w:rsid w:val="00523B8A"/>
    <w:rsid w:val="00532585"/>
    <w:rsid w:val="00533FA0"/>
    <w:rsid w:val="0054006F"/>
    <w:rsid w:val="00540C10"/>
    <w:rsid w:val="005464FA"/>
    <w:rsid w:val="0055432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1815"/>
    <w:rsid w:val="0069278A"/>
    <w:rsid w:val="006A1C84"/>
    <w:rsid w:val="006A745B"/>
    <w:rsid w:val="006A78F4"/>
    <w:rsid w:val="006B0F85"/>
    <w:rsid w:val="006B4B06"/>
    <w:rsid w:val="006B4D0D"/>
    <w:rsid w:val="006B60E5"/>
    <w:rsid w:val="006B636C"/>
    <w:rsid w:val="006C1DED"/>
    <w:rsid w:val="006C3692"/>
    <w:rsid w:val="006D0B78"/>
    <w:rsid w:val="006D28A3"/>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4562"/>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57A18"/>
    <w:rsid w:val="00866A6C"/>
    <w:rsid w:val="008969FE"/>
    <w:rsid w:val="008A237C"/>
    <w:rsid w:val="008A2D2C"/>
    <w:rsid w:val="008A3633"/>
    <w:rsid w:val="008B2514"/>
    <w:rsid w:val="008B4607"/>
    <w:rsid w:val="008B6EC0"/>
    <w:rsid w:val="008C030F"/>
    <w:rsid w:val="008C3836"/>
    <w:rsid w:val="008E28BD"/>
    <w:rsid w:val="008E4EAC"/>
    <w:rsid w:val="008E5D6E"/>
    <w:rsid w:val="008F0F07"/>
    <w:rsid w:val="008F6FE0"/>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0CA2"/>
    <w:rsid w:val="009A44FB"/>
    <w:rsid w:val="009A5CDE"/>
    <w:rsid w:val="009B3F92"/>
    <w:rsid w:val="009C3CE9"/>
    <w:rsid w:val="009C6A82"/>
    <w:rsid w:val="009D15D2"/>
    <w:rsid w:val="009D592F"/>
    <w:rsid w:val="009D641F"/>
    <w:rsid w:val="009E49B5"/>
    <w:rsid w:val="009E711C"/>
    <w:rsid w:val="009F06B8"/>
    <w:rsid w:val="009F6767"/>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AF16FD"/>
    <w:rsid w:val="00AF4B15"/>
    <w:rsid w:val="00B00C16"/>
    <w:rsid w:val="00B030A6"/>
    <w:rsid w:val="00B03B3E"/>
    <w:rsid w:val="00B046A4"/>
    <w:rsid w:val="00B06382"/>
    <w:rsid w:val="00B0733F"/>
    <w:rsid w:val="00B10701"/>
    <w:rsid w:val="00B146E7"/>
    <w:rsid w:val="00B159D6"/>
    <w:rsid w:val="00B30B86"/>
    <w:rsid w:val="00B32A4F"/>
    <w:rsid w:val="00B32D7F"/>
    <w:rsid w:val="00B358E2"/>
    <w:rsid w:val="00B3599F"/>
    <w:rsid w:val="00B40CB6"/>
    <w:rsid w:val="00B45AB6"/>
    <w:rsid w:val="00B50AD6"/>
    <w:rsid w:val="00B51AB3"/>
    <w:rsid w:val="00B5337C"/>
    <w:rsid w:val="00B5340F"/>
    <w:rsid w:val="00B611F7"/>
    <w:rsid w:val="00B6765D"/>
    <w:rsid w:val="00B70B9C"/>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2643"/>
    <w:rsid w:val="00BE4817"/>
    <w:rsid w:val="00BE721C"/>
    <w:rsid w:val="00BF0DC7"/>
    <w:rsid w:val="00BF1F54"/>
    <w:rsid w:val="00C04782"/>
    <w:rsid w:val="00C04F2D"/>
    <w:rsid w:val="00C14DC7"/>
    <w:rsid w:val="00C16232"/>
    <w:rsid w:val="00C238F0"/>
    <w:rsid w:val="00C25CC6"/>
    <w:rsid w:val="00C31297"/>
    <w:rsid w:val="00C35F4B"/>
    <w:rsid w:val="00C61A9B"/>
    <w:rsid w:val="00C732F1"/>
    <w:rsid w:val="00C8565C"/>
    <w:rsid w:val="00C877ED"/>
    <w:rsid w:val="00C90CEE"/>
    <w:rsid w:val="00C92227"/>
    <w:rsid w:val="00C9382D"/>
    <w:rsid w:val="00CB0287"/>
    <w:rsid w:val="00CB11AE"/>
    <w:rsid w:val="00CB2CF7"/>
    <w:rsid w:val="00CC1506"/>
    <w:rsid w:val="00CC176A"/>
    <w:rsid w:val="00CC1B4E"/>
    <w:rsid w:val="00CC3731"/>
    <w:rsid w:val="00CC4506"/>
    <w:rsid w:val="00CC4F04"/>
    <w:rsid w:val="00CD723D"/>
    <w:rsid w:val="00CE1BBB"/>
    <w:rsid w:val="00CF226A"/>
    <w:rsid w:val="00CF3263"/>
    <w:rsid w:val="00CF444E"/>
    <w:rsid w:val="00CF6B4A"/>
    <w:rsid w:val="00D001BF"/>
    <w:rsid w:val="00D07FED"/>
    <w:rsid w:val="00D1171B"/>
    <w:rsid w:val="00D1499A"/>
    <w:rsid w:val="00D16172"/>
    <w:rsid w:val="00D17C17"/>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099F"/>
    <w:rsid w:val="00DB2B00"/>
    <w:rsid w:val="00DB45E7"/>
    <w:rsid w:val="00DC19E1"/>
    <w:rsid w:val="00DC25CF"/>
    <w:rsid w:val="00DC65F7"/>
    <w:rsid w:val="00DF32E5"/>
    <w:rsid w:val="00DF3EFD"/>
    <w:rsid w:val="00E07FDF"/>
    <w:rsid w:val="00E14EDE"/>
    <w:rsid w:val="00E242B2"/>
    <w:rsid w:val="00E31696"/>
    <w:rsid w:val="00E33E4C"/>
    <w:rsid w:val="00E44960"/>
    <w:rsid w:val="00E474B5"/>
    <w:rsid w:val="00E52F6A"/>
    <w:rsid w:val="00E545C9"/>
    <w:rsid w:val="00E55774"/>
    <w:rsid w:val="00E56018"/>
    <w:rsid w:val="00E64B7B"/>
    <w:rsid w:val="00E65DB1"/>
    <w:rsid w:val="00E66654"/>
    <w:rsid w:val="00E72DF9"/>
    <w:rsid w:val="00E74817"/>
    <w:rsid w:val="00E75B6D"/>
    <w:rsid w:val="00E76C2B"/>
    <w:rsid w:val="00E80F64"/>
    <w:rsid w:val="00E8294F"/>
    <w:rsid w:val="00E870C3"/>
    <w:rsid w:val="00E8738A"/>
    <w:rsid w:val="00E90C1F"/>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0C7C"/>
    <w:rsid w:val="00EE2897"/>
    <w:rsid w:val="00EF31D5"/>
    <w:rsid w:val="00EF7FDA"/>
    <w:rsid w:val="00F01612"/>
    <w:rsid w:val="00F04B17"/>
    <w:rsid w:val="00F113F4"/>
    <w:rsid w:val="00F13479"/>
    <w:rsid w:val="00F14CE8"/>
    <w:rsid w:val="00F1625A"/>
    <w:rsid w:val="00F17C93"/>
    <w:rsid w:val="00F4007E"/>
    <w:rsid w:val="00F50BA2"/>
    <w:rsid w:val="00F5664D"/>
    <w:rsid w:val="00F6771B"/>
    <w:rsid w:val="00F703C3"/>
    <w:rsid w:val="00F80799"/>
    <w:rsid w:val="00F81776"/>
    <w:rsid w:val="00F835AD"/>
    <w:rsid w:val="00F844FD"/>
    <w:rsid w:val="00F869A3"/>
    <w:rsid w:val="00F86FB3"/>
    <w:rsid w:val="00F97BF1"/>
    <w:rsid w:val="00FA0875"/>
    <w:rsid w:val="00FA29D8"/>
    <w:rsid w:val="00FA5F5D"/>
    <w:rsid w:val="00FA6D2D"/>
    <w:rsid w:val="00FB0BA6"/>
    <w:rsid w:val="00FC02B2"/>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2F15E74"/>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5B24AD"/>
    <w:rsid w:val="5D7B25C9"/>
    <w:rsid w:val="5ECB44B4"/>
    <w:rsid w:val="5EE2043C"/>
    <w:rsid w:val="602D2E37"/>
    <w:rsid w:val="61460FBE"/>
    <w:rsid w:val="62775810"/>
    <w:rsid w:val="62D83744"/>
    <w:rsid w:val="630F4048"/>
    <w:rsid w:val="63AA02E5"/>
    <w:rsid w:val="64700DE9"/>
    <w:rsid w:val="65C613BD"/>
    <w:rsid w:val="65FD118C"/>
    <w:rsid w:val="67153BEF"/>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8F5F8C"/>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qFormat/>
    <w:uiPriority w:val="99"/>
    <w:rPr>
      <w:rFonts w:cs="Times New Roman"/>
    </w:rPr>
  </w:style>
  <w:style w:type="character" w:styleId="10">
    <w:name w:val="annotation reference"/>
    <w:semiHidden/>
    <w:qFormat/>
    <w:uiPriority w:val="99"/>
    <w:rPr>
      <w:rFonts w:cs="Times New Roman"/>
      <w:sz w:val="21"/>
      <w:szCs w:val="21"/>
    </w:rPr>
  </w:style>
  <w:style w:type="character" w:customStyle="1" w:styleId="11">
    <w:name w:val="批注文字 字符"/>
    <w:link w:val="2"/>
    <w:semiHidden/>
    <w:qFormat/>
    <w:locked/>
    <w:uiPriority w:val="99"/>
    <w:rPr>
      <w:rFonts w:ascii="Times New Roman" w:hAnsi="Times New Roman" w:eastAsia="宋体" w:cs="Times New Roman"/>
      <w:sz w:val="24"/>
      <w:szCs w:val="24"/>
    </w:rPr>
  </w:style>
  <w:style w:type="character" w:customStyle="1" w:styleId="12">
    <w:name w:val="批注框文本 字符"/>
    <w:link w:val="3"/>
    <w:semiHidden/>
    <w:qFormat/>
    <w:locked/>
    <w:uiPriority w:val="99"/>
    <w:rPr>
      <w:rFonts w:ascii="Times New Roman" w:hAnsi="Times New Roman" w:eastAsia="宋体" w:cs="Times New Roman"/>
      <w:sz w:val="18"/>
      <w:szCs w:val="18"/>
    </w:rPr>
  </w:style>
  <w:style w:type="character" w:customStyle="1" w:styleId="13">
    <w:name w:val="页脚 字符"/>
    <w:link w:val="4"/>
    <w:qFormat/>
    <w:locked/>
    <w:uiPriority w:val="99"/>
    <w:rPr>
      <w:rFonts w:ascii="Times New Roman" w:hAnsi="Times New Roman" w:eastAsia="黑体" w:cs="Times New Roman"/>
      <w:snapToGrid w:val="0"/>
      <w:kern w:val="0"/>
      <w:sz w:val="18"/>
      <w:szCs w:val="18"/>
    </w:rPr>
  </w:style>
  <w:style w:type="character" w:customStyle="1" w:styleId="14">
    <w:name w:val="页眉 字符"/>
    <w:link w:val="5"/>
    <w:qFormat/>
    <w:locked/>
    <w:uiPriority w:val="99"/>
    <w:rPr>
      <w:rFonts w:ascii="Times New Roman" w:hAnsi="Times New Roman" w:eastAsia="宋体" w:cs="Times New Roman"/>
      <w:sz w:val="18"/>
      <w:szCs w:val="18"/>
    </w:rPr>
  </w:style>
  <w:style w:type="character" w:customStyle="1" w:styleId="15">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12</Pages>
  <Words>794</Words>
  <Characters>4526</Characters>
  <Lines>37</Lines>
  <Paragraphs>10</Paragraphs>
  <TotalTime>2</TotalTime>
  <ScaleCrop>false</ScaleCrop>
  <LinksUpToDate>false</LinksUpToDate>
  <CharactersWithSpaces>5310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2025-02-12T04:13:34Z</dcterms:modified>
  <cp:revision>828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