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line="700" w:lineRule="exact"/>
        <w:jc w:val="center"/>
        <w:rPr>
          <w:rFonts w:ascii="方正小标宋简体" w:eastAsia="方正小标宋简体"/>
          <w:sz w:val="44"/>
          <w:szCs w:val="44"/>
        </w:rPr>
      </w:pPr>
      <w:r>
        <w:rPr>
          <w:rFonts w:hint="eastAsia" w:ascii="方正小标宋简体" w:eastAsia="方正小标宋简体"/>
          <w:sz w:val="44"/>
          <w:szCs w:val="44"/>
        </w:rPr>
        <w:t>叶城县人民代表大会常务委员会办公室基层人大经费补助项目支出绩效评价报告</w:t>
      </w:r>
    </w:p>
    <w:p>
      <w:pPr>
        <w:spacing w:line="700" w:lineRule="exact"/>
        <w:ind w:left="1759" w:leftChars="209" w:hanging="1320" w:hangingChars="300"/>
        <w:jc w:val="left"/>
        <w:rPr>
          <w:rFonts w:ascii="宋体" w:eastAsia="宋体" w:cs="宋体"/>
          <w:kern w:val="0"/>
          <w:sz w:val="32"/>
          <w:szCs w:val="32"/>
        </w:rPr>
      </w:pPr>
      <w:r>
        <w:rPr>
          <w:rFonts w:ascii="方正小标宋简体" w:eastAsia="方正小标宋简体"/>
          <w:sz w:val="44"/>
          <w:szCs w:val="44"/>
        </w:rPr>
        <w:t xml:space="preserve"> </w:t>
      </w:r>
      <w:r>
        <w:rPr>
          <w:rFonts w:ascii="宋体" w:hAnsi="宋体" w:cs="宋体"/>
          <w:kern w:val="0"/>
          <w:sz w:val="32"/>
          <w:szCs w:val="32"/>
        </w:rPr>
        <w:t xml:space="preserve">  </w:t>
      </w: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项目名称：</w:t>
      </w:r>
      <w:r>
        <w:rPr>
          <w:rFonts w:ascii="仿宋_GB2312" w:hAnsi="仿宋" w:eastAsia="仿宋_GB2312"/>
          <w:spacing w:val="-2"/>
          <w:sz w:val="36"/>
          <w:szCs w:val="36"/>
        </w:rPr>
        <w:t>2019</w:t>
      </w:r>
      <w:r>
        <w:rPr>
          <w:rFonts w:hint="eastAsia" w:ascii="仿宋_GB2312" w:hAnsi="仿宋" w:eastAsia="仿宋_GB2312"/>
          <w:spacing w:val="-2"/>
          <w:sz w:val="36"/>
          <w:szCs w:val="36"/>
        </w:rPr>
        <w:t>年基层人大经费补助项目</w:t>
      </w:r>
    </w:p>
    <w:p>
      <w:pPr>
        <w:spacing w:line="700" w:lineRule="exact"/>
        <w:ind w:left="4251" w:leftChars="329" w:hanging="3560" w:hangingChars="1000"/>
        <w:jc w:val="left"/>
        <w:rPr>
          <w:rFonts w:ascii="仿宋_GB2312" w:hAnsi="仿宋" w:eastAsia="仿宋_GB2312"/>
          <w:spacing w:val="-2"/>
          <w:sz w:val="36"/>
          <w:szCs w:val="36"/>
        </w:rPr>
      </w:pPr>
      <w:r>
        <w:rPr>
          <w:rFonts w:hint="eastAsia" w:ascii="仿宋_GB2312" w:hAnsi="仿宋" w:eastAsia="仿宋_GB2312"/>
          <w:spacing w:val="-2"/>
          <w:sz w:val="36"/>
          <w:szCs w:val="36"/>
        </w:rPr>
        <w:t>实施单位：叶城县人民代表大会常务委员会办公室</w:t>
      </w:r>
    </w:p>
    <w:p>
      <w:pPr>
        <w:spacing w:line="700" w:lineRule="exact"/>
        <w:ind w:left="4251" w:leftChars="329" w:hanging="3560" w:hangingChars="1000"/>
        <w:jc w:val="left"/>
        <w:rPr>
          <w:rFonts w:ascii="仿宋_GB2312" w:hAnsi="仿宋" w:eastAsia="仿宋_GB2312"/>
          <w:spacing w:val="-2"/>
          <w:sz w:val="36"/>
          <w:szCs w:val="36"/>
        </w:rPr>
      </w:pPr>
      <w:r>
        <w:rPr>
          <w:rFonts w:hint="eastAsia" w:ascii="仿宋_GB2312" w:hAnsi="仿宋" w:eastAsia="仿宋_GB2312"/>
          <w:spacing w:val="-2"/>
          <w:sz w:val="36"/>
          <w:szCs w:val="36"/>
        </w:rPr>
        <w:t>评价部门：叶城县人民代表大会常务委员会办公室</w:t>
      </w:r>
    </w:p>
    <w:p>
      <w:pPr>
        <w:autoSpaceDE w:val="0"/>
        <w:autoSpaceDN w:val="0"/>
        <w:spacing w:line="540" w:lineRule="exact"/>
        <w:ind w:firstLine="712" w:firstLineChars="200"/>
        <w:rPr>
          <w:rFonts w:ascii="仿宋_GB2312" w:hAnsi="仿宋" w:eastAsia="仿宋_GB2312"/>
          <w:spacing w:val="-2"/>
          <w:sz w:val="36"/>
          <w:szCs w:val="36"/>
        </w:rPr>
      </w:pPr>
    </w:p>
    <w:p>
      <w:pPr>
        <w:autoSpaceDE w:val="0"/>
        <w:autoSpaceDN w:val="0"/>
        <w:spacing w:line="540" w:lineRule="exact"/>
        <w:ind w:firstLine="2136" w:firstLineChars="600"/>
        <w:rPr>
          <w:rFonts w:ascii="仿宋_GB2312" w:hAnsi="仿宋" w:eastAsia="仿宋_GB2312"/>
          <w:spacing w:val="-2"/>
          <w:sz w:val="36"/>
          <w:szCs w:val="36"/>
        </w:rPr>
      </w:pPr>
    </w:p>
    <w:p>
      <w:pPr>
        <w:spacing w:line="700" w:lineRule="exact"/>
        <w:ind w:left="4269" w:leftChars="1355" w:hanging="1424" w:hangingChars="400"/>
        <w:jc w:val="left"/>
        <w:rPr>
          <w:rFonts w:ascii="仿宋_GB2312" w:hAnsi="仿宋" w:eastAsia="仿宋_GB2312"/>
          <w:spacing w:val="-2"/>
          <w:sz w:val="36"/>
          <w:szCs w:val="36"/>
        </w:rPr>
      </w:pPr>
      <w:r>
        <w:rPr>
          <w:rFonts w:hint="eastAsia" w:ascii="仿宋_GB2312" w:hAnsi="仿宋" w:eastAsia="仿宋_GB2312"/>
          <w:spacing w:val="-2"/>
          <w:sz w:val="36"/>
          <w:szCs w:val="36"/>
        </w:rPr>
        <w:t>二零二零年四月</w:t>
      </w:r>
    </w:p>
    <w:p>
      <w:pPr>
        <w:spacing w:line="700" w:lineRule="exact"/>
        <w:ind w:left="4251" w:leftChars="329" w:hanging="3560" w:hangingChars="1000"/>
        <w:jc w:val="left"/>
        <w:rPr>
          <w:rFonts w:ascii="仿宋_GB2312" w:hAnsi="仿宋" w:eastAsia="仿宋_GB2312"/>
          <w:spacing w:val="-2"/>
          <w:sz w:val="36"/>
          <w:szCs w:val="36"/>
        </w:rPr>
      </w:pPr>
    </w:p>
    <w:p>
      <w:pPr>
        <w:pStyle w:val="29"/>
        <w:numPr>
          <w:ilvl w:val="0"/>
          <w:numId w:val="2"/>
        </w:numPr>
        <w:spacing w:line="560" w:lineRule="exact"/>
        <w:ind w:firstLineChars="0"/>
      </w:pPr>
      <w:r>
        <w:rPr>
          <w:rFonts w:hint="eastAsia"/>
        </w:rPr>
        <w:t>基本情况</w:t>
      </w:r>
    </w:p>
    <w:p>
      <w:pPr>
        <w:pStyle w:val="30"/>
        <w:spacing w:before="0" w:after="0" w:line="560" w:lineRule="exact"/>
        <w:ind w:left="0" w:firstLine="643" w:firstLineChars="200"/>
        <w:rPr>
          <w:rFonts w:ascii="楷体" w:hAnsi="楷体" w:eastAsia="楷体" w:cs="楷体"/>
        </w:rPr>
      </w:pPr>
      <w:bookmarkStart w:id="0" w:name="_Toc26401549"/>
      <w:r>
        <w:rPr>
          <w:rFonts w:hint="eastAsia" w:ascii="楷体" w:hAnsi="楷体" w:eastAsia="楷体" w:cs="楷体"/>
        </w:rPr>
        <w:t>项目概况</w:t>
      </w:r>
      <w:bookmarkEnd w:id="0"/>
    </w:p>
    <w:p>
      <w:pPr>
        <w:pStyle w:val="28"/>
        <w:numPr>
          <w:ilvl w:val="0"/>
          <w:numId w:val="3"/>
        </w:numPr>
        <w:spacing w:line="560" w:lineRule="exact"/>
        <w:ind w:left="0" w:firstLine="3168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pStyle w:val="28"/>
        <w:spacing w:line="560" w:lineRule="exact"/>
        <w:ind w:firstLine="3168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1</w:t>
      </w:r>
      <w:r>
        <w:rPr>
          <w:rFonts w:hint="eastAsia" w:ascii="仿宋_GB2312" w:hAnsi="仿宋" w:eastAsia="仿宋_GB2312" w:cs="宋体"/>
          <w:sz w:val="32"/>
          <w:szCs w:val="32"/>
        </w:rPr>
        <w:t>）立项背景和目的</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本项目根据新财行【</w:t>
      </w:r>
      <w:r>
        <w:rPr>
          <w:rFonts w:ascii="仿宋_GB2312" w:hAnsi="仿宋" w:eastAsia="仿宋_GB2312" w:cs="宋体"/>
          <w:sz w:val="32"/>
          <w:szCs w:val="32"/>
        </w:rPr>
        <w:t>2018</w:t>
      </w:r>
      <w:r>
        <w:rPr>
          <w:rFonts w:hint="eastAsia" w:ascii="仿宋_GB2312" w:hAnsi="仿宋" w:eastAsia="仿宋_GB2312" w:cs="宋体"/>
          <w:sz w:val="32"/>
          <w:szCs w:val="32"/>
        </w:rPr>
        <w:t>】</w:t>
      </w:r>
      <w:r>
        <w:rPr>
          <w:rFonts w:ascii="仿宋_GB2312" w:hAnsi="仿宋" w:eastAsia="仿宋_GB2312" w:cs="宋体"/>
          <w:sz w:val="32"/>
          <w:szCs w:val="32"/>
        </w:rPr>
        <w:t>368</w:t>
      </w:r>
      <w:r>
        <w:rPr>
          <w:rFonts w:hint="eastAsia" w:ascii="仿宋_GB2312" w:hAnsi="仿宋" w:eastAsia="仿宋_GB2312" w:cs="宋体"/>
          <w:sz w:val="32"/>
          <w:szCs w:val="32"/>
        </w:rPr>
        <w:t>号、喀地财行【</w:t>
      </w:r>
      <w:r>
        <w:rPr>
          <w:rFonts w:ascii="仿宋_GB2312" w:hAnsi="仿宋" w:eastAsia="仿宋_GB2312" w:cs="宋体"/>
          <w:sz w:val="32"/>
          <w:szCs w:val="32"/>
        </w:rPr>
        <w:t>2019</w:t>
      </w:r>
      <w:r>
        <w:rPr>
          <w:rFonts w:hint="eastAsia" w:ascii="仿宋_GB2312" w:hAnsi="仿宋" w:eastAsia="仿宋_GB2312" w:cs="宋体"/>
          <w:sz w:val="32"/>
          <w:szCs w:val="32"/>
        </w:rPr>
        <w:t>】</w:t>
      </w:r>
      <w:r>
        <w:rPr>
          <w:rFonts w:ascii="仿宋_GB2312" w:hAnsi="仿宋" w:eastAsia="仿宋_GB2312" w:cs="宋体"/>
          <w:sz w:val="32"/>
          <w:szCs w:val="32"/>
        </w:rPr>
        <w:t>15</w:t>
      </w:r>
      <w:r>
        <w:rPr>
          <w:rFonts w:hint="eastAsia" w:ascii="仿宋_GB2312" w:hAnsi="仿宋" w:eastAsia="仿宋_GB2312" w:cs="宋体"/>
          <w:sz w:val="32"/>
          <w:szCs w:val="32"/>
        </w:rPr>
        <w:t>号、自治区人大、地区人大工位及县委指示批示精神、我单位年初制定的工作计划等规定立项，旨在关心关爱自治区人大、地区人大及县人大广大基层干部，目的是提高驻村工作队成员工作积极性，激发驻村干部活力和工作热情，使广大驻村干部感受到组织的温暖和关怀。</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本项目为</w:t>
      </w:r>
      <w:r>
        <w:rPr>
          <w:rFonts w:ascii="仿宋_GB2312" w:hAnsi="仿宋" w:eastAsia="仿宋_GB2312" w:cs="宋体"/>
          <w:sz w:val="32"/>
          <w:szCs w:val="32"/>
        </w:rPr>
        <w:t>2019</w:t>
      </w:r>
      <w:r>
        <w:rPr>
          <w:rFonts w:hint="eastAsia" w:ascii="仿宋_GB2312" w:hAnsi="仿宋" w:eastAsia="仿宋_GB2312" w:cs="宋体"/>
          <w:sz w:val="32"/>
          <w:szCs w:val="32"/>
        </w:rPr>
        <w:t>年基层人大经费补助项目，有效补充了我单位的财务缺口，对关心关爱广大基层干部职工，提供了有力的保障。</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2</w:t>
      </w:r>
      <w:r>
        <w:rPr>
          <w:rFonts w:hint="eastAsia" w:ascii="仿宋_GB2312" w:hAnsi="仿宋" w:eastAsia="仿宋_GB2312" w:cs="宋体"/>
          <w:sz w:val="32"/>
          <w:szCs w:val="32"/>
        </w:rPr>
        <w:t>）立项依据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本项目根据【</w:t>
      </w:r>
      <w:r>
        <w:rPr>
          <w:rFonts w:ascii="仿宋_GB2312" w:hAnsi="仿宋" w:eastAsia="仿宋_GB2312" w:cs="宋体"/>
          <w:sz w:val="32"/>
          <w:szCs w:val="32"/>
        </w:rPr>
        <w:t>2018</w:t>
      </w:r>
      <w:r>
        <w:rPr>
          <w:rFonts w:hint="eastAsia" w:ascii="仿宋_GB2312" w:hAnsi="仿宋" w:eastAsia="仿宋_GB2312" w:cs="宋体"/>
          <w:sz w:val="32"/>
          <w:szCs w:val="32"/>
        </w:rPr>
        <w:t>】</w:t>
      </w:r>
      <w:r>
        <w:rPr>
          <w:rFonts w:ascii="仿宋_GB2312" w:hAnsi="仿宋" w:eastAsia="仿宋_GB2312" w:cs="宋体"/>
          <w:sz w:val="32"/>
          <w:szCs w:val="32"/>
        </w:rPr>
        <w:t>368</w:t>
      </w:r>
      <w:r>
        <w:rPr>
          <w:rFonts w:hint="eastAsia" w:ascii="仿宋_GB2312" w:hAnsi="仿宋" w:eastAsia="仿宋_GB2312" w:cs="宋体"/>
          <w:sz w:val="32"/>
          <w:szCs w:val="32"/>
        </w:rPr>
        <w:t>号、喀地财行【</w:t>
      </w:r>
      <w:r>
        <w:rPr>
          <w:rFonts w:ascii="仿宋_GB2312" w:hAnsi="仿宋" w:eastAsia="仿宋_GB2312" w:cs="宋体"/>
          <w:sz w:val="32"/>
          <w:szCs w:val="32"/>
        </w:rPr>
        <w:t>2019</w:t>
      </w:r>
      <w:r>
        <w:rPr>
          <w:rFonts w:hint="eastAsia" w:ascii="仿宋_GB2312" w:hAnsi="仿宋" w:eastAsia="仿宋_GB2312" w:cs="宋体"/>
          <w:sz w:val="32"/>
          <w:szCs w:val="32"/>
        </w:rPr>
        <w:t>】</w:t>
      </w:r>
      <w:r>
        <w:rPr>
          <w:rFonts w:ascii="仿宋_GB2312" w:hAnsi="仿宋" w:eastAsia="仿宋_GB2312" w:cs="宋体"/>
          <w:sz w:val="32"/>
          <w:szCs w:val="32"/>
        </w:rPr>
        <w:t>15</w:t>
      </w:r>
      <w:r>
        <w:rPr>
          <w:rFonts w:hint="eastAsia" w:ascii="仿宋_GB2312" w:hAnsi="仿宋" w:eastAsia="仿宋_GB2312" w:cs="宋体"/>
          <w:sz w:val="32"/>
          <w:szCs w:val="32"/>
        </w:rPr>
        <w:t>号、自治区人大、地区人大工位及县委指示批示精神、我单位年初制定的工作计划等规定立项。</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3</w:t>
      </w:r>
      <w:r>
        <w:rPr>
          <w:rFonts w:hint="eastAsia" w:ascii="仿宋_GB2312" w:hAnsi="仿宋" w:eastAsia="仿宋_GB2312" w:cs="宋体"/>
          <w:sz w:val="32"/>
          <w:szCs w:val="32"/>
        </w:rPr>
        <w:t>）项目负责人及职责</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项目负责人为</w:t>
      </w:r>
      <w:bookmarkStart w:id="8" w:name="_GoBack"/>
      <w:bookmarkEnd w:id="8"/>
      <w:r>
        <w:rPr>
          <w:rFonts w:hint="eastAsia" w:ascii="仿宋_GB2312" w:hAnsi="仿宋" w:eastAsia="仿宋_GB2312" w:cs="宋体"/>
          <w:sz w:val="32"/>
          <w:szCs w:val="32"/>
          <w:lang w:eastAsia="zh-CN"/>
        </w:rPr>
        <w:t>人大常委会副主任</w:t>
      </w:r>
      <w:r>
        <w:rPr>
          <w:rFonts w:hint="eastAsia" w:ascii="仿宋_GB2312" w:hAnsi="仿宋" w:eastAsia="仿宋_GB2312" w:cs="宋体"/>
          <w:sz w:val="32"/>
          <w:szCs w:val="32"/>
        </w:rPr>
        <w:t>余振超同志，主要职责为在项目前期进行可行性研究，指导并监督部门工作安排，制定方案并严格按照该方案指导财务人员进行工作，确保该项目目标实现。</w:t>
      </w:r>
    </w:p>
    <w:p>
      <w:pPr>
        <w:pStyle w:val="28"/>
        <w:numPr>
          <w:ilvl w:val="0"/>
          <w:numId w:val="3"/>
        </w:numPr>
        <w:spacing w:line="560" w:lineRule="exact"/>
        <w:ind w:left="0" w:firstLine="3168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该项目实施主体为叶城县人民代表大会常务委员会办公室。</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机构设置情况：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叶城县人民代表大会常务委员会共四委一室：办公室、代表人事委员会、教科文卫委员会、财经委员会、法制委员会。编制数：在职人员编制</w:t>
      </w:r>
      <w:r>
        <w:rPr>
          <w:rFonts w:ascii="仿宋_GB2312" w:hAnsi="仿宋" w:eastAsia="仿宋_GB2312" w:cs="宋体"/>
          <w:sz w:val="32"/>
          <w:szCs w:val="32"/>
        </w:rPr>
        <w:t>25</w:t>
      </w:r>
      <w:r>
        <w:rPr>
          <w:rFonts w:hint="eastAsia" w:ascii="仿宋_GB2312" w:hAnsi="仿宋" w:eastAsia="仿宋_GB2312" w:cs="宋体"/>
          <w:sz w:val="32"/>
          <w:szCs w:val="32"/>
        </w:rPr>
        <w:t>人，其中公务员编</w:t>
      </w:r>
      <w:r>
        <w:rPr>
          <w:rFonts w:ascii="仿宋_GB2312" w:hAnsi="仿宋" w:eastAsia="仿宋_GB2312" w:cs="宋体"/>
          <w:sz w:val="32"/>
          <w:szCs w:val="32"/>
        </w:rPr>
        <w:t>20</w:t>
      </w:r>
      <w:r>
        <w:rPr>
          <w:rFonts w:hint="eastAsia" w:ascii="仿宋_GB2312" w:hAnsi="仿宋" w:eastAsia="仿宋_GB2312" w:cs="宋体"/>
          <w:sz w:val="32"/>
          <w:szCs w:val="32"/>
        </w:rPr>
        <w:t>名，机关工勤人员事业编</w:t>
      </w:r>
      <w:r>
        <w:rPr>
          <w:rFonts w:ascii="仿宋_GB2312" w:hAnsi="仿宋" w:eastAsia="仿宋_GB2312" w:cs="宋体"/>
          <w:sz w:val="32"/>
          <w:szCs w:val="32"/>
        </w:rPr>
        <w:t>5</w:t>
      </w:r>
      <w:r>
        <w:rPr>
          <w:rFonts w:hint="eastAsia" w:ascii="仿宋_GB2312" w:hAnsi="仿宋" w:eastAsia="仿宋_GB2312" w:cs="宋体"/>
          <w:sz w:val="32"/>
          <w:szCs w:val="32"/>
        </w:rPr>
        <w:t>名，实有公务员</w:t>
      </w:r>
      <w:r>
        <w:rPr>
          <w:rFonts w:ascii="仿宋_GB2312" w:hAnsi="仿宋" w:eastAsia="仿宋_GB2312" w:cs="宋体"/>
          <w:sz w:val="32"/>
          <w:szCs w:val="32"/>
        </w:rPr>
        <w:t>24</w:t>
      </w:r>
      <w:r>
        <w:rPr>
          <w:rFonts w:hint="eastAsia" w:ascii="仿宋_GB2312" w:hAnsi="仿宋" w:eastAsia="仿宋_GB2312" w:cs="宋体"/>
          <w:sz w:val="32"/>
          <w:szCs w:val="32"/>
        </w:rPr>
        <w:t>人，机关工勤人员</w:t>
      </w:r>
      <w:r>
        <w:rPr>
          <w:rFonts w:ascii="仿宋_GB2312" w:hAnsi="仿宋" w:eastAsia="仿宋_GB2312" w:cs="宋体"/>
          <w:sz w:val="32"/>
          <w:szCs w:val="32"/>
        </w:rPr>
        <w:t>3</w:t>
      </w:r>
      <w:r>
        <w:rPr>
          <w:rFonts w:hint="eastAsia" w:ascii="仿宋_GB2312" w:hAnsi="仿宋" w:eastAsia="仿宋_GB2312" w:cs="宋体"/>
          <w:sz w:val="32"/>
          <w:szCs w:val="32"/>
        </w:rPr>
        <w:t>人，退休</w:t>
      </w:r>
      <w:r>
        <w:rPr>
          <w:rFonts w:ascii="仿宋_GB2312" w:hAnsi="仿宋" w:eastAsia="仿宋_GB2312" w:cs="宋体"/>
          <w:sz w:val="32"/>
          <w:szCs w:val="32"/>
        </w:rPr>
        <w:t>34</w:t>
      </w:r>
      <w:r>
        <w:rPr>
          <w:rFonts w:hint="eastAsia" w:ascii="仿宋_GB2312" w:hAnsi="仿宋" w:eastAsia="仿宋_GB2312" w:cs="宋体"/>
          <w:sz w:val="32"/>
          <w:szCs w:val="32"/>
        </w:rPr>
        <w:t>人。</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主要职能：</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人民代表大会制度是我国的根本制度，是社会主义文明建设的重要制度载体，县人大常委会是县人民代表大会的常设机关，对县人民代表大会负责并报告工作。县人大常委会行使下列职权：在本行政区域内，保证宪法、法律、行政法规和上级人民代表大会及其常委会决议的遵守和执行；</w:t>
      </w:r>
      <w:r>
        <w:rPr>
          <w:rFonts w:ascii="仿宋_GB2312" w:hAnsi="仿宋" w:eastAsia="仿宋_GB2312" w:cs="宋体"/>
          <w:sz w:val="32"/>
          <w:szCs w:val="32"/>
        </w:rPr>
        <w:t xml:space="preserve"> </w:t>
      </w:r>
      <w:r>
        <w:rPr>
          <w:rFonts w:hint="eastAsia" w:ascii="仿宋_GB2312" w:hAnsi="仿宋" w:eastAsia="仿宋_GB2312" w:cs="宋体"/>
          <w:sz w:val="32"/>
          <w:szCs w:val="32"/>
        </w:rPr>
        <w:t>领导、主持县人民代表大会代表的选举；召集县人民代表大会会议；</w:t>
      </w:r>
      <w:r>
        <w:rPr>
          <w:rFonts w:ascii="仿宋_GB2312" w:hAnsi="仿宋" w:eastAsia="仿宋_GB2312" w:cs="宋体"/>
          <w:sz w:val="32"/>
          <w:szCs w:val="32"/>
        </w:rPr>
        <w:t xml:space="preserve"> </w:t>
      </w:r>
      <w:r>
        <w:rPr>
          <w:rFonts w:hint="eastAsia" w:ascii="仿宋_GB2312" w:hAnsi="仿宋" w:eastAsia="仿宋_GB2312" w:cs="宋体"/>
          <w:sz w:val="32"/>
          <w:szCs w:val="32"/>
        </w:rPr>
        <w:t>讨论、决定本县内的、经济、教育、科学、文化、卫生、环境和资源保护、民政、等工作的重大事项等。</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项目主要内容</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本项目为</w:t>
      </w:r>
      <w:r>
        <w:rPr>
          <w:rFonts w:ascii="仿宋_GB2312" w:hAnsi="仿宋" w:eastAsia="仿宋_GB2312" w:cs="宋体"/>
          <w:sz w:val="32"/>
          <w:szCs w:val="32"/>
        </w:rPr>
        <w:t>2019</w:t>
      </w:r>
      <w:r>
        <w:rPr>
          <w:rFonts w:hint="eastAsia" w:ascii="仿宋_GB2312" w:hAnsi="仿宋" w:eastAsia="仿宋_GB2312" w:cs="宋体"/>
          <w:sz w:val="32"/>
          <w:szCs w:val="32"/>
        </w:rPr>
        <w:t>年基层人大经费补助项目，旨在购买食品、各种物品，关心关爱自治区人大、地区人大及县人大广大基层干部，目的是提高驻村工作队成员工作积极性，激发驻村干部活力和热情，使广大驻村干部感受到组织的温暖和关怀。</w:t>
      </w:r>
    </w:p>
    <w:p>
      <w:pPr>
        <w:pStyle w:val="30"/>
        <w:spacing w:before="0" w:after="0" w:line="560" w:lineRule="exact"/>
        <w:ind w:left="0" w:firstLine="640" w:firstLineChars="200"/>
        <w:rPr>
          <w:rFonts w:ascii="楷体" w:hAnsi="楷体" w:eastAsia="楷体" w:cs="楷体"/>
          <w:b w:val="0"/>
          <w:bCs w:val="0"/>
        </w:rPr>
      </w:pPr>
      <w:bookmarkStart w:id="1" w:name="_Toc26401550"/>
      <w:r>
        <w:rPr>
          <w:rFonts w:hint="eastAsia" w:ascii="楷体" w:hAnsi="楷体" w:eastAsia="楷体" w:cs="楷体"/>
          <w:b w:val="0"/>
          <w:bCs w:val="0"/>
        </w:rPr>
        <w:t>资金</w:t>
      </w:r>
      <w:bookmarkEnd w:id="1"/>
      <w:r>
        <w:rPr>
          <w:rFonts w:hint="eastAsia" w:ascii="楷体" w:hAnsi="楷体" w:eastAsia="楷体" w:cs="楷体"/>
          <w:b w:val="0"/>
          <w:bCs w:val="0"/>
        </w:rPr>
        <w:t>投入和使用情况</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预算金额</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该项目年初预算批复金额为</w:t>
      </w:r>
      <w:r>
        <w:rPr>
          <w:rFonts w:ascii="仿宋_GB2312" w:hAnsi="仿宋" w:eastAsia="仿宋_GB2312" w:cs="宋体"/>
          <w:sz w:val="32"/>
          <w:szCs w:val="32"/>
        </w:rPr>
        <w:t xml:space="preserve">25 </w:t>
      </w:r>
      <w:r>
        <w:rPr>
          <w:rFonts w:hint="eastAsia" w:ascii="仿宋_GB2312" w:hAnsi="仿宋" w:eastAsia="仿宋_GB2312" w:cs="宋体"/>
          <w:sz w:val="32"/>
          <w:szCs w:val="32"/>
        </w:rPr>
        <w:t>万元。</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预算来源</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该项目预算来源为一般公共预算资金，</w:t>
      </w:r>
      <w:r>
        <w:rPr>
          <w:rFonts w:ascii="仿宋_GB2312" w:hAnsi="仿宋" w:eastAsia="仿宋_GB2312" w:cs="宋体"/>
          <w:sz w:val="32"/>
          <w:szCs w:val="32"/>
        </w:rPr>
        <w:t>2019</w:t>
      </w:r>
      <w:r>
        <w:rPr>
          <w:rFonts w:hint="eastAsia" w:ascii="仿宋_GB2312" w:hAnsi="仿宋" w:eastAsia="仿宋_GB2312" w:cs="宋体"/>
          <w:sz w:val="32"/>
          <w:szCs w:val="32"/>
        </w:rPr>
        <w:t>年实际到位资金</w:t>
      </w:r>
      <w:r>
        <w:rPr>
          <w:rFonts w:ascii="仿宋_GB2312" w:hAnsi="仿宋" w:eastAsia="仿宋_GB2312" w:cs="宋体"/>
          <w:sz w:val="32"/>
          <w:szCs w:val="32"/>
        </w:rPr>
        <w:t>25</w:t>
      </w:r>
      <w:r>
        <w:rPr>
          <w:rFonts w:hint="eastAsia" w:ascii="仿宋_GB2312" w:hAnsi="仿宋" w:eastAsia="仿宋_GB2312" w:cs="宋体"/>
          <w:sz w:val="32"/>
          <w:szCs w:val="32"/>
        </w:rPr>
        <w:t>万元，资金到位率</w:t>
      </w:r>
      <w:r>
        <w:rPr>
          <w:rFonts w:ascii="仿宋_GB2312" w:hAnsi="仿宋" w:eastAsia="仿宋_GB2312" w:cs="宋体"/>
          <w:sz w:val="32"/>
          <w:szCs w:val="32"/>
        </w:rPr>
        <w:t xml:space="preserve"> 100%</w:t>
      </w:r>
      <w:r>
        <w:rPr>
          <w:rFonts w:hint="eastAsia" w:ascii="仿宋_GB2312" w:hAnsi="仿宋" w:eastAsia="仿宋_GB2312" w:cs="宋体"/>
          <w:sz w:val="32"/>
          <w:szCs w:val="32"/>
        </w:rPr>
        <w:t>。</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项目实施起止时间</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本项目计划实施起止时间</w:t>
      </w:r>
      <w:r>
        <w:rPr>
          <w:rFonts w:ascii="仿宋_GB2312" w:hAnsi="仿宋" w:eastAsia="仿宋_GB2312" w:cs="宋体"/>
          <w:sz w:val="32"/>
          <w:szCs w:val="32"/>
        </w:rPr>
        <w:t xml:space="preserve"> 2019</w:t>
      </w:r>
      <w:r>
        <w:rPr>
          <w:rFonts w:hint="eastAsia" w:ascii="仿宋_GB2312" w:hAnsi="仿宋" w:eastAsia="仿宋_GB2312" w:cs="宋体"/>
          <w:sz w:val="32"/>
          <w:szCs w:val="32"/>
        </w:rPr>
        <w:t>年</w:t>
      </w:r>
      <w:r>
        <w:rPr>
          <w:rFonts w:ascii="仿宋_GB2312" w:hAnsi="仿宋" w:eastAsia="仿宋_GB2312" w:cs="宋体"/>
          <w:sz w:val="32"/>
          <w:szCs w:val="32"/>
        </w:rPr>
        <w:t>1</w:t>
      </w:r>
      <w:r>
        <w:rPr>
          <w:rFonts w:hint="eastAsia" w:ascii="仿宋_GB2312" w:hAnsi="仿宋" w:eastAsia="仿宋_GB2312" w:cs="宋体"/>
          <w:sz w:val="32"/>
          <w:szCs w:val="32"/>
        </w:rPr>
        <w:t>月</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p>
    <w:p>
      <w:pPr>
        <w:spacing w:line="560" w:lineRule="exact"/>
        <w:rPr>
          <w:rFonts w:ascii="仿宋_GB2312" w:hAnsi="仿宋" w:eastAsia="仿宋_GB2312" w:cs="宋体"/>
          <w:sz w:val="32"/>
          <w:szCs w:val="32"/>
        </w:rPr>
      </w:pPr>
      <w:r>
        <w:rPr>
          <w:rFonts w:hint="eastAsia" w:ascii="仿宋_GB2312" w:hAnsi="仿宋" w:eastAsia="仿宋_GB2312" w:cs="宋体"/>
          <w:sz w:val="32"/>
          <w:szCs w:val="32"/>
        </w:rPr>
        <w:t>实际实施起止时间为</w:t>
      </w:r>
      <w:r>
        <w:rPr>
          <w:rFonts w:ascii="仿宋_GB2312" w:hAnsi="仿宋" w:eastAsia="仿宋_GB2312" w:cs="宋体"/>
          <w:sz w:val="32"/>
          <w:szCs w:val="32"/>
        </w:rPr>
        <w:t xml:space="preserve"> 2019</w:t>
      </w:r>
      <w:r>
        <w:rPr>
          <w:rFonts w:hint="eastAsia" w:ascii="仿宋_GB2312" w:hAnsi="仿宋" w:eastAsia="仿宋_GB2312" w:cs="宋体"/>
          <w:sz w:val="32"/>
          <w:szCs w:val="32"/>
        </w:rPr>
        <w:t>年</w:t>
      </w:r>
      <w:r>
        <w:rPr>
          <w:rFonts w:ascii="仿宋_GB2312" w:hAnsi="仿宋" w:eastAsia="仿宋_GB2312" w:cs="宋体"/>
          <w:sz w:val="32"/>
          <w:szCs w:val="32"/>
        </w:rPr>
        <w:t>1</w:t>
      </w:r>
      <w:r>
        <w:rPr>
          <w:rFonts w:hint="eastAsia" w:ascii="仿宋_GB2312" w:hAnsi="仿宋" w:eastAsia="仿宋_GB2312" w:cs="宋体"/>
          <w:sz w:val="32"/>
          <w:szCs w:val="32"/>
        </w:rPr>
        <w:t>月</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4.</w:t>
      </w:r>
      <w:r>
        <w:rPr>
          <w:rFonts w:hint="eastAsia" w:ascii="仿宋_GB2312" w:hAnsi="仿宋" w:eastAsia="仿宋_GB2312" w:cs="宋体"/>
          <w:sz w:val="32"/>
          <w:szCs w:val="32"/>
        </w:rPr>
        <w:t>预算执行情况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该项目采取每两个月开展一次慰问活动，每年预计慰问</w:t>
      </w:r>
      <w:r>
        <w:rPr>
          <w:rFonts w:ascii="仿宋_GB2312" w:hAnsi="仿宋" w:eastAsia="仿宋_GB2312" w:cs="宋体"/>
          <w:sz w:val="32"/>
          <w:szCs w:val="32"/>
        </w:rPr>
        <w:t>6</w:t>
      </w:r>
      <w:r>
        <w:rPr>
          <w:rFonts w:hint="eastAsia" w:ascii="仿宋_GB2312" w:hAnsi="仿宋" w:eastAsia="仿宋_GB2312" w:cs="宋体"/>
          <w:sz w:val="32"/>
          <w:szCs w:val="32"/>
        </w:rPr>
        <w:t>次的形式执行，项目实际支出</w:t>
      </w:r>
      <w:r>
        <w:rPr>
          <w:rFonts w:ascii="仿宋_GB2312" w:hAnsi="仿宋" w:eastAsia="仿宋_GB2312" w:cs="宋体"/>
          <w:sz w:val="32"/>
          <w:szCs w:val="32"/>
        </w:rPr>
        <w:t xml:space="preserve"> 25</w:t>
      </w:r>
      <w:r>
        <w:rPr>
          <w:rFonts w:hint="eastAsia" w:ascii="仿宋_GB2312" w:hAnsi="仿宋" w:eastAsia="仿宋_GB2312" w:cs="宋体"/>
          <w:sz w:val="32"/>
          <w:szCs w:val="32"/>
        </w:rPr>
        <w:t>万元，预算执行率为</w:t>
      </w:r>
      <w:r>
        <w:rPr>
          <w:rFonts w:ascii="仿宋_GB2312" w:hAnsi="仿宋" w:eastAsia="仿宋_GB2312" w:cs="宋体"/>
          <w:sz w:val="32"/>
          <w:szCs w:val="32"/>
        </w:rPr>
        <w:t>100%</w:t>
      </w:r>
      <w:r>
        <w:rPr>
          <w:rFonts w:hint="eastAsia" w:ascii="仿宋_GB2312" w:hAnsi="仿宋" w:eastAsia="仿宋_GB2312" w:cs="宋体"/>
          <w:sz w:val="32"/>
          <w:szCs w:val="32"/>
        </w:rPr>
        <w:t>。</w:t>
      </w:r>
    </w:p>
    <w:p>
      <w:pPr>
        <w:numPr>
          <w:ilvl w:val="0"/>
          <w:numId w:val="4"/>
        </w:num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资金的使用制度</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我单位项目前期做好可行性研究报告，及时与地区、自治区沟通细节，并报告县委批示指示后实施，做到明确实施方案，严格执行资金管理办法和财政资金管理制度《叶城</w:t>
      </w:r>
      <w:r>
        <w:rPr>
          <w:rFonts w:hint="eastAsia" w:ascii="仿宋_GB2312" w:hAnsi="仿宋" w:eastAsia="仿宋_GB2312" w:cs="宋体"/>
          <w:sz w:val="32"/>
          <w:szCs w:val="32"/>
          <w:lang w:eastAsia="zh-CN"/>
        </w:rPr>
        <w:t>县人大常委会办公室</w:t>
      </w:r>
      <w:r>
        <w:rPr>
          <w:rFonts w:hint="eastAsia" w:ascii="仿宋_GB2312" w:hAnsi="仿宋" w:eastAsia="仿宋_GB2312" w:cs="宋体"/>
          <w:sz w:val="32"/>
          <w:szCs w:val="32"/>
        </w:rPr>
        <w:t>专项资金管理制度》，严格按照项目实施方案稳步推进工作，保证项目高质量、高标准完成。</w:t>
      </w:r>
    </w:p>
    <w:p>
      <w:pPr>
        <w:pStyle w:val="30"/>
        <w:spacing w:before="0" w:after="0" w:line="560" w:lineRule="exact"/>
        <w:ind w:left="0" w:firstLine="640" w:firstLineChars="200"/>
        <w:rPr>
          <w:rFonts w:ascii="楷体" w:hAnsi="楷体" w:eastAsia="楷体" w:cs="楷体"/>
          <w:b w:val="0"/>
          <w:bCs w:val="0"/>
        </w:rPr>
      </w:pPr>
      <w:bookmarkStart w:id="2" w:name="_Toc26401551"/>
      <w:r>
        <w:rPr>
          <w:rFonts w:hint="eastAsia" w:ascii="楷体" w:hAnsi="楷体" w:eastAsia="楷体" w:cs="楷体"/>
          <w:b w:val="0"/>
          <w:bCs w:val="0"/>
        </w:rPr>
        <w:t>绩效目标</w:t>
      </w:r>
      <w:bookmarkEnd w:id="2"/>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本项目根据新财行【</w:t>
      </w:r>
      <w:r>
        <w:rPr>
          <w:rFonts w:ascii="仿宋_GB2312" w:hAnsi="仿宋" w:eastAsia="仿宋_GB2312" w:cs="宋体"/>
          <w:sz w:val="32"/>
          <w:szCs w:val="32"/>
        </w:rPr>
        <w:t>2018</w:t>
      </w:r>
      <w:r>
        <w:rPr>
          <w:rFonts w:hint="eastAsia" w:ascii="仿宋_GB2312" w:hAnsi="仿宋" w:eastAsia="仿宋_GB2312" w:cs="宋体"/>
          <w:sz w:val="32"/>
          <w:szCs w:val="32"/>
        </w:rPr>
        <w:t>】</w:t>
      </w:r>
      <w:r>
        <w:rPr>
          <w:rFonts w:ascii="仿宋_GB2312" w:hAnsi="仿宋" w:eastAsia="仿宋_GB2312" w:cs="宋体"/>
          <w:sz w:val="32"/>
          <w:szCs w:val="32"/>
        </w:rPr>
        <w:t>368</w:t>
      </w:r>
      <w:r>
        <w:rPr>
          <w:rFonts w:hint="eastAsia" w:ascii="仿宋_GB2312" w:hAnsi="仿宋" w:eastAsia="仿宋_GB2312" w:cs="宋体"/>
          <w:sz w:val="32"/>
          <w:szCs w:val="32"/>
        </w:rPr>
        <w:t>号、喀地财行【</w:t>
      </w:r>
      <w:r>
        <w:rPr>
          <w:rFonts w:ascii="仿宋_GB2312" w:hAnsi="仿宋" w:eastAsia="仿宋_GB2312" w:cs="宋体"/>
          <w:sz w:val="32"/>
          <w:szCs w:val="32"/>
        </w:rPr>
        <w:t>2019</w:t>
      </w:r>
      <w:r>
        <w:rPr>
          <w:rFonts w:hint="eastAsia" w:ascii="仿宋_GB2312" w:hAnsi="仿宋" w:eastAsia="仿宋_GB2312" w:cs="宋体"/>
          <w:sz w:val="32"/>
          <w:szCs w:val="32"/>
        </w:rPr>
        <w:t>】</w:t>
      </w:r>
      <w:r>
        <w:rPr>
          <w:rFonts w:ascii="仿宋_GB2312" w:hAnsi="仿宋" w:eastAsia="仿宋_GB2312" w:cs="宋体"/>
          <w:sz w:val="32"/>
          <w:szCs w:val="32"/>
        </w:rPr>
        <w:t>15</w:t>
      </w:r>
      <w:r>
        <w:rPr>
          <w:rFonts w:hint="eastAsia" w:ascii="仿宋_GB2312" w:hAnsi="仿宋" w:eastAsia="仿宋_GB2312" w:cs="宋体"/>
          <w:sz w:val="32"/>
          <w:szCs w:val="32"/>
        </w:rPr>
        <w:t>号，我单位年初制定的工作计划，县委批示意见等立项，旨在提高自治区人大、地区人大及县人大工作队成员工作能力、工作热情，提升参加基层干部工作积极性。</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能有效补充我单位的财务缺口，对我单位落实关于关心关爱驻村干部的要求，提供了有力保障。进一步激励了自治区人大、地区人大及县人大干部工作积极性和工作责任感，通过慰问活动的开展，有效提升了基层人员的荣誉感，使他们感受到组织的温暖和关爱，更有归属感。</w:t>
      </w:r>
    </w:p>
    <w:p>
      <w:pPr>
        <w:pStyle w:val="29"/>
        <w:numPr>
          <w:ilvl w:val="0"/>
          <w:numId w:val="2"/>
        </w:numPr>
        <w:spacing w:before="0" w:after="0" w:line="560" w:lineRule="exact"/>
        <w:ind w:left="0" w:firstLine="31680"/>
      </w:pPr>
      <w:bookmarkStart w:id="3" w:name="_Toc26401552"/>
      <w:r>
        <w:rPr>
          <w:rFonts w:hint="eastAsia"/>
        </w:rPr>
        <w:t>评价工作简述</w:t>
      </w:r>
      <w:bookmarkEnd w:id="3"/>
    </w:p>
    <w:p>
      <w:pPr>
        <w:pStyle w:val="30"/>
        <w:numPr>
          <w:ilvl w:val="0"/>
          <w:numId w:val="5"/>
        </w:numPr>
        <w:spacing w:before="0" w:after="0" w:line="560" w:lineRule="exact"/>
        <w:ind w:left="0" w:firstLine="640" w:firstLineChars="200"/>
        <w:rPr>
          <w:rFonts w:ascii="楷体" w:hAnsi="楷体" w:eastAsia="楷体" w:cs="楷体"/>
          <w:b w:val="0"/>
          <w:bCs w:val="0"/>
        </w:rPr>
      </w:pPr>
      <w:bookmarkStart w:id="4" w:name="_Toc26401553"/>
      <w:r>
        <w:rPr>
          <w:rFonts w:hint="eastAsia" w:ascii="楷体" w:hAnsi="楷体" w:eastAsia="楷体" w:cs="楷体"/>
          <w:b w:val="0"/>
          <w:bCs w:val="0"/>
        </w:rPr>
        <w:t>评价目的</w:t>
      </w:r>
      <w:bookmarkEnd w:id="4"/>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本次绩效评价遵循财政部门、我县办公室等相关政策文件与规定，本项目为财政支出绩效评价</w:t>
      </w:r>
      <w:r>
        <w:rPr>
          <w:rFonts w:ascii="仿宋_GB2312" w:hAnsi="仿宋" w:eastAsia="仿宋_GB2312" w:cs="宋体"/>
          <w:sz w:val="32"/>
          <w:szCs w:val="32"/>
        </w:rPr>
        <w:t>,</w:t>
      </w:r>
      <w:r>
        <w:rPr>
          <w:rFonts w:hint="eastAsia" w:ascii="仿宋_GB2312" w:hAnsi="仿宋" w:eastAsia="仿宋_GB2312" w:cs="宋体"/>
          <w:sz w:val="32"/>
          <w:szCs w:val="32"/>
        </w:rPr>
        <w:t>是通过对该项目决策、项目管理和项目绩效作出评定</w:t>
      </w:r>
      <w:r>
        <w:rPr>
          <w:rFonts w:ascii="仿宋_GB2312" w:hAnsi="仿宋" w:eastAsia="仿宋_GB2312" w:cs="宋体"/>
          <w:sz w:val="32"/>
          <w:szCs w:val="32"/>
        </w:rPr>
        <w:t>,</w:t>
      </w:r>
      <w:r>
        <w:rPr>
          <w:rFonts w:hint="eastAsia" w:ascii="仿宋_GB2312" w:hAnsi="仿宋" w:eastAsia="仿宋_GB2312" w:cs="宋体"/>
          <w:sz w:val="32"/>
          <w:szCs w:val="32"/>
        </w:rPr>
        <w:t>全面了解财政预算资金支出安排情况、资金实际使用状况和项目的绩效</w:t>
      </w:r>
      <w:r>
        <w:rPr>
          <w:rFonts w:ascii="仿宋_GB2312" w:hAnsi="仿宋" w:eastAsia="仿宋_GB2312" w:cs="宋体"/>
          <w:sz w:val="32"/>
          <w:szCs w:val="32"/>
        </w:rPr>
        <w:t>,</w:t>
      </w:r>
      <w:r>
        <w:rPr>
          <w:rFonts w:hint="eastAsia" w:ascii="仿宋_GB2312" w:hAnsi="仿宋" w:eastAsia="仿宋_GB2312" w:cs="宋体"/>
          <w:sz w:val="32"/>
          <w:szCs w:val="32"/>
        </w:rPr>
        <w:t>帮助健全和完善科学的、符合实际情况的项目绩效目标</w:t>
      </w:r>
      <w:r>
        <w:rPr>
          <w:rFonts w:ascii="仿宋_GB2312" w:hAnsi="仿宋" w:eastAsia="仿宋_GB2312" w:cs="宋体"/>
          <w:sz w:val="32"/>
          <w:szCs w:val="32"/>
        </w:rPr>
        <w:t>,</w:t>
      </w:r>
      <w:r>
        <w:rPr>
          <w:rFonts w:hint="eastAsia" w:ascii="仿宋_GB2312" w:hAnsi="仿宋" w:eastAsia="仿宋_GB2312" w:cs="宋体"/>
          <w:sz w:val="32"/>
          <w:szCs w:val="32"/>
        </w:rPr>
        <w:t>肯定取得的成绩</w:t>
      </w:r>
      <w:r>
        <w:rPr>
          <w:rFonts w:ascii="仿宋_GB2312" w:hAnsi="仿宋" w:eastAsia="仿宋_GB2312" w:cs="宋体"/>
          <w:sz w:val="32"/>
          <w:szCs w:val="32"/>
        </w:rPr>
        <w:t>,</w:t>
      </w:r>
      <w:r>
        <w:rPr>
          <w:rFonts w:hint="eastAsia" w:ascii="仿宋_GB2312" w:hAnsi="仿宋" w:eastAsia="仿宋_GB2312" w:cs="宋体"/>
          <w:sz w:val="32"/>
          <w:szCs w:val="32"/>
        </w:rPr>
        <w:t>提出存在的问题</w:t>
      </w:r>
      <w:r>
        <w:rPr>
          <w:rFonts w:ascii="仿宋_GB2312" w:hAnsi="仿宋" w:eastAsia="仿宋_GB2312" w:cs="宋体"/>
          <w:sz w:val="32"/>
          <w:szCs w:val="32"/>
        </w:rPr>
        <w:t>,</w:t>
      </w:r>
      <w:r>
        <w:rPr>
          <w:rFonts w:hint="eastAsia" w:ascii="仿宋_GB2312" w:hAnsi="仿宋" w:eastAsia="仿宋_GB2312" w:cs="宋体"/>
          <w:sz w:val="32"/>
          <w:szCs w:val="32"/>
        </w:rPr>
        <w:t>给出相应的建议</w:t>
      </w:r>
      <w:r>
        <w:rPr>
          <w:rFonts w:ascii="仿宋_GB2312" w:hAnsi="仿宋" w:eastAsia="仿宋_GB2312" w:cs="宋体"/>
          <w:sz w:val="32"/>
          <w:szCs w:val="32"/>
        </w:rPr>
        <w:t>,</w:t>
      </w:r>
      <w:r>
        <w:rPr>
          <w:rFonts w:hint="eastAsia" w:ascii="仿宋_GB2312" w:hAnsi="仿宋" w:eastAsia="仿宋_GB2312" w:cs="宋体"/>
          <w:sz w:val="32"/>
          <w:szCs w:val="32"/>
        </w:rPr>
        <w:t>从而保证项目的持续开展</w:t>
      </w:r>
      <w:r>
        <w:rPr>
          <w:rFonts w:ascii="仿宋_GB2312" w:hAnsi="仿宋" w:eastAsia="仿宋_GB2312" w:cs="宋体"/>
          <w:sz w:val="32"/>
          <w:szCs w:val="32"/>
        </w:rPr>
        <w:t>,</w:t>
      </w:r>
      <w:r>
        <w:rPr>
          <w:rFonts w:hint="eastAsia" w:ascii="仿宋_GB2312" w:hAnsi="仿宋" w:eastAsia="仿宋_GB2312" w:cs="宋体"/>
          <w:sz w:val="32"/>
          <w:szCs w:val="32"/>
        </w:rPr>
        <w:t>推进财政绩效预算工作的顺利实施。</w:t>
      </w:r>
    </w:p>
    <w:p>
      <w:pPr>
        <w:pStyle w:val="30"/>
        <w:numPr>
          <w:ilvl w:val="0"/>
          <w:numId w:val="5"/>
        </w:numPr>
        <w:spacing w:before="0" w:after="0" w:line="560" w:lineRule="exact"/>
        <w:ind w:left="0" w:firstLine="640" w:firstLineChars="200"/>
        <w:rPr>
          <w:rFonts w:ascii="楷体" w:hAnsi="楷体" w:eastAsia="楷体" w:cs="楷体"/>
          <w:b w:val="0"/>
          <w:bCs w:val="0"/>
        </w:rPr>
      </w:pPr>
      <w:r>
        <w:rPr>
          <w:rFonts w:hint="eastAsia" w:ascii="楷体" w:hAnsi="楷体" w:eastAsia="楷体" w:cs="楷体"/>
          <w:b w:val="0"/>
          <w:bCs w:val="0"/>
        </w:rPr>
        <w:t>本次绩效评价的对象及范围</w:t>
      </w:r>
      <w:bookmarkStart w:id="5" w:name="_Toc26401554"/>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根据新财行【</w:t>
      </w:r>
      <w:r>
        <w:rPr>
          <w:rFonts w:ascii="仿宋_GB2312" w:hAnsi="仿宋" w:eastAsia="仿宋_GB2312" w:cs="宋体"/>
          <w:sz w:val="32"/>
          <w:szCs w:val="32"/>
        </w:rPr>
        <w:t>2018</w:t>
      </w:r>
      <w:r>
        <w:rPr>
          <w:rFonts w:hint="eastAsia" w:ascii="仿宋_GB2312" w:hAnsi="仿宋" w:eastAsia="仿宋_GB2312" w:cs="宋体"/>
          <w:sz w:val="32"/>
          <w:szCs w:val="32"/>
        </w:rPr>
        <w:t>】</w:t>
      </w:r>
      <w:r>
        <w:rPr>
          <w:rFonts w:ascii="仿宋_GB2312" w:hAnsi="仿宋" w:eastAsia="仿宋_GB2312" w:cs="宋体"/>
          <w:sz w:val="32"/>
          <w:szCs w:val="32"/>
        </w:rPr>
        <w:t>368</w:t>
      </w:r>
      <w:r>
        <w:rPr>
          <w:rFonts w:hint="eastAsia" w:ascii="仿宋_GB2312" w:hAnsi="仿宋" w:eastAsia="仿宋_GB2312" w:cs="宋体"/>
          <w:sz w:val="32"/>
          <w:szCs w:val="32"/>
        </w:rPr>
        <w:t>号、喀地财行【</w:t>
      </w:r>
      <w:r>
        <w:rPr>
          <w:rFonts w:ascii="仿宋_GB2312" w:hAnsi="仿宋" w:eastAsia="仿宋_GB2312" w:cs="宋体"/>
          <w:sz w:val="32"/>
          <w:szCs w:val="32"/>
        </w:rPr>
        <w:t>2019</w:t>
      </w:r>
      <w:r>
        <w:rPr>
          <w:rFonts w:hint="eastAsia" w:ascii="仿宋_GB2312" w:hAnsi="仿宋" w:eastAsia="仿宋_GB2312" w:cs="宋体"/>
          <w:sz w:val="32"/>
          <w:szCs w:val="32"/>
        </w:rPr>
        <w:t>】</w:t>
      </w:r>
      <w:r>
        <w:rPr>
          <w:rFonts w:ascii="仿宋_GB2312" w:hAnsi="仿宋" w:eastAsia="仿宋_GB2312" w:cs="宋体"/>
          <w:sz w:val="32"/>
          <w:szCs w:val="32"/>
        </w:rPr>
        <w:t>15</w:t>
      </w:r>
      <w:r>
        <w:rPr>
          <w:rFonts w:hint="eastAsia" w:ascii="仿宋_GB2312" w:hAnsi="仿宋" w:eastAsia="仿宋_GB2312" w:cs="宋体"/>
          <w:sz w:val="32"/>
          <w:szCs w:val="32"/>
        </w:rPr>
        <w:t>号，于</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7</w:t>
      </w:r>
      <w:r>
        <w:rPr>
          <w:rFonts w:hint="eastAsia" w:ascii="仿宋_GB2312" w:hAnsi="仿宋" w:eastAsia="仿宋_GB2312" w:cs="宋体"/>
          <w:sz w:val="32"/>
          <w:szCs w:val="32"/>
        </w:rPr>
        <w:t>月</w:t>
      </w:r>
      <w:r>
        <w:rPr>
          <w:rFonts w:ascii="仿宋_GB2312" w:hAnsi="仿宋" w:eastAsia="仿宋_GB2312" w:cs="宋体"/>
          <w:sz w:val="32"/>
          <w:szCs w:val="32"/>
        </w:rPr>
        <w:t>5</w:t>
      </w:r>
      <w:r>
        <w:rPr>
          <w:rFonts w:hint="eastAsia" w:ascii="仿宋_GB2312" w:hAnsi="仿宋" w:eastAsia="仿宋_GB2312" w:cs="宋体"/>
          <w:sz w:val="32"/>
          <w:szCs w:val="32"/>
        </w:rPr>
        <w:t>日收到项目资金</w:t>
      </w:r>
      <w:r>
        <w:rPr>
          <w:rFonts w:ascii="仿宋_GB2312" w:hAnsi="仿宋" w:eastAsia="仿宋_GB2312" w:cs="宋体"/>
          <w:sz w:val="32"/>
          <w:szCs w:val="32"/>
        </w:rPr>
        <w:t>25</w:t>
      </w:r>
      <w:r>
        <w:rPr>
          <w:rFonts w:hint="eastAsia" w:ascii="仿宋_GB2312" w:hAnsi="仿宋" w:eastAsia="仿宋_GB2312" w:cs="宋体"/>
          <w:sz w:val="32"/>
          <w:szCs w:val="32"/>
        </w:rPr>
        <w:t>万元，资金到位率为</w:t>
      </w:r>
      <w:r>
        <w:rPr>
          <w:rFonts w:ascii="仿宋_GB2312" w:hAnsi="仿宋" w:eastAsia="仿宋_GB2312" w:cs="宋体"/>
          <w:sz w:val="32"/>
          <w:szCs w:val="32"/>
        </w:rPr>
        <w:t>100%</w:t>
      </w:r>
      <w:r>
        <w:rPr>
          <w:rFonts w:hint="eastAsia" w:ascii="仿宋_GB2312" w:hAnsi="仿宋" w:eastAsia="仿宋_GB2312" w:cs="宋体"/>
          <w:sz w:val="32"/>
          <w:szCs w:val="32"/>
        </w:rPr>
        <w:t>。资金来源为一般公共预算资金。该项目实际完成投资额</w:t>
      </w:r>
      <w:r>
        <w:rPr>
          <w:rFonts w:ascii="仿宋_GB2312" w:hAnsi="仿宋" w:eastAsia="仿宋_GB2312" w:cs="宋体"/>
          <w:sz w:val="32"/>
          <w:szCs w:val="32"/>
        </w:rPr>
        <w:t>25</w:t>
      </w:r>
      <w:r>
        <w:rPr>
          <w:rFonts w:hint="eastAsia" w:ascii="仿宋_GB2312" w:hAnsi="仿宋" w:eastAsia="仿宋_GB2312" w:cs="宋体"/>
          <w:sz w:val="32"/>
          <w:szCs w:val="32"/>
        </w:rPr>
        <w:t>万元，项目资金共支付</w:t>
      </w:r>
      <w:r>
        <w:rPr>
          <w:rFonts w:ascii="仿宋_GB2312" w:hAnsi="仿宋" w:eastAsia="仿宋_GB2312" w:cs="宋体"/>
          <w:sz w:val="32"/>
          <w:szCs w:val="32"/>
        </w:rPr>
        <w:t>25</w:t>
      </w:r>
      <w:r>
        <w:rPr>
          <w:rFonts w:hint="eastAsia" w:ascii="仿宋_GB2312" w:hAnsi="仿宋" w:eastAsia="仿宋_GB2312" w:cs="宋体"/>
          <w:sz w:val="32"/>
          <w:szCs w:val="32"/>
        </w:rPr>
        <w:t>万元。进一步激励了自治区人大、地区人大及县人大驻村干部的工作热情和责任感、使命感。</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资金使用范围：</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叶城县人民代表大会常务委员会办公室根据《叶城</w:t>
      </w:r>
      <w:r>
        <w:rPr>
          <w:rFonts w:hint="eastAsia" w:ascii="仿宋_GB2312" w:hAnsi="仿宋" w:eastAsia="仿宋_GB2312" w:cs="宋体"/>
          <w:sz w:val="32"/>
          <w:szCs w:val="32"/>
          <w:lang w:eastAsia="zh-CN"/>
        </w:rPr>
        <w:t>县人大常委会办公室</w:t>
      </w:r>
      <w:r>
        <w:rPr>
          <w:rFonts w:hint="eastAsia" w:ascii="仿宋_GB2312" w:hAnsi="仿宋" w:eastAsia="仿宋_GB2312" w:cs="宋体"/>
          <w:sz w:val="32"/>
          <w:szCs w:val="32"/>
        </w:rPr>
        <w:t>专项资金管理制度》进行支付，实行实施一个项目，支付一笔资金、报账一笔资金，资金跟着项目走，项目跟着需求走。</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项目实施及管理情况：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项目经立项后。由叶城</w:t>
      </w:r>
      <w:r>
        <w:rPr>
          <w:rFonts w:hint="eastAsia" w:ascii="仿宋_GB2312" w:hAnsi="仿宋" w:eastAsia="仿宋_GB2312" w:cs="宋体"/>
          <w:sz w:val="32"/>
          <w:szCs w:val="32"/>
          <w:lang w:eastAsia="zh-CN"/>
        </w:rPr>
        <w:t>县人大常委会办公室</w:t>
      </w:r>
      <w:r>
        <w:rPr>
          <w:rFonts w:hint="eastAsia" w:ascii="仿宋_GB2312" w:hAnsi="仿宋" w:eastAsia="仿宋_GB2312" w:cs="宋体"/>
          <w:sz w:val="32"/>
          <w:szCs w:val="32"/>
        </w:rPr>
        <w:t>组织实施，制定实施方案，实施过程均按照上级要求、县委批示指示，各种管理制度和实施方案执行。</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按照“行政主导、部门合作、科学决策”的原则，根据宪法、《中华人民共和国地方各级人民代表大会和地方各级人民政府组织法》、当年度上级人大工作安排部署、县委批示指示精神、年初制定的工作计划，稳步推进实施，建立健全内部管理制度和监督检查机制，扎实推进慰问工作。</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该项目不存在调整情况。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本项目严格遵守相关法律法规和业务管理规定，对项目各项资料整理并及时归档。已建立《日常监督检查机制》，不定期对项目进行督导检查，对检查过程中发现的问题及时督促整改。</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在项目实施中还应进一步加强项目财务收支管理，严格按照财政部门规定及采购流程办理相关手续，节约资金，使资金使用效益最大化。对工作过程中产生的问题，落实稽查制度和责任追究制度，采用公平公正公开的原则，积极整改并接受监督。确保财政资金支出有据、有效，项目完成高质量。</w:t>
      </w:r>
    </w:p>
    <w:p>
      <w:pPr>
        <w:pStyle w:val="30"/>
        <w:numPr>
          <w:ilvl w:val="0"/>
          <w:numId w:val="5"/>
        </w:numPr>
        <w:spacing w:before="0" w:after="0" w:line="560" w:lineRule="exact"/>
        <w:ind w:left="0" w:firstLine="640" w:firstLineChars="200"/>
        <w:rPr>
          <w:rFonts w:ascii="楷体" w:hAnsi="楷体" w:eastAsia="楷体" w:cs="楷体"/>
          <w:b w:val="0"/>
          <w:bCs w:val="0"/>
        </w:rPr>
      </w:pPr>
      <w:r>
        <w:rPr>
          <w:rFonts w:hint="eastAsia" w:ascii="楷体" w:hAnsi="楷体" w:eastAsia="楷体" w:cs="楷体"/>
          <w:b w:val="0"/>
          <w:bCs w:val="0"/>
        </w:rPr>
        <w:t>绩效评价原则</w:t>
      </w:r>
      <w:bookmarkEnd w:id="5"/>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科学公正。绩效评价应当运用科学合理的方法，按照规范的程序，对项目绩效进行客观、公正的反映。</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统筹兼顾。单位自评、部门评价和财政评价应职责明确，各有侧重，相互衔接。单位自评应由项目单位自主实施，即“谁支出、谁自评”。部门评价和财政评价应在单位自评的基础上开展。</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激励约束。绩效评价结果应与预算安排、政策调整、改进管理实质性挂钩，体现奖优罚劣和激励相容导向，有效要安排、低效要压减、无效要问责。</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4.</w:t>
      </w:r>
      <w:r>
        <w:rPr>
          <w:rFonts w:hint="eastAsia" w:ascii="仿宋_GB2312" w:hAnsi="仿宋" w:eastAsia="仿宋_GB2312" w:cs="宋体"/>
          <w:sz w:val="32"/>
          <w:szCs w:val="32"/>
        </w:rPr>
        <w:t>公开透明。绩效评价结果应依法依规公开，并自觉接受社会监督。</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根据以上原则</w:t>
      </w:r>
      <w:r>
        <w:rPr>
          <w:rFonts w:ascii="仿宋_GB2312" w:hAnsi="仿宋" w:eastAsia="仿宋_GB2312" w:cs="宋体"/>
          <w:sz w:val="32"/>
          <w:szCs w:val="32"/>
        </w:rPr>
        <w:t>,</w:t>
      </w:r>
      <w:r>
        <w:rPr>
          <w:rFonts w:hint="eastAsia" w:ascii="仿宋_GB2312" w:hAnsi="仿宋" w:eastAsia="仿宋_GB2312" w:cs="宋体"/>
          <w:sz w:val="32"/>
          <w:szCs w:val="32"/>
        </w:rPr>
        <w:t>绩效评价应遵循如下要求</w:t>
      </w:r>
      <w:r>
        <w:rPr>
          <w:rFonts w:ascii="仿宋_GB2312" w:hAnsi="仿宋" w:eastAsia="仿宋_GB2312" w:cs="宋体"/>
          <w:sz w:val="32"/>
          <w:szCs w:val="32"/>
        </w:rPr>
        <w:t>:</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1</w:t>
      </w:r>
      <w:r>
        <w:rPr>
          <w:rFonts w:hint="eastAsia" w:ascii="仿宋_GB2312" w:hAnsi="仿宋" w:eastAsia="仿宋_GB2312" w:cs="宋体"/>
          <w:sz w:val="32"/>
          <w:szCs w:val="32"/>
        </w:rPr>
        <w:t>）在数据采集时</w:t>
      </w:r>
      <w:r>
        <w:rPr>
          <w:rFonts w:ascii="仿宋_GB2312" w:hAnsi="仿宋" w:eastAsia="仿宋_GB2312" w:cs="宋体"/>
          <w:sz w:val="32"/>
          <w:szCs w:val="32"/>
        </w:rPr>
        <w:t>,</w:t>
      </w:r>
      <w:r>
        <w:rPr>
          <w:rFonts w:hint="eastAsia" w:ascii="仿宋_GB2312" w:hAnsi="仿宋" w:eastAsia="仿宋_GB2312" w:cs="宋体"/>
          <w:sz w:val="32"/>
          <w:szCs w:val="32"/>
        </w:rPr>
        <w:t>采取客观数据</w:t>
      </w:r>
      <w:r>
        <w:rPr>
          <w:rFonts w:ascii="仿宋_GB2312" w:hAnsi="仿宋" w:eastAsia="仿宋_GB2312" w:cs="宋体"/>
          <w:sz w:val="32"/>
          <w:szCs w:val="32"/>
        </w:rPr>
        <w:t>,</w:t>
      </w:r>
      <w:r>
        <w:rPr>
          <w:rFonts w:hint="eastAsia" w:ascii="仿宋_GB2312" w:hAnsi="仿宋" w:eastAsia="仿宋_GB2312" w:cs="宋体"/>
          <w:sz w:val="32"/>
          <w:szCs w:val="32"/>
        </w:rPr>
        <w:t>主管部门审查、社会中介组织复查</w:t>
      </w:r>
      <w:r>
        <w:rPr>
          <w:rFonts w:ascii="仿宋_GB2312" w:hAnsi="仿宋" w:eastAsia="仿宋_GB2312" w:cs="宋体"/>
          <w:sz w:val="32"/>
          <w:szCs w:val="32"/>
        </w:rPr>
        <w:t>,</w:t>
      </w:r>
      <w:r>
        <w:rPr>
          <w:rFonts w:hint="eastAsia" w:ascii="仿宋_GB2312" w:hAnsi="仿宋" w:eastAsia="仿宋_GB2312" w:cs="宋体"/>
          <w:sz w:val="32"/>
          <w:szCs w:val="32"/>
        </w:rPr>
        <w:t>与问卷调查相结合的形式</w:t>
      </w:r>
      <w:r>
        <w:rPr>
          <w:rFonts w:ascii="仿宋_GB2312" w:hAnsi="仿宋" w:eastAsia="仿宋_GB2312" w:cs="宋体"/>
          <w:sz w:val="32"/>
          <w:szCs w:val="32"/>
        </w:rPr>
        <w:t>,</w:t>
      </w:r>
      <w:r>
        <w:rPr>
          <w:rFonts w:hint="eastAsia" w:ascii="仿宋_GB2312" w:hAnsi="仿宋" w:eastAsia="仿宋_GB2312" w:cs="宋体"/>
          <w:sz w:val="32"/>
          <w:szCs w:val="32"/>
        </w:rPr>
        <w:t>以保证各项指标的真实性。</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保证评价结果的客观性、公正性</w:t>
      </w:r>
      <w:r>
        <w:rPr>
          <w:rFonts w:ascii="仿宋_GB2312" w:hAnsi="仿宋" w:eastAsia="仿宋_GB2312" w:cs="宋体"/>
          <w:sz w:val="32"/>
          <w:szCs w:val="32"/>
        </w:rPr>
        <w:t>,</w:t>
      </w:r>
      <w:r>
        <w:rPr>
          <w:rFonts w:hint="eastAsia" w:ascii="仿宋_GB2312" w:hAnsi="仿宋" w:eastAsia="仿宋_GB2312" w:cs="宋体"/>
          <w:sz w:val="32"/>
          <w:szCs w:val="32"/>
        </w:rPr>
        <w:t>提高评价报告的公信力。</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绩教评价报告应当简明扼要</w:t>
      </w:r>
      <w:r>
        <w:rPr>
          <w:rFonts w:ascii="仿宋_GB2312" w:hAnsi="仿宋" w:eastAsia="仿宋_GB2312" w:cs="宋体"/>
          <w:sz w:val="32"/>
          <w:szCs w:val="32"/>
        </w:rPr>
        <w:t>,</w:t>
      </w:r>
      <w:r>
        <w:rPr>
          <w:rFonts w:hint="eastAsia" w:ascii="仿宋_GB2312" w:hAnsi="仿宋" w:eastAsia="仿宋_GB2312" w:cs="宋体"/>
          <w:sz w:val="32"/>
          <w:szCs w:val="32"/>
        </w:rPr>
        <w:t>除了对绩效评价的过程、结果描述外</w:t>
      </w:r>
      <w:r>
        <w:rPr>
          <w:rFonts w:ascii="仿宋_GB2312" w:hAnsi="仿宋" w:eastAsia="仿宋_GB2312" w:cs="宋体"/>
          <w:sz w:val="32"/>
          <w:szCs w:val="32"/>
        </w:rPr>
        <w:t>,</w:t>
      </w:r>
      <w:r>
        <w:rPr>
          <w:rFonts w:hint="eastAsia" w:ascii="仿宋_GB2312" w:hAnsi="仿宋" w:eastAsia="仿宋_GB2312" w:cs="宋体"/>
          <w:sz w:val="32"/>
          <w:szCs w:val="32"/>
        </w:rPr>
        <w:t>还应总结经验</w:t>
      </w:r>
      <w:r>
        <w:rPr>
          <w:rFonts w:ascii="仿宋_GB2312" w:hAnsi="仿宋" w:eastAsia="仿宋_GB2312" w:cs="宋体"/>
          <w:sz w:val="32"/>
          <w:szCs w:val="32"/>
        </w:rPr>
        <w:t>,</w:t>
      </w:r>
      <w:r>
        <w:rPr>
          <w:rFonts w:hint="eastAsia" w:ascii="仿宋_GB2312" w:hAnsi="仿宋" w:eastAsia="仿宋_GB2312" w:cs="宋体"/>
          <w:sz w:val="32"/>
          <w:szCs w:val="32"/>
        </w:rPr>
        <w:t>指出问题</w:t>
      </w:r>
      <w:r>
        <w:rPr>
          <w:rFonts w:ascii="仿宋_GB2312" w:hAnsi="仿宋" w:eastAsia="仿宋_GB2312" w:cs="宋体"/>
          <w:sz w:val="32"/>
          <w:szCs w:val="32"/>
        </w:rPr>
        <w:t>,</w:t>
      </w:r>
      <w:r>
        <w:rPr>
          <w:rFonts w:hint="eastAsia" w:ascii="仿宋_GB2312" w:hAnsi="仿宋" w:eastAsia="仿宋_GB2312" w:cs="宋体"/>
          <w:sz w:val="32"/>
          <w:szCs w:val="32"/>
        </w:rPr>
        <w:t>并就共性问题提出可操作性改进建议。</w:t>
      </w:r>
    </w:p>
    <w:p>
      <w:pPr>
        <w:pStyle w:val="30"/>
        <w:numPr>
          <w:ilvl w:val="0"/>
          <w:numId w:val="5"/>
        </w:numPr>
        <w:spacing w:before="0" w:after="0" w:line="560" w:lineRule="exact"/>
        <w:ind w:left="0" w:firstLine="640" w:firstLineChars="200"/>
        <w:rPr>
          <w:rFonts w:ascii="楷体" w:hAnsi="楷体" w:eastAsia="楷体" w:cs="楷体"/>
          <w:b w:val="0"/>
          <w:bCs w:val="0"/>
        </w:rPr>
      </w:pPr>
      <w:r>
        <w:rPr>
          <w:rFonts w:hint="eastAsia" w:ascii="楷体" w:hAnsi="楷体" w:eastAsia="楷体" w:cs="楷体"/>
          <w:b w:val="0"/>
          <w:bCs w:val="0"/>
        </w:rPr>
        <w:t>本项目绩效评价体系</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本项目绩效评价体系为根据财预﹝</w:t>
      </w:r>
      <w:r>
        <w:rPr>
          <w:rFonts w:ascii="仿宋_GB2312" w:hAnsi="仿宋" w:eastAsia="仿宋_GB2312" w:cs="宋体"/>
          <w:sz w:val="32"/>
          <w:szCs w:val="32"/>
        </w:rPr>
        <w:t>2020</w:t>
      </w:r>
      <w:r>
        <w:rPr>
          <w:rFonts w:hint="eastAsia" w:ascii="仿宋_GB2312" w:hAnsi="仿宋" w:eastAsia="仿宋_GB2312" w:cs="宋体"/>
          <w:sz w:val="32"/>
          <w:szCs w:val="32"/>
        </w:rPr>
        <w:t>﹞</w:t>
      </w:r>
      <w:r>
        <w:rPr>
          <w:rFonts w:ascii="仿宋_GB2312" w:hAnsi="仿宋" w:eastAsia="仿宋_GB2312" w:cs="宋体"/>
          <w:sz w:val="32"/>
          <w:szCs w:val="32"/>
        </w:rPr>
        <w:t>10</w:t>
      </w:r>
      <w:r>
        <w:rPr>
          <w:rFonts w:hint="eastAsia" w:ascii="仿宋_GB2312" w:hAnsi="仿宋" w:eastAsia="仿宋_GB2312" w:cs="宋体"/>
          <w:sz w:val="32"/>
          <w:szCs w:val="32"/>
        </w:rPr>
        <w:t>号共性指标及个性化指标设置，详见附件</w:t>
      </w:r>
      <w:r>
        <w:rPr>
          <w:rFonts w:ascii="仿宋_GB2312" w:hAnsi="仿宋" w:eastAsia="仿宋_GB2312" w:cs="宋体"/>
          <w:sz w:val="32"/>
          <w:szCs w:val="32"/>
        </w:rPr>
        <w:t>2</w:t>
      </w:r>
      <w:r>
        <w:rPr>
          <w:rFonts w:hint="eastAsia" w:ascii="仿宋_GB2312" w:hAnsi="仿宋" w:eastAsia="仿宋_GB2312" w:cs="宋体"/>
          <w:sz w:val="32"/>
          <w:szCs w:val="32"/>
        </w:rPr>
        <w:t>。</w:t>
      </w:r>
    </w:p>
    <w:p>
      <w:pPr>
        <w:pStyle w:val="30"/>
        <w:keepNext w:val="0"/>
        <w:keepLines w:val="0"/>
        <w:numPr>
          <w:ilvl w:val="0"/>
          <w:numId w:val="5"/>
        </w:numPr>
        <w:spacing w:before="0" w:after="0" w:line="560" w:lineRule="exact"/>
        <w:ind w:left="0" w:firstLine="640" w:firstLineChars="200"/>
        <w:rPr>
          <w:rFonts w:ascii="楷体" w:hAnsi="楷体" w:eastAsia="楷体" w:cs="楷体"/>
          <w:b w:val="0"/>
          <w:bCs w:val="0"/>
        </w:rPr>
      </w:pPr>
      <w:bookmarkStart w:id="6" w:name="_Toc26401555"/>
      <w:r>
        <w:rPr>
          <w:rFonts w:hint="eastAsia" w:ascii="楷体" w:hAnsi="楷体" w:eastAsia="楷体" w:cs="楷体"/>
          <w:b w:val="0"/>
          <w:bCs w:val="0"/>
        </w:rPr>
        <w:t>绩效评价方法</w:t>
      </w:r>
      <w:bookmarkEnd w:id="6"/>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1</w:t>
      </w:r>
      <w:r>
        <w:rPr>
          <w:rFonts w:hint="eastAsia" w:ascii="仿宋_GB2312" w:hAnsi="仿宋" w:eastAsia="仿宋_GB2312" w:cs="宋体"/>
          <w:sz w:val="32"/>
          <w:szCs w:val="32"/>
        </w:rPr>
        <w:t>）数据采集方法及过程</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主要采用查阅相关文件政策、会计凭证等资料，发放数据统计表格，以填报的方式采集项目资金支出情况、项目完成情况及项目成本构成等数据资料；并通过访谈、社会调查掌握具体情况，对采集的数据做详细的分析和统计。</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2</w:t>
      </w:r>
      <w:r>
        <w:rPr>
          <w:rFonts w:hint="eastAsia" w:ascii="仿宋_GB2312" w:hAnsi="仿宋" w:eastAsia="仿宋_GB2312" w:cs="宋体"/>
          <w:sz w:val="32"/>
          <w:szCs w:val="32"/>
        </w:rPr>
        <w:t>）资金使用情况检查方法及过程</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进行实地调研，就项目资金使用情况进行检查，包括是否存在截留、挪用财政专项资金的情况；资金支付审批情况是否合规；资金支付所需材料是否齐备；是否存在擅自改变、扩大支出范围的情况；是否存在虚列项目支出等情况。根据调查结果显示，项目不存在资金截留、挪用的情况；资金用于规定的使用范围，资金使用合规。</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3</w:t>
      </w:r>
      <w:r>
        <w:rPr>
          <w:rFonts w:hint="eastAsia" w:ascii="仿宋_GB2312" w:hAnsi="仿宋" w:eastAsia="仿宋_GB2312" w:cs="宋体"/>
          <w:sz w:val="32"/>
          <w:szCs w:val="32"/>
        </w:rPr>
        <w:t>）实地调研问询的方法</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项目评价组根据项目实施过程及指标评价需求做出判断，针对项目进行实地调研，对受益的工作人员进行问询调查法，通过实地走访慰问基层工作队员的方式</w:t>
      </w:r>
      <w:r>
        <w:rPr>
          <w:rFonts w:ascii="仿宋_GB2312" w:hAnsi="仿宋" w:eastAsia="仿宋_GB2312" w:cs="宋体"/>
          <w:sz w:val="32"/>
          <w:szCs w:val="32"/>
        </w:rPr>
        <w:t>,</w:t>
      </w:r>
      <w:r>
        <w:rPr>
          <w:rFonts w:hint="eastAsia" w:ascii="仿宋_GB2312" w:hAnsi="仿宋" w:eastAsia="仿宋_GB2312" w:cs="宋体"/>
          <w:sz w:val="32"/>
          <w:szCs w:val="32"/>
        </w:rPr>
        <w:t>在限期内进行评价和判断的方法。</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4</w:t>
      </w:r>
      <w:r>
        <w:rPr>
          <w:rFonts w:hint="eastAsia" w:ascii="仿宋_GB2312" w:hAnsi="仿宋" w:eastAsia="仿宋_GB2312" w:cs="宋体"/>
          <w:sz w:val="32"/>
          <w:szCs w:val="32"/>
        </w:rPr>
        <w:t>）撰写报告情况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项目评价组根据绩效评价的原理，对收集的问询结果进行分析，撰写绩效评价报告。</w:t>
      </w:r>
    </w:p>
    <w:p>
      <w:pPr>
        <w:pStyle w:val="30"/>
        <w:keepNext w:val="0"/>
        <w:keepLines w:val="0"/>
        <w:numPr>
          <w:ilvl w:val="0"/>
          <w:numId w:val="5"/>
        </w:numPr>
        <w:spacing w:before="0" w:after="0" w:line="560" w:lineRule="exact"/>
        <w:ind w:left="0" w:firstLine="640" w:firstLineChars="200"/>
        <w:rPr>
          <w:rFonts w:ascii="楷体" w:hAnsi="楷体" w:eastAsia="楷体" w:cs="楷体"/>
          <w:b w:val="0"/>
          <w:bCs w:val="0"/>
        </w:rPr>
      </w:pPr>
      <w:r>
        <w:rPr>
          <w:rFonts w:hint="eastAsia" w:ascii="楷体" w:hAnsi="楷体" w:eastAsia="楷体" w:cs="楷体"/>
          <w:b w:val="0"/>
          <w:bCs w:val="0"/>
        </w:rPr>
        <w:t>评价标准</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 xml:space="preserve"> </w:t>
      </w:r>
      <w:r>
        <w:rPr>
          <w:rFonts w:hint="eastAsia" w:ascii="仿宋_GB2312" w:hAnsi="仿宋" w:eastAsia="仿宋_GB2312" w:cs="宋体"/>
          <w:sz w:val="32"/>
          <w:szCs w:val="32"/>
        </w:rPr>
        <w:t>计划标准</w:t>
      </w:r>
      <w:r>
        <w:rPr>
          <w:rFonts w:ascii="仿宋_GB2312" w:hAnsi="仿宋" w:eastAsia="仿宋_GB2312" w:cs="宋体"/>
          <w:sz w:val="32"/>
          <w:szCs w:val="32"/>
        </w:rPr>
        <w:t>:</w:t>
      </w:r>
      <w:r>
        <w:rPr>
          <w:rFonts w:hint="eastAsia" w:ascii="仿宋_GB2312" w:hAnsi="仿宋" w:eastAsia="仿宋_GB2312" w:cs="宋体"/>
          <w:sz w:val="32"/>
          <w:szCs w:val="32"/>
        </w:rPr>
        <w:t>基层人大经费补助项目计划标准为年度预期目标实施慰问金额除以受益人员，人均</w:t>
      </w:r>
      <w:r>
        <w:rPr>
          <w:rFonts w:ascii="仿宋_GB2312" w:hAnsi="仿宋" w:eastAsia="仿宋_GB2312" w:cs="宋体"/>
          <w:sz w:val="32"/>
          <w:szCs w:val="32"/>
        </w:rPr>
        <w:t>2192.99</w:t>
      </w:r>
      <w:r>
        <w:rPr>
          <w:rFonts w:hint="eastAsia" w:ascii="仿宋_GB2312" w:hAnsi="仿宋" w:eastAsia="仿宋_GB2312" w:cs="宋体"/>
          <w:sz w:val="32"/>
          <w:szCs w:val="32"/>
        </w:rPr>
        <w:t>元，实施该项目能够提升自治区人大、地区人大及县人大参加工作成员的工作积极性和工作热情，为维护我县社会长治久安打下坚实基础。项目资金预算数</w:t>
      </w:r>
      <w:r>
        <w:rPr>
          <w:rFonts w:ascii="仿宋_GB2312" w:hAnsi="仿宋" w:eastAsia="仿宋_GB2312" w:cs="宋体"/>
          <w:sz w:val="32"/>
          <w:szCs w:val="32"/>
        </w:rPr>
        <w:t>25</w:t>
      </w:r>
      <w:r>
        <w:rPr>
          <w:rFonts w:hint="eastAsia" w:ascii="仿宋_GB2312" w:hAnsi="仿宋" w:eastAsia="仿宋_GB2312" w:cs="宋体"/>
          <w:sz w:val="32"/>
          <w:szCs w:val="32"/>
        </w:rPr>
        <w:t>万元。已达到该标准。</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历史标准</w:t>
      </w:r>
      <w:r>
        <w:rPr>
          <w:rFonts w:ascii="仿宋_GB2312" w:hAnsi="仿宋" w:eastAsia="仿宋_GB2312" w:cs="宋体"/>
          <w:sz w:val="32"/>
          <w:szCs w:val="32"/>
        </w:rPr>
        <w:t>:</w:t>
      </w:r>
      <w:r>
        <w:rPr>
          <w:rFonts w:hint="eastAsia" w:ascii="仿宋_GB2312" w:hAnsi="仿宋" w:eastAsia="仿宋_GB2312" w:cs="宋体"/>
          <w:sz w:val="32"/>
          <w:szCs w:val="32"/>
        </w:rPr>
        <w:t>是以本地区、本部门、本单位或同类部门、单位、项目的绩效评价指标的历史数据作为样本</w:t>
      </w:r>
      <w:r>
        <w:rPr>
          <w:rFonts w:ascii="仿宋_GB2312" w:hAnsi="仿宋" w:eastAsia="仿宋_GB2312" w:cs="宋体"/>
          <w:sz w:val="32"/>
          <w:szCs w:val="32"/>
        </w:rPr>
        <w:t>,</w:t>
      </w:r>
      <w:r>
        <w:rPr>
          <w:rFonts w:hint="eastAsia" w:ascii="仿宋_GB2312" w:hAnsi="仿宋" w:eastAsia="仿宋_GB2312" w:cs="宋体"/>
          <w:sz w:val="32"/>
          <w:szCs w:val="32"/>
        </w:rPr>
        <w:t>运用一定的统计学方法计算出各类指标的平均历史水平作为评价的标准。也可以是上年实际数、上年同期数、历史最好水平等。由于历史标准有较强的客观性</w:t>
      </w:r>
      <w:r>
        <w:rPr>
          <w:rFonts w:ascii="仿宋_GB2312" w:hAnsi="仿宋" w:eastAsia="仿宋_GB2312" w:cs="宋体"/>
          <w:sz w:val="32"/>
          <w:szCs w:val="32"/>
        </w:rPr>
        <w:t>,</w:t>
      </w:r>
      <w:r>
        <w:rPr>
          <w:rFonts w:hint="eastAsia" w:ascii="仿宋_GB2312" w:hAnsi="仿宋" w:eastAsia="仿宋_GB2312" w:cs="宋体"/>
          <w:sz w:val="32"/>
          <w:szCs w:val="32"/>
        </w:rPr>
        <w:t>在实际操作中广泛应用。</w:t>
      </w:r>
    </w:p>
    <w:p>
      <w:pPr>
        <w:pStyle w:val="30"/>
        <w:keepNext w:val="0"/>
        <w:keepLines w:val="0"/>
        <w:numPr>
          <w:ilvl w:val="0"/>
          <w:numId w:val="5"/>
        </w:numPr>
        <w:spacing w:before="0" w:after="0" w:line="560" w:lineRule="exact"/>
        <w:ind w:left="0" w:firstLine="640" w:firstLineChars="200"/>
        <w:rPr>
          <w:rFonts w:ascii="楷体" w:hAnsi="楷体" w:eastAsia="楷体" w:cs="楷体"/>
          <w:b w:val="0"/>
          <w:bCs w:val="0"/>
        </w:rPr>
      </w:pPr>
      <w:r>
        <w:rPr>
          <w:rFonts w:hint="eastAsia" w:ascii="楷体" w:hAnsi="楷体" w:eastAsia="楷体" w:cs="楷体"/>
          <w:b w:val="0"/>
          <w:bCs w:val="0"/>
        </w:rPr>
        <w:t>绩效评价工作过程</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本次评价成立了评价工作组，成员如下：</w:t>
      </w:r>
    </w:p>
    <w:tbl>
      <w:tblPr>
        <w:tblStyle w:val="14"/>
        <w:tblW w:w="8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1"/>
        <w:gridCol w:w="2842"/>
        <w:gridCol w:w="2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pPr>
              <w:pStyle w:val="30"/>
              <w:keepNext w:val="0"/>
              <w:keepLines w:val="0"/>
              <w:numPr>
                <w:ilvl w:val="0"/>
                <w:numId w:val="0"/>
              </w:numPr>
              <w:spacing w:line="240" w:lineRule="atLeast"/>
              <w:jc w:val="center"/>
              <w:rPr>
                <w:rFonts w:ascii="宋体" w:hAnsi="宋体" w:eastAsia="宋体" w:cs="宋体"/>
                <w:sz w:val="20"/>
                <w:szCs w:val="20"/>
              </w:rPr>
            </w:pPr>
            <w:r>
              <w:rPr>
                <w:rFonts w:hint="eastAsia" w:ascii="宋体" w:hAnsi="宋体" w:eastAsia="宋体" w:cs="宋体"/>
                <w:sz w:val="20"/>
                <w:szCs w:val="20"/>
              </w:rPr>
              <w:t>评价人</w:t>
            </w:r>
          </w:p>
        </w:tc>
        <w:tc>
          <w:tcPr>
            <w:tcW w:w="2842" w:type="dxa"/>
            <w:vAlign w:val="center"/>
          </w:tcPr>
          <w:p>
            <w:pPr>
              <w:pStyle w:val="30"/>
              <w:keepNext w:val="0"/>
              <w:keepLines w:val="0"/>
              <w:numPr>
                <w:ilvl w:val="0"/>
                <w:numId w:val="0"/>
              </w:numPr>
              <w:spacing w:line="240" w:lineRule="atLeast"/>
              <w:jc w:val="center"/>
              <w:rPr>
                <w:rFonts w:ascii="宋体" w:hAnsi="宋体" w:eastAsia="宋体" w:cs="宋体"/>
                <w:sz w:val="20"/>
                <w:szCs w:val="20"/>
              </w:rPr>
            </w:pPr>
            <w:r>
              <w:rPr>
                <w:rFonts w:hint="eastAsia" w:ascii="宋体" w:hAnsi="宋体" w:eastAsia="宋体" w:cs="宋体"/>
                <w:sz w:val="20"/>
                <w:szCs w:val="20"/>
              </w:rPr>
              <w:t>职责</w:t>
            </w:r>
          </w:p>
        </w:tc>
        <w:tc>
          <w:tcPr>
            <w:tcW w:w="2843" w:type="dxa"/>
            <w:vAlign w:val="center"/>
          </w:tcPr>
          <w:p>
            <w:pPr>
              <w:pStyle w:val="30"/>
              <w:keepNext w:val="0"/>
              <w:keepLines w:val="0"/>
              <w:numPr>
                <w:ilvl w:val="0"/>
                <w:numId w:val="0"/>
              </w:numPr>
              <w:spacing w:line="240" w:lineRule="atLeast"/>
              <w:jc w:val="center"/>
              <w:rPr>
                <w:rFonts w:ascii="宋体" w:hAnsi="宋体" w:eastAsia="宋体" w:cs="宋体"/>
                <w:sz w:val="20"/>
                <w:szCs w:val="20"/>
              </w:rPr>
            </w:pPr>
            <w:r>
              <w:rPr>
                <w:rFonts w:hint="eastAsia" w:ascii="宋体" w:hAnsi="宋体" w:eastAsia="宋体" w:cs="宋体"/>
                <w:sz w:val="20"/>
                <w:szCs w:val="2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pPr>
              <w:pStyle w:val="30"/>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余振超</w:t>
            </w:r>
          </w:p>
        </w:tc>
        <w:tc>
          <w:tcPr>
            <w:tcW w:w="2842" w:type="dxa"/>
            <w:vAlign w:val="center"/>
          </w:tcPr>
          <w:p>
            <w:pPr>
              <w:pStyle w:val="30"/>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评价组组长</w:t>
            </w:r>
          </w:p>
        </w:tc>
        <w:tc>
          <w:tcPr>
            <w:tcW w:w="2843" w:type="dxa"/>
            <w:vAlign w:val="center"/>
          </w:tcPr>
          <w:p>
            <w:pPr>
              <w:pStyle w:val="30"/>
              <w:keepNext w:val="0"/>
              <w:keepLines w:val="0"/>
              <w:numPr>
                <w:ilvl w:val="0"/>
                <w:numId w:val="0"/>
              </w:numPr>
              <w:spacing w:line="240" w:lineRule="atLeast"/>
              <w:jc w:val="center"/>
              <w:rPr>
                <w:rFonts w:hint="eastAsia" w:ascii="宋体" w:hAnsi="宋体" w:eastAsia="宋体" w:cs="宋体"/>
                <w:b w:val="0"/>
                <w:bCs w:val="0"/>
                <w:sz w:val="20"/>
                <w:szCs w:val="20"/>
                <w:lang w:eastAsia="zh-CN"/>
              </w:rPr>
            </w:pPr>
            <w:r>
              <w:rPr>
                <w:rFonts w:hint="eastAsia" w:ascii="宋体" w:hAnsi="宋体" w:eastAsia="宋体" w:cs="宋体"/>
                <w:b w:val="0"/>
                <w:bCs w:val="0"/>
                <w:sz w:val="20"/>
                <w:szCs w:val="20"/>
                <w:lang w:eastAsia="zh-CN"/>
              </w:rPr>
              <w:t>人大常委会副主任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pPr>
              <w:pStyle w:val="30"/>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王海江</w:t>
            </w:r>
          </w:p>
        </w:tc>
        <w:tc>
          <w:tcPr>
            <w:tcW w:w="2842" w:type="dxa"/>
            <w:vAlign w:val="center"/>
          </w:tcPr>
          <w:p>
            <w:pPr>
              <w:pStyle w:val="30"/>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评价组成员</w:t>
            </w:r>
          </w:p>
        </w:tc>
        <w:tc>
          <w:tcPr>
            <w:tcW w:w="2843" w:type="dxa"/>
            <w:vAlign w:val="center"/>
          </w:tcPr>
          <w:p>
            <w:pPr>
              <w:pStyle w:val="30"/>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人大教科文卫委主任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pPr>
              <w:pStyle w:val="30"/>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刘丽</w:t>
            </w:r>
          </w:p>
        </w:tc>
        <w:tc>
          <w:tcPr>
            <w:tcW w:w="2842" w:type="dxa"/>
            <w:vAlign w:val="center"/>
          </w:tcPr>
          <w:p>
            <w:pPr>
              <w:pStyle w:val="30"/>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评价组成员</w:t>
            </w:r>
          </w:p>
        </w:tc>
        <w:tc>
          <w:tcPr>
            <w:tcW w:w="2843" w:type="dxa"/>
            <w:vAlign w:val="center"/>
          </w:tcPr>
          <w:p>
            <w:pPr>
              <w:pStyle w:val="30"/>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财务人员</w:t>
            </w:r>
          </w:p>
        </w:tc>
      </w:tr>
    </w:tbl>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本项目绩效评价工作共分五个步骤。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第一阶段，前期准备。主要完成确定评价工作任务，绩效评价的实施方法以及编制绩效评价指标体系等工作。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第二阶段，评价设计。主要完成形成评价实施方案、基层人大经费补助项目支出的预评价等工作。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第三阶段，评价实施。主要完成资料的收集、整理，现场分析与绩效评价，形成评估结论、经验教训和建议等工作。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数据分析及撰写报告</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2020</w:t>
      </w:r>
      <w:r>
        <w:rPr>
          <w:rFonts w:hint="eastAsia" w:ascii="仿宋_GB2312" w:hAnsi="仿宋" w:eastAsia="仿宋_GB2312" w:cs="宋体"/>
          <w:sz w:val="32"/>
          <w:szCs w:val="32"/>
        </w:rPr>
        <w:t>年</w:t>
      </w:r>
      <w:r>
        <w:rPr>
          <w:rFonts w:ascii="仿宋_GB2312" w:hAnsi="仿宋" w:eastAsia="仿宋_GB2312" w:cs="宋体"/>
          <w:sz w:val="32"/>
          <w:szCs w:val="32"/>
        </w:rPr>
        <w:t>3</w:t>
      </w:r>
      <w:r>
        <w:rPr>
          <w:rFonts w:hint="eastAsia" w:ascii="仿宋_GB2312" w:hAnsi="仿宋" w:eastAsia="仿宋_GB2312" w:cs="宋体"/>
          <w:sz w:val="32"/>
          <w:szCs w:val="32"/>
        </w:rPr>
        <w:t>月</w:t>
      </w:r>
      <w:r>
        <w:rPr>
          <w:rFonts w:ascii="仿宋_GB2312" w:hAnsi="仿宋" w:eastAsia="仿宋_GB2312" w:cs="宋体"/>
          <w:sz w:val="32"/>
          <w:szCs w:val="32"/>
        </w:rPr>
        <w:t>27</w:t>
      </w:r>
      <w:r>
        <w:rPr>
          <w:rFonts w:hint="eastAsia" w:ascii="仿宋_GB2312" w:hAnsi="仿宋" w:eastAsia="仿宋_GB2312" w:cs="宋体"/>
          <w:sz w:val="32"/>
          <w:szCs w:val="32"/>
        </w:rPr>
        <w:t>日，项目组根据绩效评价的原理和规范，对采集的数据进行处理、分析和评分，并提炼结论撰写报告。</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第四阶段，报告结果。在完成绩效评价报告编制的基础上，与相关利益者沟通后形成绩效评价终稿的工作。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第五阶段，将绩效评价的经验总结与管理建议推广到相关行业或部门。</w:t>
      </w:r>
    </w:p>
    <w:p>
      <w:pPr>
        <w:pStyle w:val="29"/>
        <w:numPr>
          <w:ilvl w:val="0"/>
          <w:numId w:val="2"/>
        </w:numPr>
        <w:spacing w:before="0" w:after="0" w:line="560" w:lineRule="exact"/>
        <w:ind w:left="0" w:firstLine="31680"/>
      </w:pPr>
      <w:bookmarkStart w:id="7" w:name="_Toc26401558"/>
      <w:r>
        <w:rPr>
          <w:rFonts w:hint="eastAsia" w:ascii="黑体" w:hAnsi="黑体"/>
        </w:rPr>
        <w:t>综合评价情况及评价结论</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经评价组通过实地调研询问、资料分析等方式，采用综合分析法、成本效益分析法、问询法等对项目的决策、管理、绩效进行的综合评价分析。项目得分为</w:t>
      </w:r>
      <w:r>
        <w:rPr>
          <w:rFonts w:ascii="仿宋_GB2312" w:hAnsi="仿宋" w:eastAsia="仿宋_GB2312" w:cs="宋体"/>
          <w:sz w:val="32"/>
          <w:szCs w:val="32"/>
        </w:rPr>
        <w:t>93</w:t>
      </w:r>
      <w:r>
        <w:rPr>
          <w:rFonts w:hint="eastAsia" w:ascii="仿宋_GB2312" w:hAnsi="仿宋" w:eastAsia="仿宋_GB2312" w:cs="宋体"/>
          <w:sz w:val="32"/>
          <w:szCs w:val="32"/>
        </w:rPr>
        <w:t>分，评价结果为优。</w:t>
      </w:r>
    </w:p>
    <w:p>
      <w:pPr>
        <w:pStyle w:val="29"/>
        <w:numPr>
          <w:ilvl w:val="0"/>
          <w:numId w:val="2"/>
        </w:numPr>
        <w:spacing w:before="0" w:after="0" w:line="560" w:lineRule="exact"/>
        <w:ind w:left="0" w:firstLine="31680"/>
      </w:pPr>
      <w:r>
        <w:rPr>
          <w:rFonts w:hint="eastAsia"/>
        </w:rPr>
        <w:t>绩效评价指标分析</w:t>
      </w:r>
      <w:bookmarkEnd w:id="7"/>
    </w:p>
    <w:p>
      <w:pPr>
        <w:pStyle w:val="28"/>
        <w:numPr>
          <w:ilvl w:val="0"/>
          <w:numId w:val="6"/>
        </w:numPr>
        <w:spacing w:line="560" w:lineRule="exact"/>
        <w:ind w:left="0" w:firstLine="31680"/>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33"/>
        <w:numPr>
          <w:ilvl w:val="0"/>
          <w:numId w:val="7"/>
        </w:numPr>
        <w:spacing w:line="560" w:lineRule="exact"/>
        <w:ind w:firstLine="31680"/>
        <w:rPr>
          <w:rFonts w:ascii="仿宋_GB2312" w:hAnsi="仿宋" w:cs="宋体"/>
          <w:sz w:val="32"/>
          <w:szCs w:val="32"/>
        </w:rPr>
      </w:pPr>
      <w:r>
        <w:rPr>
          <w:rFonts w:hint="eastAsia" w:ascii="仿宋_GB2312" w:hAnsi="仿宋" w:cs="宋体"/>
          <w:sz w:val="32"/>
          <w:szCs w:val="32"/>
        </w:rPr>
        <w:t>决策依据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本项目根据【</w:t>
      </w:r>
      <w:r>
        <w:rPr>
          <w:rFonts w:ascii="仿宋_GB2312" w:hAnsi="仿宋" w:eastAsia="仿宋_GB2312" w:cs="宋体"/>
          <w:sz w:val="32"/>
          <w:szCs w:val="32"/>
        </w:rPr>
        <w:t>2018</w:t>
      </w:r>
      <w:r>
        <w:rPr>
          <w:rFonts w:hint="eastAsia" w:ascii="仿宋_GB2312" w:hAnsi="仿宋" w:eastAsia="仿宋_GB2312" w:cs="宋体"/>
          <w:sz w:val="32"/>
          <w:szCs w:val="32"/>
        </w:rPr>
        <w:t>】</w:t>
      </w:r>
      <w:r>
        <w:rPr>
          <w:rFonts w:ascii="仿宋_GB2312" w:hAnsi="仿宋" w:eastAsia="仿宋_GB2312" w:cs="宋体"/>
          <w:sz w:val="32"/>
          <w:szCs w:val="32"/>
        </w:rPr>
        <w:t>368</w:t>
      </w:r>
      <w:r>
        <w:rPr>
          <w:rFonts w:hint="eastAsia" w:ascii="仿宋_GB2312" w:hAnsi="仿宋" w:eastAsia="仿宋_GB2312" w:cs="宋体"/>
          <w:sz w:val="32"/>
          <w:szCs w:val="32"/>
        </w:rPr>
        <w:t>号、喀地财行【</w:t>
      </w:r>
      <w:r>
        <w:rPr>
          <w:rFonts w:ascii="仿宋_GB2312" w:hAnsi="仿宋" w:eastAsia="仿宋_GB2312" w:cs="宋体"/>
          <w:sz w:val="32"/>
          <w:szCs w:val="32"/>
        </w:rPr>
        <w:t>2019</w:t>
      </w:r>
      <w:r>
        <w:rPr>
          <w:rFonts w:hint="eastAsia" w:ascii="仿宋_GB2312" w:hAnsi="仿宋" w:eastAsia="仿宋_GB2312" w:cs="宋体"/>
          <w:sz w:val="32"/>
          <w:szCs w:val="32"/>
        </w:rPr>
        <w:t>】</w:t>
      </w:r>
      <w:r>
        <w:rPr>
          <w:rFonts w:ascii="仿宋_GB2312" w:hAnsi="仿宋" w:eastAsia="仿宋_GB2312" w:cs="宋体"/>
          <w:sz w:val="32"/>
          <w:szCs w:val="32"/>
        </w:rPr>
        <w:t>15</w:t>
      </w:r>
      <w:r>
        <w:rPr>
          <w:rFonts w:hint="eastAsia" w:ascii="仿宋_GB2312" w:hAnsi="仿宋" w:eastAsia="仿宋_GB2312" w:cs="宋体"/>
          <w:sz w:val="32"/>
          <w:szCs w:val="32"/>
        </w:rPr>
        <w:t>号、自治区人大、地区人大工位及县委指示批示精神、我单位年初制定的工作计划等规定立项，并在实际执行时结合我单位实际情况，稳步推进，旨在提高自治区人大、地区人大及县人大工作成员工作积极性和工作热情，积极维护我县社会长治久安。项目设立与国家政策和部门职能相符。</w:t>
      </w:r>
    </w:p>
    <w:p>
      <w:pPr>
        <w:numPr>
          <w:ilvl w:val="0"/>
          <w:numId w:val="7"/>
        </w:num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决策程序</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最后由叶城</w:t>
      </w:r>
      <w:r>
        <w:rPr>
          <w:rFonts w:hint="eastAsia" w:ascii="仿宋_GB2312" w:hAnsi="仿宋" w:eastAsia="仿宋_GB2312" w:cs="宋体"/>
          <w:sz w:val="32"/>
          <w:szCs w:val="32"/>
          <w:lang w:eastAsia="zh-CN"/>
        </w:rPr>
        <w:t>县人大常委会办公室</w:t>
      </w:r>
      <w:r>
        <w:rPr>
          <w:rFonts w:hint="eastAsia" w:ascii="仿宋_GB2312" w:hAnsi="仿宋" w:eastAsia="仿宋_GB2312" w:cs="宋体"/>
          <w:sz w:val="32"/>
          <w:szCs w:val="32"/>
        </w:rPr>
        <w:t>申请，经过多次讨论，确定工作人员名单，并按要求将该项工作列入年初工作计划、每次实施该项目前将相关申请报告报送县委批示指示，对申报项目进行研讨、分析。故该项目预算前期编制进行了实地调查论证及充分研究，预算编制谨慎。</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7</w:t>
      </w:r>
      <w:r>
        <w:rPr>
          <w:rFonts w:hint="eastAsia" w:ascii="仿宋_GB2312" w:hAnsi="仿宋" w:eastAsia="仿宋_GB2312" w:cs="宋体"/>
          <w:sz w:val="32"/>
          <w:szCs w:val="32"/>
        </w:rPr>
        <w:t>月经财政局审核批准逐级下达预算批复后，项目开始实施。该项目决策程序合规合法。</w:t>
      </w:r>
    </w:p>
    <w:p>
      <w:pPr>
        <w:numPr>
          <w:ilvl w:val="0"/>
          <w:numId w:val="7"/>
        </w:num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目标设置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前期项目单位已设置了明确、量化的绩效目标，但其部分绩效指标的设置过于笼统不够细化，经评价小组与叶城县绩效第三方进行咨询商议，将原有的绩效目标和绩效指标根据项目实际开展情况进一步细化，将绩效目标细分，精准设置绩效指标及准确指标值的表述，因此该项目绩效评价指标体系可明确反映项目目标。</w:t>
      </w:r>
    </w:p>
    <w:p>
      <w:pPr>
        <w:pStyle w:val="28"/>
        <w:numPr>
          <w:ilvl w:val="0"/>
          <w:numId w:val="6"/>
        </w:numPr>
        <w:spacing w:line="560" w:lineRule="exact"/>
        <w:ind w:left="0" w:firstLine="31680"/>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numPr>
          <w:ilvl w:val="0"/>
          <w:numId w:val="8"/>
        </w:num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资金管理</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叶城</w:t>
      </w:r>
      <w:r>
        <w:rPr>
          <w:rFonts w:hint="eastAsia" w:ascii="仿宋_GB2312" w:hAnsi="仿宋" w:eastAsia="仿宋_GB2312" w:cs="宋体"/>
          <w:sz w:val="32"/>
          <w:szCs w:val="32"/>
          <w:lang w:eastAsia="zh-CN"/>
        </w:rPr>
        <w:t>县人大常委会办公室</w:t>
      </w:r>
      <w:r>
        <w:rPr>
          <w:rFonts w:hint="eastAsia" w:ascii="仿宋_GB2312" w:hAnsi="仿宋" w:eastAsia="仿宋_GB2312" w:cs="宋体"/>
          <w:sz w:val="32"/>
          <w:szCs w:val="32"/>
        </w:rPr>
        <w:t>根据《叶城</w:t>
      </w:r>
      <w:r>
        <w:rPr>
          <w:rFonts w:hint="eastAsia" w:ascii="仿宋_GB2312" w:hAnsi="仿宋" w:eastAsia="仿宋_GB2312" w:cs="宋体"/>
          <w:sz w:val="32"/>
          <w:szCs w:val="32"/>
          <w:lang w:eastAsia="zh-CN"/>
        </w:rPr>
        <w:t>县人大常委会办公室</w:t>
      </w:r>
      <w:r>
        <w:rPr>
          <w:rFonts w:hint="eastAsia" w:ascii="仿宋_GB2312" w:hAnsi="仿宋" w:eastAsia="仿宋_GB2312" w:cs="宋体"/>
          <w:sz w:val="32"/>
          <w:szCs w:val="32"/>
        </w:rPr>
        <w:t>专项资金管理制度》进行支付，实行实施一个项目，支付一笔资金、报账一笔资金，资金跟着项目走，项目跟着需求走。资金按时到位，到位率</w:t>
      </w:r>
      <w:r>
        <w:rPr>
          <w:rFonts w:ascii="仿宋_GB2312" w:hAnsi="仿宋" w:eastAsia="仿宋_GB2312" w:cs="宋体"/>
          <w:sz w:val="32"/>
          <w:szCs w:val="32"/>
        </w:rPr>
        <w:t>100%</w:t>
      </w:r>
      <w:r>
        <w:rPr>
          <w:rFonts w:hint="eastAsia" w:ascii="仿宋_GB2312" w:hAnsi="仿宋" w:eastAsia="仿宋_GB2312" w:cs="宋体"/>
          <w:sz w:val="32"/>
          <w:szCs w:val="32"/>
        </w:rPr>
        <w:t>。项目资金到位保证足额及时，及时支付，并制定相应的资金管理制度《叶城</w:t>
      </w:r>
      <w:r>
        <w:rPr>
          <w:rFonts w:hint="eastAsia" w:ascii="仿宋_GB2312" w:hAnsi="仿宋" w:eastAsia="仿宋_GB2312" w:cs="宋体"/>
          <w:sz w:val="32"/>
          <w:szCs w:val="32"/>
          <w:lang w:eastAsia="zh-CN"/>
        </w:rPr>
        <w:t>县人大常委会办公室</w:t>
      </w:r>
      <w:r>
        <w:rPr>
          <w:rFonts w:hint="eastAsia" w:ascii="仿宋_GB2312" w:hAnsi="仿宋" w:eastAsia="仿宋_GB2312" w:cs="宋体"/>
          <w:sz w:val="32"/>
          <w:szCs w:val="32"/>
        </w:rPr>
        <w:t>专项资金管理制度》，符合国家法规和财务管理制度；坚决保证资金拨付流程合理合规，有完整的审批程序和手续，不存在截留、挤占、挪用、虚列支出等情况。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2</w:t>
      </w:r>
      <w:r>
        <w:rPr>
          <w:rFonts w:hint="eastAsia" w:ascii="仿宋_GB2312" w:hAnsi="仿宋" w:eastAsia="仿宋_GB2312" w:cs="宋体"/>
          <w:sz w:val="32"/>
          <w:szCs w:val="32"/>
        </w:rPr>
        <w:t>）组织实施</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叶城</w:t>
      </w:r>
      <w:r>
        <w:rPr>
          <w:rFonts w:hint="eastAsia" w:ascii="仿宋_GB2312" w:hAnsi="仿宋" w:eastAsia="仿宋_GB2312" w:cs="宋体"/>
          <w:sz w:val="32"/>
          <w:szCs w:val="32"/>
          <w:lang w:eastAsia="zh-CN"/>
        </w:rPr>
        <w:t>县人大常委会办公室</w:t>
      </w:r>
      <w:r>
        <w:rPr>
          <w:rFonts w:hint="eastAsia" w:ascii="仿宋_GB2312" w:hAnsi="仿宋" w:eastAsia="仿宋_GB2312" w:cs="宋体"/>
          <w:sz w:val="32"/>
          <w:szCs w:val="32"/>
        </w:rPr>
        <w:t>在项目管理上总体情况较好。该项目预算资金安排</w:t>
      </w:r>
      <w:r>
        <w:rPr>
          <w:rFonts w:ascii="仿宋_GB2312" w:hAnsi="仿宋" w:eastAsia="仿宋_GB2312" w:cs="宋体"/>
          <w:sz w:val="32"/>
          <w:szCs w:val="32"/>
        </w:rPr>
        <w:t>25</w:t>
      </w:r>
      <w:r>
        <w:rPr>
          <w:rFonts w:hint="eastAsia" w:ascii="仿宋_GB2312" w:hAnsi="仿宋" w:eastAsia="仿宋_GB2312" w:cs="宋体"/>
          <w:sz w:val="32"/>
          <w:szCs w:val="32"/>
        </w:rPr>
        <w:t>万元，项目实际使用资金</w:t>
      </w:r>
      <w:r>
        <w:rPr>
          <w:rFonts w:ascii="仿宋_GB2312" w:hAnsi="仿宋" w:eastAsia="仿宋_GB2312" w:cs="宋体"/>
          <w:sz w:val="32"/>
          <w:szCs w:val="32"/>
        </w:rPr>
        <w:t>25</w:t>
      </w:r>
      <w:r>
        <w:rPr>
          <w:rFonts w:hint="eastAsia" w:ascii="仿宋_GB2312" w:hAnsi="仿宋" w:eastAsia="仿宋_GB2312" w:cs="宋体"/>
          <w:sz w:val="32"/>
          <w:szCs w:val="32"/>
        </w:rPr>
        <w:t>万元，资金按照规定制度及时支付到位。为保证资金的高效、合规使用，叶城</w:t>
      </w:r>
      <w:r>
        <w:rPr>
          <w:rFonts w:hint="eastAsia" w:ascii="仿宋_GB2312" w:hAnsi="仿宋" w:eastAsia="仿宋_GB2312" w:cs="宋体"/>
          <w:sz w:val="32"/>
          <w:szCs w:val="32"/>
          <w:lang w:eastAsia="zh-CN"/>
        </w:rPr>
        <w:t>县人大常委会办公室</w:t>
      </w:r>
      <w:r>
        <w:rPr>
          <w:rFonts w:hint="eastAsia" w:ascii="仿宋_GB2312" w:hAnsi="仿宋" w:eastAsia="仿宋_GB2312" w:cs="宋体"/>
          <w:sz w:val="32"/>
          <w:szCs w:val="32"/>
        </w:rPr>
        <w:t>制定并依据项目实施方案，有效促进了项目资金支出管理工作。</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从制度建设看：制定了相应的管理制度。</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从过程控制部分看：严格按照资金支出的管理办法，对审批过程和流程进行了统一和规范，确保项目高质量完成。</w:t>
      </w:r>
    </w:p>
    <w:p>
      <w:pPr>
        <w:pStyle w:val="28"/>
        <w:numPr>
          <w:ilvl w:val="0"/>
          <w:numId w:val="6"/>
        </w:numPr>
        <w:spacing w:line="560" w:lineRule="exact"/>
        <w:ind w:left="0" w:firstLine="31680"/>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本项目根据新财行【</w:t>
      </w:r>
      <w:r>
        <w:rPr>
          <w:rFonts w:ascii="仿宋_GB2312" w:hAnsi="仿宋" w:eastAsia="仿宋_GB2312" w:cs="宋体"/>
          <w:sz w:val="32"/>
          <w:szCs w:val="32"/>
        </w:rPr>
        <w:t>2018</w:t>
      </w:r>
      <w:r>
        <w:rPr>
          <w:rFonts w:hint="eastAsia" w:ascii="仿宋_GB2312" w:hAnsi="仿宋" w:eastAsia="仿宋_GB2312" w:cs="宋体"/>
          <w:sz w:val="32"/>
          <w:szCs w:val="32"/>
        </w:rPr>
        <w:t>】</w:t>
      </w:r>
      <w:r>
        <w:rPr>
          <w:rFonts w:ascii="仿宋_GB2312" w:hAnsi="仿宋" w:eastAsia="仿宋_GB2312" w:cs="宋体"/>
          <w:sz w:val="32"/>
          <w:szCs w:val="32"/>
        </w:rPr>
        <w:t>368</w:t>
      </w:r>
      <w:r>
        <w:rPr>
          <w:rFonts w:hint="eastAsia" w:ascii="仿宋_GB2312" w:hAnsi="仿宋" w:eastAsia="仿宋_GB2312" w:cs="宋体"/>
          <w:sz w:val="32"/>
          <w:szCs w:val="32"/>
        </w:rPr>
        <w:t>号、喀地财行【</w:t>
      </w:r>
      <w:r>
        <w:rPr>
          <w:rFonts w:ascii="仿宋_GB2312" w:hAnsi="仿宋" w:eastAsia="仿宋_GB2312" w:cs="宋体"/>
          <w:sz w:val="32"/>
          <w:szCs w:val="32"/>
        </w:rPr>
        <w:t>2019</w:t>
      </w:r>
      <w:r>
        <w:rPr>
          <w:rFonts w:hint="eastAsia" w:ascii="仿宋_GB2312" w:hAnsi="仿宋" w:eastAsia="仿宋_GB2312" w:cs="宋体"/>
          <w:sz w:val="32"/>
          <w:szCs w:val="32"/>
        </w:rPr>
        <w:t>】</w:t>
      </w:r>
      <w:r>
        <w:rPr>
          <w:rFonts w:ascii="仿宋_GB2312" w:hAnsi="仿宋" w:eastAsia="仿宋_GB2312" w:cs="宋体"/>
          <w:sz w:val="32"/>
          <w:szCs w:val="32"/>
        </w:rPr>
        <w:t>15</w:t>
      </w:r>
      <w:r>
        <w:rPr>
          <w:rFonts w:hint="eastAsia" w:ascii="仿宋_GB2312" w:hAnsi="仿宋" w:eastAsia="仿宋_GB2312" w:cs="宋体"/>
          <w:sz w:val="32"/>
          <w:szCs w:val="32"/>
        </w:rPr>
        <w:t>号有关规定立项，旨在提高自治区人大、地区人大及县人大基层工作成员的工作积极性和工作热情，进一步提升服务水平，为我县社会长治久安打下坚实基础。</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本项目为</w:t>
      </w:r>
      <w:r>
        <w:rPr>
          <w:rFonts w:ascii="仿宋_GB2312" w:hAnsi="仿宋" w:eastAsia="仿宋_GB2312" w:cs="宋体"/>
          <w:sz w:val="32"/>
          <w:szCs w:val="32"/>
        </w:rPr>
        <w:t>2019</w:t>
      </w:r>
      <w:r>
        <w:rPr>
          <w:rFonts w:hint="eastAsia" w:ascii="仿宋_GB2312" w:hAnsi="仿宋" w:eastAsia="仿宋_GB2312" w:cs="宋体"/>
          <w:sz w:val="32"/>
          <w:szCs w:val="32"/>
        </w:rPr>
        <w:t>年基层人大经费补助项目，在</w:t>
      </w:r>
      <w:r>
        <w:rPr>
          <w:rFonts w:ascii="仿宋_GB2312" w:hAnsi="仿宋" w:eastAsia="仿宋_GB2312" w:cs="宋体"/>
          <w:sz w:val="32"/>
          <w:szCs w:val="32"/>
        </w:rPr>
        <w:t>2019</w:t>
      </w:r>
      <w:r>
        <w:rPr>
          <w:rFonts w:hint="eastAsia" w:ascii="仿宋_GB2312" w:hAnsi="仿宋" w:eastAsia="仿宋_GB2312" w:cs="宋体"/>
          <w:sz w:val="32"/>
          <w:szCs w:val="32"/>
        </w:rPr>
        <w:t>年度工作中表现根据年初设定绩效指标严格执行，完成良好。指标完成率</w:t>
      </w:r>
      <w:r>
        <w:rPr>
          <w:rFonts w:ascii="仿宋_GB2312" w:hAnsi="仿宋" w:eastAsia="仿宋_GB2312" w:cs="宋体"/>
          <w:sz w:val="32"/>
          <w:szCs w:val="32"/>
        </w:rPr>
        <w:t>100%</w:t>
      </w:r>
      <w:r>
        <w:rPr>
          <w:rFonts w:hint="eastAsia" w:ascii="仿宋_GB2312" w:hAnsi="仿宋" w:eastAsia="仿宋_GB2312" w:cs="宋体"/>
          <w:sz w:val="32"/>
          <w:szCs w:val="32"/>
        </w:rPr>
        <w:t>。</w:t>
      </w:r>
    </w:p>
    <w:tbl>
      <w:tblPr>
        <w:tblStyle w:val="14"/>
        <w:tblW w:w="7650" w:type="dxa"/>
        <w:tblInd w:w="0" w:type="dxa"/>
        <w:tblLayout w:type="fixed"/>
        <w:tblCellMar>
          <w:top w:w="0" w:type="dxa"/>
          <w:left w:w="0" w:type="dxa"/>
          <w:bottom w:w="0" w:type="dxa"/>
          <w:right w:w="0" w:type="dxa"/>
        </w:tblCellMar>
      </w:tblPr>
      <w:tblGrid>
        <w:gridCol w:w="1185"/>
        <w:gridCol w:w="1185"/>
        <w:gridCol w:w="3120"/>
        <w:gridCol w:w="1080"/>
        <w:gridCol w:w="1080"/>
      </w:tblGrid>
      <w:tr>
        <w:tblPrEx>
          <w:tblCellMar>
            <w:top w:w="0" w:type="dxa"/>
            <w:left w:w="0" w:type="dxa"/>
            <w:bottom w:w="0" w:type="dxa"/>
            <w:right w:w="0" w:type="dxa"/>
          </w:tblCellMar>
        </w:tblPrEx>
        <w:trPr>
          <w:trHeight w:val="500" w:hRule="atLeast"/>
        </w:trPr>
        <w:tc>
          <w:tcPr>
            <w:tcW w:w="11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一级指标</w:t>
            </w:r>
          </w:p>
        </w:tc>
        <w:tc>
          <w:tcPr>
            <w:tcW w:w="11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二级指标</w:t>
            </w:r>
          </w:p>
        </w:tc>
        <w:tc>
          <w:tcPr>
            <w:tcW w:w="31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三级指标</w:t>
            </w:r>
          </w:p>
        </w:tc>
        <w:tc>
          <w:tcPr>
            <w:tcW w:w="1080"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年度指标值</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实际完成值</w:t>
            </w:r>
          </w:p>
        </w:tc>
      </w:tr>
      <w:tr>
        <w:tblPrEx>
          <w:tblCellMar>
            <w:top w:w="0" w:type="dxa"/>
            <w:left w:w="0" w:type="dxa"/>
            <w:bottom w:w="0" w:type="dxa"/>
            <w:right w:w="0" w:type="dxa"/>
          </w:tblCellMar>
        </w:tblPrEx>
        <w:trPr>
          <w:trHeight w:val="500" w:hRule="atLeast"/>
        </w:trPr>
        <w:tc>
          <w:tcPr>
            <w:tcW w:w="118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产出指标</w:t>
            </w:r>
          </w:p>
        </w:tc>
        <w:tc>
          <w:tcPr>
            <w:tcW w:w="118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数量指标</w:t>
            </w:r>
          </w:p>
        </w:tc>
        <w:tc>
          <w:tcPr>
            <w:tcW w:w="31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驻村工作组数量（个）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19</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19</w:t>
            </w:r>
          </w:p>
        </w:tc>
      </w:tr>
      <w:tr>
        <w:tblPrEx>
          <w:tblCellMar>
            <w:top w:w="0" w:type="dxa"/>
            <w:left w:w="0" w:type="dxa"/>
            <w:bottom w:w="0" w:type="dxa"/>
            <w:right w:w="0" w:type="dxa"/>
          </w:tblCellMar>
        </w:tblPrEx>
        <w:trPr>
          <w:trHeight w:val="500" w:hRule="atLeast"/>
        </w:trPr>
        <w:tc>
          <w:tcPr>
            <w:tcW w:w="118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18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31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每年开展走访慰问次数（次）</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6</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6</w:t>
            </w:r>
          </w:p>
        </w:tc>
      </w:tr>
      <w:tr>
        <w:tblPrEx>
          <w:tblCellMar>
            <w:top w:w="0" w:type="dxa"/>
            <w:left w:w="0" w:type="dxa"/>
            <w:bottom w:w="0" w:type="dxa"/>
            <w:right w:w="0" w:type="dxa"/>
          </w:tblCellMar>
        </w:tblPrEx>
        <w:trPr>
          <w:trHeight w:val="500" w:hRule="atLeast"/>
        </w:trPr>
        <w:tc>
          <w:tcPr>
            <w:tcW w:w="118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1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质量指标</w:t>
            </w:r>
          </w:p>
        </w:tc>
        <w:tc>
          <w:tcPr>
            <w:tcW w:w="31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活动经费保障率（</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r>
      <w:tr>
        <w:tblPrEx>
          <w:tblCellMar>
            <w:top w:w="0" w:type="dxa"/>
            <w:left w:w="0" w:type="dxa"/>
            <w:bottom w:w="0" w:type="dxa"/>
            <w:right w:w="0" w:type="dxa"/>
          </w:tblCellMar>
        </w:tblPrEx>
        <w:trPr>
          <w:trHeight w:val="500" w:hRule="atLeast"/>
        </w:trPr>
        <w:tc>
          <w:tcPr>
            <w:tcW w:w="118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1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时效指标</w:t>
            </w:r>
          </w:p>
        </w:tc>
        <w:tc>
          <w:tcPr>
            <w:tcW w:w="31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资金拨付及时率（</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r>
      <w:tr>
        <w:tblPrEx>
          <w:tblCellMar>
            <w:top w:w="0" w:type="dxa"/>
            <w:left w:w="0" w:type="dxa"/>
            <w:bottom w:w="0" w:type="dxa"/>
            <w:right w:w="0" w:type="dxa"/>
          </w:tblCellMar>
        </w:tblPrEx>
        <w:trPr>
          <w:trHeight w:val="500" w:hRule="atLeast"/>
        </w:trPr>
        <w:tc>
          <w:tcPr>
            <w:tcW w:w="118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1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成本指标</w:t>
            </w:r>
          </w:p>
        </w:tc>
        <w:tc>
          <w:tcPr>
            <w:tcW w:w="31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平均每次慰问活动支出（元）</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2192.99</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2192.99</w:t>
            </w:r>
          </w:p>
        </w:tc>
      </w:tr>
    </w:tbl>
    <w:p>
      <w:pPr>
        <w:pStyle w:val="28"/>
        <w:spacing w:line="560" w:lineRule="exact"/>
        <w:ind w:firstLine="31680"/>
        <w:rPr>
          <w:rFonts w:ascii="仿宋_GB2312" w:hAnsi="仿宋" w:eastAsia="仿宋_GB2312" w:cs="宋体"/>
          <w:b/>
          <w:bCs/>
          <w:sz w:val="32"/>
          <w:szCs w:val="32"/>
        </w:rPr>
      </w:pPr>
      <w:r>
        <w:rPr>
          <w:rFonts w:hint="eastAsia" w:ascii="仿宋_GB2312" w:hAnsi="仿宋" w:eastAsia="仿宋_GB2312" w:cs="宋体"/>
          <w:b/>
          <w:bCs/>
          <w:sz w:val="32"/>
          <w:szCs w:val="32"/>
        </w:rPr>
        <w:t>（四）项目效益情况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项目的实施周期为</w:t>
      </w:r>
      <w:r>
        <w:rPr>
          <w:rFonts w:ascii="仿宋_GB2312" w:hAnsi="仿宋" w:eastAsia="仿宋_GB2312" w:cs="宋体"/>
          <w:sz w:val="32"/>
          <w:szCs w:val="32"/>
        </w:rPr>
        <w:t>12</w:t>
      </w:r>
      <w:r>
        <w:rPr>
          <w:rFonts w:hint="eastAsia" w:ascii="仿宋_GB2312" w:hAnsi="仿宋" w:eastAsia="仿宋_GB2312" w:cs="宋体"/>
          <w:sz w:val="32"/>
          <w:szCs w:val="32"/>
        </w:rPr>
        <w:t>个月，持续影响范围广大且深远，首先增加了我县农副产品的需求</w:t>
      </w:r>
      <w:r>
        <w:rPr>
          <w:rFonts w:ascii="仿宋_GB2312" w:hAnsi="仿宋" w:eastAsia="仿宋_GB2312" w:cs="宋体"/>
          <w:sz w:val="32"/>
          <w:szCs w:val="32"/>
        </w:rPr>
        <w:t>,</w:t>
      </w:r>
      <w:r>
        <w:rPr>
          <w:rFonts w:hint="eastAsia" w:ascii="仿宋_GB2312" w:hAnsi="仿宋" w:eastAsia="仿宋_GB2312" w:cs="宋体"/>
          <w:sz w:val="32"/>
          <w:szCs w:val="32"/>
        </w:rPr>
        <w:t>带动了消费，拉动了我县经济，提高了自治区人大、地区人大及县人大工作成</w:t>
      </w:r>
      <w:r>
        <w:rPr>
          <w:rFonts w:ascii="仿宋_GB2312" w:hAnsi="仿宋" w:eastAsia="仿宋_GB2312" w:cs="宋体"/>
          <w:sz w:val="32"/>
          <w:szCs w:val="32"/>
        </w:rPr>
        <w:t xml:space="preserve"> </w:t>
      </w:r>
      <w:r>
        <w:rPr>
          <w:rFonts w:hint="eastAsia" w:ascii="仿宋_GB2312" w:hAnsi="仿宋" w:eastAsia="仿宋_GB2312" w:cs="宋体"/>
          <w:sz w:val="32"/>
          <w:szCs w:val="32"/>
        </w:rPr>
        <w:t>员的工作积极性，使基层干部感受到组织的关心关爱，有效的维护了我县社会大局，经济持续发展。项目建设体现了组织部门对广大干部的关心关爱，提高了广大基层干部的工作积极性，体现了组织对广大干部的温暖和关爱。</w:t>
      </w:r>
    </w:p>
    <w:tbl>
      <w:tblPr>
        <w:tblStyle w:val="14"/>
        <w:tblW w:w="7650" w:type="dxa"/>
        <w:tblInd w:w="0" w:type="dxa"/>
        <w:tblLayout w:type="fixed"/>
        <w:tblCellMar>
          <w:top w:w="0" w:type="dxa"/>
          <w:left w:w="0" w:type="dxa"/>
          <w:bottom w:w="0" w:type="dxa"/>
          <w:right w:w="0" w:type="dxa"/>
        </w:tblCellMar>
      </w:tblPr>
      <w:tblGrid>
        <w:gridCol w:w="1185"/>
        <w:gridCol w:w="1185"/>
        <w:gridCol w:w="3120"/>
        <w:gridCol w:w="1080"/>
        <w:gridCol w:w="1080"/>
      </w:tblGrid>
      <w:tr>
        <w:tblPrEx>
          <w:tblCellMar>
            <w:top w:w="0" w:type="dxa"/>
            <w:left w:w="0" w:type="dxa"/>
            <w:bottom w:w="0" w:type="dxa"/>
            <w:right w:w="0" w:type="dxa"/>
          </w:tblCellMar>
        </w:tblPrEx>
        <w:trPr>
          <w:trHeight w:val="500" w:hRule="atLeast"/>
        </w:trPr>
        <w:tc>
          <w:tcPr>
            <w:tcW w:w="11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一级指标</w:t>
            </w:r>
          </w:p>
        </w:tc>
        <w:tc>
          <w:tcPr>
            <w:tcW w:w="11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二级指标</w:t>
            </w:r>
          </w:p>
        </w:tc>
        <w:tc>
          <w:tcPr>
            <w:tcW w:w="31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三级指标</w:t>
            </w:r>
          </w:p>
        </w:tc>
        <w:tc>
          <w:tcPr>
            <w:tcW w:w="1080"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年度指标值</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实际完成值</w:t>
            </w:r>
          </w:p>
        </w:tc>
      </w:tr>
      <w:tr>
        <w:tblPrEx>
          <w:tblCellMar>
            <w:top w:w="0" w:type="dxa"/>
            <w:left w:w="0" w:type="dxa"/>
            <w:bottom w:w="0" w:type="dxa"/>
            <w:right w:w="0" w:type="dxa"/>
          </w:tblCellMar>
        </w:tblPrEx>
        <w:trPr>
          <w:trHeight w:val="500" w:hRule="atLeast"/>
        </w:trPr>
        <w:tc>
          <w:tcPr>
            <w:tcW w:w="118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效益指标</w:t>
            </w:r>
          </w:p>
        </w:tc>
        <w:tc>
          <w:tcPr>
            <w:tcW w:w="118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经济效益指标</w:t>
            </w:r>
          </w:p>
        </w:tc>
        <w:tc>
          <w:tcPr>
            <w:tcW w:w="31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eastAsia="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r>
      <w:tr>
        <w:tblPrEx>
          <w:tblCellMar>
            <w:top w:w="0" w:type="dxa"/>
            <w:left w:w="0" w:type="dxa"/>
            <w:bottom w:w="0" w:type="dxa"/>
            <w:right w:w="0" w:type="dxa"/>
          </w:tblCellMar>
        </w:tblPrEx>
        <w:trPr>
          <w:trHeight w:val="500" w:hRule="atLeast"/>
        </w:trPr>
        <w:tc>
          <w:tcPr>
            <w:tcW w:w="118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18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社会效益指标</w:t>
            </w:r>
          </w:p>
        </w:tc>
        <w:tc>
          <w:tcPr>
            <w:tcW w:w="31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慰问活动对我县社会产生积极作用</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95%</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90%</w:t>
            </w:r>
          </w:p>
        </w:tc>
      </w:tr>
      <w:tr>
        <w:tblPrEx>
          <w:tblCellMar>
            <w:top w:w="0" w:type="dxa"/>
            <w:left w:w="0" w:type="dxa"/>
            <w:bottom w:w="0" w:type="dxa"/>
            <w:right w:w="0" w:type="dxa"/>
          </w:tblCellMar>
        </w:tblPrEx>
        <w:trPr>
          <w:trHeight w:val="500" w:hRule="atLeast"/>
        </w:trPr>
        <w:tc>
          <w:tcPr>
            <w:tcW w:w="118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18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生态效益指标</w:t>
            </w:r>
          </w:p>
        </w:tc>
        <w:tc>
          <w:tcPr>
            <w:tcW w:w="31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eastAsia="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r>
      <w:tr>
        <w:tblPrEx>
          <w:tblCellMar>
            <w:top w:w="0" w:type="dxa"/>
            <w:left w:w="0" w:type="dxa"/>
            <w:bottom w:w="0" w:type="dxa"/>
            <w:right w:w="0" w:type="dxa"/>
          </w:tblCellMar>
        </w:tblPrEx>
        <w:trPr>
          <w:trHeight w:val="500" w:hRule="atLeast"/>
        </w:trPr>
        <w:tc>
          <w:tcPr>
            <w:tcW w:w="118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1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可持续影响指标</w:t>
            </w:r>
          </w:p>
        </w:tc>
        <w:tc>
          <w:tcPr>
            <w:tcW w:w="31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项目可持续时限（月）</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12</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12</w:t>
            </w:r>
          </w:p>
        </w:tc>
      </w:tr>
      <w:tr>
        <w:tblPrEx>
          <w:tblCellMar>
            <w:top w:w="0" w:type="dxa"/>
            <w:left w:w="0" w:type="dxa"/>
            <w:bottom w:w="0" w:type="dxa"/>
            <w:right w:w="0" w:type="dxa"/>
          </w:tblCellMar>
        </w:tblPrEx>
        <w:trPr>
          <w:trHeight w:val="500" w:hRule="atLeast"/>
        </w:trPr>
        <w:tc>
          <w:tcPr>
            <w:tcW w:w="1185"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满意度指标</w:t>
            </w:r>
          </w:p>
        </w:tc>
        <w:tc>
          <w:tcPr>
            <w:tcW w:w="11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服务对象满意度指标</w:t>
            </w:r>
          </w:p>
        </w:tc>
        <w:tc>
          <w:tcPr>
            <w:tcW w:w="31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开展慰问活动，驻村工作队满意度</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90%</w:t>
            </w:r>
            <w:r>
              <w:rPr>
                <w:rFonts w:hint="eastAsia" w:ascii="宋体" w:hAnsi="宋体" w:eastAsia="宋体" w:cs="宋体"/>
                <w:color w:val="000000"/>
                <w:kern w:val="0"/>
                <w:sz w:val="18"/>
                <w:szCs w:val="18"/>
              </w:rPr>
              <w:t>　</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90%</w:t>
            </w:r>
          </w:p>
        </w:tc>
      </w:tr>
    </w:tbl>
    <w:p>
      <w:pPr>
        <w:pStyle w:val="29"/>
        <w:spacing w:before="0" w:after="0" w:line="560" w:lineRule="exact"/>
        <w:ind w:firstLine="31680"/>
      </w:pPr>
      <w:r>
        <w:rPr>
          <w:rFonts w:hint="eastAsia" w:ascii="黑体" w:hAnsi="黑体"/>
        </w:rPr>
        <w:t>五、主要经验及做法、存在的问题及原因分析</w:t>
      </w:r>
    </w:p>
    <w:p>
      <w:pPr>
        <w:pStyle w:val="30"/>
        <w:numPr>
          <w:ilvl w:val="0"/>
          <w:numId w:val="9"/>
        </w:numPr>
        <w:spacing w:before="0" w:after="0" w:line="560" w:lineRule="exact"/>
        <w:ind w:left="0" w:firstLine="643" w:firstLineChars="200"/>
      </w:pPr>
      <w:r>
        <w:rPr>
          <w:rFonts w:hint="eastAsia"/>
        </w:rPr>
        <w:t>主要经验及做法</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项目的实施进一步激励了工作人员的积极性，通过实施该项目，有效加强了基层人员的荣誉感和使命感。</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（二）存在的问题</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项目实施人员较少，前期准备工作压力大，因工作需要，本单位大部分同志在基层工作，机关留守人员相对较少，本项目的实施人员较少，感觉力不从心。</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项目预算绩效目前刚刚开始，作为新生事物，各种管理工作不全面，管理意识薄弱，预算管理意识不强，管理没有条理，不系统，没有建立专门的制度。在项目进行过程中，影响项目的实施的效率及效益。</w:t>
      </w:r>
    </w:p>
    <w:p>
      <w:pPr>
        <w:pStyle w:val="29"/>
        <w:spacing w:before="0" w:after="0" w:line="560" w:lineRule="exact"/>
        <w:ind w:left="420" w:leftChars="200" w:firstLine="321" w:firstLineChars="100"/>
        <w:rPr>
          <w:rFonts w:ascii="黑体"/>
        </w:rPr>
      </w:pPr>
      <w:r>
        <w:rPr>
          <w:rFonts w:hint="eastAsia" w:ascii="黑体" w:hAnsi="黑体"/>
        </w:rPr>
        <w:t>六、有关建议</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 xml:space="preserve">1. </w:t>
      </w:r>
      <w:r>
        <w:rPr>
          <w:rFonts w:hint="eastAsia" w:ascii="仿宋_GB2312" w:hAnsi="仿宋" w:eastAsia="仿宋_GB2312" w:cs="宋体"/>
          <w:sz w:val="32"/>
          <w:szCs w:val="32"/>
        </w:rPr>
        <w:t>强化前期准备，加强项目管理力度</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前期做好可行性研究报告，更加细化实施方案，严格执行资金管理办法和财政资金管理制度，严格按照项目实施方案稳步推进工作；项目启动时同步做好档案的归档与整理，及时整理、收集、汇总，健全档案资料；通过绩效管理，发现项目实施中存在漏洞，及时掌握与之相关的各类信息，减少成本，使资金效益最大化。</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 xml:space="preserve">2. </w:t>
      </w:r>
      <w:r>
        <w:rPr>
          <w:rFonts w:hint="eastAsia" w:ascii="仿宋_GB2312" w:hAnsi="仿宋" w:eastAsia="仿宋_GB2312" w:cs="宋体"/>
          <w:sz w:val="32"/>
          <w:szCs w:val="32"/>
        </w:rPr>
        <w:t>健全项目管理机制，加强管理意识</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按照预算支出内容，以结果为导向，设置合理的绩效目标，加强项目实施效果的管理；完善资金管理制度，树立监督管理责任意识，加强资金监管力度，完善资金监管制度，建立“预算编制有目标，预算执行有监控，预算完成有评价，评价结果有反馈，反馈结果有应用”的预算绩效管理机制。</w:t>
      </w:r>
    </w:p>
    <w:p>
      <w:pPr>
        <w:pStyle w:val="29"/>
        <w:spacing w:before="0" w:after="0" w:line="560" w:lineRule="exact"/>
        <w:ind w:left="420" w:leftChars="200" w:firstLine="321" w:firstLineChars="100"/>
        <w:rPr>
          <w:rFonts w:ascii="黑体"/>
        </w:rPr>
      </w:pPr>
      <w:r>
        <w:rPr>
          <w:rFonts w:hint="eastAsia" w:ascii="黑体" w:hAnsi="黑体"/>
        </w:rPr>
        <w:t>七、其他需要说明的问题</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无其他需要说明的问题。</w:t>
      </w:r>
    </w:p>
    <w:p>
      <w:pPr>
        <w:pStyle w:val="2"/>
        <w:rPr>
          <w:rFonts w:ascii="仿宋_GB2312" w:hAnsi="仿宋" w:eastAsia="仿宋_GB2312" w:cs="宋体"/>
          <w:sz w:val="32"/>
          <w:szCs w:val="32"/>
        </w:rPr>
      </w:pP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1</w:t>
      </w:r>
      <w:r>
        <w:rPr>
          <w:rFonts w:hint="eastAsia" w:ascii="仿宋_GB2312" w:hAnsi="仿宋" w:eastAsia="仿宋_GB2312" w:cs="宋体"/>
          <w:sz w:val="32"/>
          <w:szCs w:val="32"/>
        </w:rPr>
        <w:t>：喀什地区叶城县人民代表大会常务委员会办公室基层人大经费补助项目支出绩效目标申报表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2</w:t>
      </w:r>
      <w:r>
        <w:rPr>
          <w:rFonts w:hint="eastAsia" w:ascii="仿宋_GB2312" w:hAnsi="仿宋" w:eastAsia="仿宋_GB2312" w:cs="宋体"/>
          <w:sz w:val="32"/>
          <w:szCs w:val="32"/>
        </w:rPr>
        <w:t>：喀什地区叶城县人民代表大会常务委员会办公室基层人大经费补助项目支出绩效自评表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3</w:t>
      </w:r>
      <w:r>
        <w:rPr>
          <w:rFonts w:hint="eastAsia" w:ascii="仿宋_GB2312" w:hAnsi="仿宋" w:eastAsia="仿宋_GB2312" w:cs="宋体"/>
          <w:sz w:val="32"/>
          <w:szCs w:val="32"/>
        </w:rPr>
        <w:t>：喀什地区叶城县人民代表大会常务委员会办公室基层人大经费补助项目支出绩效评价指标体系</w:t>
      </w:r>
    </w:p>
    <w:p>
      <w:pPr>
        <w:spacing w:line="560" w:lineRule="exact"/>
        <w:ind w:firstLine="640" w:firstLineChars="200"/>
      </w:pPr>
      <w:r>
        <w:rPr>
          <w:rFonts w:hint="eastAsia" w:ascii="仿宋_GB2312" w:hAnsi="仿宋" w:eastAsia="仿宋_GB2312" w:cs="宋体"/>
          <w:sz w:val="32"/>
          <w:szCs w:val="32"/>
        </w:rPr>
        <w:t>附件</w:t>
      </w:r>
      <w:r>
        <w:rPr>
          <w:rFonts w:ascii="仿宋_GB2312" w:hAnsi="仿宋" w:eastAsia="仿宋_GB2312" w:cs="宋体"/>
          <w:sz w:val="32"/>
          <w:szCs w:val="32"/>
        </w:rPr>
        <w:t>4</w:t>
      </w:r>
      <w:r>
        <w:rPr>
          <w:rFonts w:hint="eastAsia" w:ascii="仿宋_GB2312" w:hAnsi="仿宋" w:eastAsia="仿宋_GB2312" w:cs="宋体"/>
          <w:sz w:val="32"/>
          <w:szCs w:val="32"/>
        </w:rPr>
        <w:t>：喀什地区部门支出绩效评价评分表</w:t>
      </w:r>
    </w:p>
    <w:sectPr>
      <w:headerReference r:id="rId3" w:type="default"/>
      <w:footerReference r:id="rId4"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等线 Ligh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spacing w:line="14" w:lineRule="auto"/>
      <w:jc w:val="left"/>
      <w:rPr>
        <w:rFonts w:ascii="仿宋" w:hAnsi="仿宋" w:eastAsia="仿宋" w:cs="仿宋"/>
        <w:sz w:val="20"/>
        <w:szCs w:val="28"/>
        <w:lang w:val="zh-CN"/>
      </w:rPr>
    </w:pPr>
    <w:r>
      <w:pict>
        <v:line id="_x0000_s2049" o:spid="_x0000_s2049" o:spt="20" style="position:absolute;left:0pt;margin-left:90pt;margin-top:57.5pt;height:0pt;width:415.3pt;mso-position-horizontal-relative:page;mso-position-vertical-relative:page;z-index:-251657216;mso-width-relative:page;mso-height-relative:page;" coordsize="21600,21600">
          <v:path arrowok="t"/>
          <v:fill focussize="0,0"/>
          <v:stroke weight="0.72pt"/>
          <v:imagedata o:title=""/>
          <o:lock v:ext="edit"/>
        </v:line>
      </w:pict>
    </w:r>
    <w:r>
      <w:pict>
        <v:shape id="_x0000_s2050" o:spid="_x0000_s2050" o:spt="202" type="#_x0000_t202" style="position:absolute;left:0pt;margin-left:270.65pt;margin-top:43.1pt;height:12.45pt;width:236.5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autoSpaceDE w:val="0"/>
                  <w:autoSpaceDN w:val="0"/>
                  <w:spacing w:line="249" w:lineRule="exact"/>
                  <w:jc w:val="left"/>
                  <w:rPr>
                    <w:rFonts w:ascii="仿宋" w:hAnsi="仿宋" w:eastAsia="仿宋" w:cs="仿宋"/>
                    <w:b/>
                    <w:kern w:val="0"/>
                    <w:szCs w:val="22"/>
                    <w:lang w:val="zh-CN"/>
                  </w:rPr>
                </w:pP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C46A58"/>
    <w:multiLevelType w:val="singleLevel"/>
    <w:tmpl w:val="8FC46A58"/>
    <w:lvl w:ilvl="0" w:tentative="0">
      <w:start w:val="5"/>
      <w:numFmt w:val="decimal"/>
      <w:lvlText w:val="%1."/>
      <w:lvlJc w:val="left"/>
      <w:pPr>
        <w:tabs>
          <w:tab w:val="left" w:pos="312"/>
        </w:tabs>
      </w:pPr>
      <w:rPr>
        <w:rFonts w:cs="Times New Roman"/>
      </w:rPr>
    </w:lvl>
  </w:abstractNum>
  <w:abstractNum w:abstractNumId="1">
    <w:nsid w:val="9A0F8EBA"/>
    <w:multiLevelType w:val="singleLevel"/>
    <w:tmpl w:val="9A0F8EBA"/>
    <w:lvl w:ilvl="0" w:tentative="0">
      <w:start w:val="1"/>
      <w:numFmt w:val="decimal"/>
      <w:suff w:val="nothing"/>
      <w:lvlText w:val="（%1）"/>
      <w:lvlJc w:val="left"/>
      <w:rPr>
        <w:rFonts w:cs="Times New Roman"/>
      </w:rPr>
    </w:lvl>
  </w:abstractNum>
  <w:abstractNum w:abstractNumId="2">
    <w:nsid w:val="F5D7B307"/>
    <w:multiLevelType w:val="singleLevel"/>
    <w:tmpl w:val="F5D7B307"/>
    <w:lvl w:ilvl="0" w:tentative="0">
      <w:start w:val="1"/>
      <w:numFmt w:val="decimal"/>
      <w:suff w:val="nothing"/>
      <w:lvlText w:val="（%1）"/>
      <w:lvlJc w:val="left"/>
      <w:rPr>
        <w:rFonts w:cs="Times New Roman"/>
      </w:rPr>
    </w:lvl>
  </w:abstractNum>
  <w:abstractNum w:abstractNumId="3">
    <w:nsid w:val="3A7260C0"/>
    <w:multiLevelType w:val="multilevel"/>
    <w:tmpl w:val="3A7260C0"/>
    <w:lvl w:ilvl="0" w:tentative="0">
      <w:start w:val="1"/>
      <w:numFmt w:val="chineseCountingThousand"/>
      <w:pStyle w:val="30"/>
      <w:lvlText w:val="(%1)"/>
      <w:lvlJc w:val="left"/>
      <w:pPr>
        <w:ind w:left="988"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4F37299F"/>
    <w:multiLevelType w:val="multilevel"/>
    <w:tmpl w:val="4F37299F"/>
    <w:lvl w:ilvl="0" w:tentative="0">
      <w:start w:val="1"/>
      <w:numFmt w:val="chineseCountingThousand"/>
      <w:lvlText w:val="(%1)"/>
      <w:lvlJc w:val="left"/>
      <w:pPr>
        <w:ind w:left="420" w:hanging="420"/>
      </w:pPr>
      <w:rPr>
        <w:rFonts w:hint="eastAsia" w:cs="Times New Roman"/>
      </w:rPr>
    </w:lvl>
    <w:lvl w:ilvl="1" w:tentative="0">
      <w:start w:val="1"/>
      <w:numFmt w:val="japaneseCounting"/>
      <w:lvlText w:val="（%2）"/>
      <w:lvlJc w:val="left"/>
      <w:pPr>
        <w:ind w:left="1500" w:hanging="1080"/>
      </w:pPr>
      <w:rPr>
        <w:rFonts w:hint="default"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54451D54"/>
    <w:multiLevelType w:val="multilevel"/>
    <w:tmpl w:val="54451D54"/>
    <w:lvl w:ilvl="0" w:tentative="0">
      <w:start w:val="1"/>
      <w:numFmt w:val="decimal"/>
      <w:lvlText w:val="%1．"/>
      <w:lvlJc w:val="left"/>
      <w:pPr>
        <w:ind w:left="1065" w:hanging="420"/>
      </w:pPr>
      <w:rPr>
        <w:rFonts w:hint="eastAsia" w:cs="Times New Roman"/>
      </w:rPr>
    </w:lvl>
    <w:lvl w:ilvl="1" w:tentative="0">
      <w:start w:val="1"/>
      <w:numFmt w:val="lowerLetter"/>
      <w:lvlText w:val="%2)"/>
      <w:lvlJc w:val="left"/>
      <w:pPr>
        <w:ind w:left="1485" w:hanging="420"/>
      </w:pPr>
      <w:rPr>
        <w:rFonts w:cs="Times New Roman"/>
      </w:rPr>
    </w:lvl>
    <w:lvl w:ilvl="2" w:tentative="0">
      <w:start w:val="1"/>
      <w:numFmt w:val="lowerRoman"/>
      <w:lvlText w:val="%3."/>
      <w:lvlJc w:val="right"/>
      <w:pPr>
        <w:ind w:left="1905" w:hanging="420"/>
      </w:pPr>
      <w:rPr>
        <w:rFonts w:cs="Times New Roman"/>
      </w:rPr>
    </w:lvl>
    <w:lvl w:ilvl="3" w:tentative="0">
      <w:start w:val="1"/>
      <w:numFmt w:val="decimal"/>
      <w:lvlText w:val="%4."/>
      <w:lvlJc w:val="left"/>
      <w:pPr>
        <w:ind w:left="2325" w:hanging="420"/>
      </w:pPr>
      <w:rPr>
        <w:rFonts w:cs="Times New Roman"/>
      </w:rPr>
    </w:lvl>
    <w:lvl w:ilvl="4" w:tentative="0">
      <w:start w:val="1"/>
      <w:numFmt w:val="lowerLetter"/>
      <w:lvlText w:val="%5)"/>
      <w:lvlJc w:val="left"/>
      <w:pPr>
        <w:ind w:left="2745" w:hanging="420"/>
      </w:pPr>
      <w:rPr>
        <w:rFonts w:cs="Times New Roman"/>
      </w:rPr>
    </w:lvl>
    <w:lvl w:ilvl="5" w:tentative="0">
      <w:start w:val="1"/>
      <w:numFmt w:val="lowerRoman"/>
      <w:lvlText w:val="%6."/>
      <w:lvlJc w:val="right"/>
      <w:pPr>
        <w:ind w:left="3165" w:hanging="420"/>
      </w:pPr>
      <w:rPr>
        <w:rFonts w:cs="Times New Roman"/>
      </w:rPr>
    </w:lvl>
    <w:lvl w:ilvl="6" w:tentative="0">
      <w:start w:val="1"/>
      <w:numFmt w:val="decimal"/>
      <w:lvlText w:val="%7."/>
      <w:lvlJc w:val="left"/>
      <w:pPr>
        <w:ind w:left="3585" w:hanging="420"/>
      </w:pPr>
      <w:rPr>
        <w:rFonts w:cs="Times New Roman"/>
      </w:rPr>
    </w:lvl>
    <w:lvl w:ilvl="7" w:tentative="0">
      <w:start w:val="1"/>
      <w:numFmt w:val="lowerLetter"/>
      <w:lvlText w:val="%8)"/>
      <w:lvlJc w:val="left"/>
      <w:pPr>
        <w:ind w:left="4005" w:hanging="420"/>
      </w:pPr>
      <w:rPr>
        <w:rFonts w:cs="Times New Roman"/>
      </w:rPr>
    </w:lvl>
    <w:lvl w:ilvl="8" w:tentative="0">
      <w:start w:val="1"/>
      <w:numFmt w:val="lowerRoman"/>
      <w:lvlText w:val="%9."/>
      <w:lvlJc w:val="right"/>
      <w:pPr>
        <w:ind w:left="4425" w:hanging="420"/>
      </w:pPr>
      <w:rPr>
        <w:rFonts w:cs="Times New Roman"/>
      </w:rPr>
    </w:lvl>
  </w:abstractNum>
  <w:abstractNum w:abstractNumId="6">
    <w:nsid w:val="5B493FDA"/>
    <w:multiLevelType w:val="multilevel"/>
    <w:tmpl w:val="5B493FDA"/>
    <w:lvl w:ilvl="0" w:tentative="0">
      <w:start w:val="1"/>
      <w:numFmt w:val="chineseCountingThousand"/>
      <w:lvlText w:val="(%1)"/>
      <w:lvlJc w:val="left"/>
      <w:pPr>
        <w:ind w:left="1060" w:hanging="420"/>
      </w:pPr>
      <w:rPr>
        <w:rFonts w:hint="eastAsia"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7">
    <w:nsid w:val="6757463D"/>
    <w:multiLevelType w:val="multilevel"/>
    <w:tmpl w:val="6757463D"/>
    <w:lvl w:ilvl="0" w:tentative="0">
      <w:start w:val="1"/>
      <w:numFmt w:val="chineseCountingThousand"/>
      <w:lvlText w:val="%1、"/>
      <w:lvlJc w:val="left"/>
      <w:pPr>
        <w:ind w:left="1063" w:hanging="420"/>
      </w:pPr>
      <w:rPr>
        <w:rFonts w:hint="eastAsia" w:cs="Times New Roman"/>
      </w:rPr>
    </w:lvl>
    <w:lvl w:ilvl="1" w:tentative="0">
      <w:start w:val="1"/>
      <w:numFmt w:val="lowerLetter"/>
      <w:lvlText w:val="%2)"/>
      <w:lvlJc w:val="left"/>
      <w:pPr>
        <w:ind w:left="1483" w:hanging="420"/>
      </w:pPr>
      <w:rPr>
        <w:rFonts w:cs="Times New Roman"/>
      </w:rPr>
    </w:lvl>
    <w:lvl w:ilvl="2" w:tentative="0">
      <w:start w:val="1"/>
      <w:numFmt w:val="lowerRoman"/>
      <w:lvlText w:val="%3."/>
      <w:lvlJc w:val="right"/>
      <w:pPr>
        <w:ind w:left="1903" w:hanging="420"/>
      </w:pPr>
      <w:rPr>
        <w:rFonts w:cs="Times New Roman"/>
      </w:rPr>
    </w:lvl>
    <w:lvl w:ilvl="3" w:tentative="0">
      <w:start w:val="1"/>
      <w:numFmt w:val="decimal"/>
      <w:lvlText w:val="%4."/>
      <w:lvlJc w:val="left"/>
      <w:pPr>
        <w:ind w:left="2323" w:hanging="420"/>
      </w:pPr>
      <w:rPr>
        <w:rFonts w:cs="Times New Roman"/>
      </w:rPr>
    </w:lvl>
    <w:lvl w:ilvl="4" w:tentative="0">
      <w:start w:val="1"/>
      <w:numFmt w:val="lowerLetter"/>
      <w:lvlText w:val="%5)"/>
      <w:lvlJc w:val="left"/>
      <w:pPr>
        <w:ind w:left="2743" w:hanging="420"/>
      </w:pPr>
      <w:rPr>
        <w:rFonts w:cs="Times New Roman"/>
      </w:rPr>
    </w:lvl>
    <w:lvl w:ilvl="5" w:tentative="0">
      <w:start w:val="1"/>
      <w:numFmt w:val="lowerRoman"/>
      <w:lvlText w:val="%6."/>
      <w:lvlJc w:val="right"/>
      <w:pPr>
        <w:ind w:left="3163" w:hanging="420"/>
      </w:pPr>
      <w:rPr>
        <w:rFonts w:cs="Times New Roman"/>
      </w:rPr>
    </w:lvl>
    <w:lvl w:ilvl="6" w:tentative="0">
      <w:start w:val="1"/>
      <w:numFmt w:val="decimal"/>
      <w:lvlText w:val="%7."/>
      <w:lvlJc w:val="left"/>
      <w:pPr>
        <w:ind w:left="3583" w:hanging="420"/>
      </w:pPr>
      <w:rPr>
        <w:rFonts w:cs="Times New Roman"/>
      </w:rPr>
    </w:lvl>
    <w:lvl w:ilvl="7" w:tentative="0">
      <w:start w:val="1"/>
      <w:numFmt w:val="lowerLetter"/>
      <w:lvlText w:val="%8)"/>
      <w:lvlJc w:val="left"/>
      <w:pPr>
        <w:ind w:left="4003" w:hanging="420"/>
      </w:pPr>
      <w:rPr>
        <w:rFonts w:cs="Times New Roman"/>
      </w:rPr>
    </w:lvl>
    <w:lvl w:ilvl="8" w:tentative="0">
      <w:start w:val="1"/>
      <w:numFmt w:val="lowerRoman"/>
      <w:lvlText w:val="%9."/>
      <w:lvlJc w:val="right"/>
      <w:pPr>
        <w:ind w:left="4423" w:hanging="420"/>
      </w:pPr>
      <w:rPr>
        <w:rFonts w:cs="Times New Roman"/>
      </w:rPr>
    </w:lvl>
  </w:abstractNum>
  <w:num w:numId="1">
    <w:abstractNumId w:val="3"/>
  </w:num>
  <w:num w:numId="2">
    <w:abstractNumId w:val="7"/>
  </w:num>
  <w:num w:numId="3">
    <w:abstractNumId w:val="5"/>
  </w:num>
  <w:num w:numId="4">
    <w:abstractNumId w:val="0"/>
  </w:num>
  <w:num w:numId="5">
    <w:abstractNumId w:val="4"/>
  </w:num>
  <w:num w:numId="6">
    <w:abstractNumId w:val="6"/>
  </w:num>
  <w:num w:numId="7">
    <w:abstractNumId w:val="1"/>
  </w:num>
  <w:num w:numId="8">
    <w:abstractNumId w:val="2"/>
  </w:num>
  <w:num w:numId="9">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0"/>
  <w:drawingGridHorizontalSpacing w:val="210"/>
  <w:drawingGridVerticalSpacing w:val="158"/>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715"/>
    <w:rsid w:val="00022413"/>
    <w:rsid w:val="00037F93"/>
    <w:rsid w:val="00042126"/>
    <w:rsid w:val="00090000"/>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108E"/>
    <w:rsid w:val="002F7CDC"/>
    <w:rsid w:val="00324E56"/>
    <w:rsid w:val="00331AF1"/>
    <w:rsid w:val="003468D7"/>
    <w:rsid w:val="00363E52"/>
    <w:rsid w:val="00382736"/>
    <w:rsid w:val="003A04D1"/>
    <w:rsid w:val="003C327E"/>
    <w:rsid w:val="003C4B3D"/>
    <w:rsid w:val="003C6E7F"/>
    <w:rsid w:val="003E0E95"/>
    <w:rsid w:val="003F1C70"/>
    <w:rsid w:val="003F2E47"/>
    <w:rsid w:val="003F5489"/>
    <w:rsid w:val="00403544"/>
    <w:rsid w:val="004115AA"/>
    <w:rsid w:val="00434C92"/>
    <w:rsid w:val="00443C47"/>
    <w:rsid w:val="00452560"/>
    <w:rsid w:val="00454B0E"/>
    <w:rsid w:val="00467DBB"/>
    <w:rsid w:val="004A0587"/>
    <w:rsid w:val="004C56AB"/>
    <w:rsid w:val="004D088E"/>
    <w:rsid w:val="004D4F06"/>
    <w:rsid w:val="005225F1"/>
    <w:rsid w:val="00531253"/>
    <w:rsid w:val="00540B36"/>
    <w:rsid w:val="00563E06"/>
    <w:rsid w:val="0057482E"/>
    <w:rsid w:val="0058554B"/>
    <w:rsid w:val="00596DDF"/>
    <w:rsid w:val="005B6EAB"/>
    <w:rsid w:val="005D7AC7"/>
    <w:rsid w:val="005E21C4"/>
    <w:rsid w:val="005E6FA5"/>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E7375"/>
    <w:rsid w:val="007F3C25"/>
    <w:rsid w:val="00811F2D"/>
    <w:rsid w:val="00815938"/>
    <w:rsid w:val="008226BA"/>
    <w:rsid w:val="00827DA6"/>
    <w:rsid w:val="00835103"/>
    <w:rsid w:val="00854416"/>
    <w:rsid w:val="00866F54"/>
    <w:rsid w:val="00883FF2"/>
    <w:rsid w:val="0089293E"/>
    <w:rsid w:val="00893E6C"/>
    <w:rsid w:val="008D7BC7"/>
    <w:rsid w:val="0090104C"/>
    <w:rsid w:val="0093507D"/>
    <w:rsid w:val="00982B10"/>
    <w:rsid w:val="009C0267"/>
    <w:rsid w:val="009E5354"/>
    <w:rsid w:val="00A0672C"/>
    <w:rsid w:val="00A10F1E"/>
    <w:rsid w:val="00A12A0C"/>
    <w:rsid w:val="00A365D5"/>
    <w:rsid w:val="00A41DB8"/>
    <w:rsid w:val="00A43094"/>
    <w:rsid w:val="00A53361"/>
    <w:rsid w:val="00A5786D"/>
    <w:rsid w:val="00A60191"/>
    <w:rsid w:val="00A81609"/>
    <w:rsid w:val="00A85237"/>
    <w:rsid w:val="00A93BF2"/>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0123"/>
    <w:rsid w:val="00C97E2D"/>
    <w:rsid w:val="00D043D7"/>
    <w:rsid w:val="00D117FB"/>
    <w:rsid w:val="00D23C2E"/>
    <w:rsid w:val="00D61EC8"/>
    <w:rsid w:val="00D864ED"/>
    <w:rsid w:val="00D93516"/>
    <w:rsid w:val="00DA7F4C"/>
    <w:rsid w:val="00DC5F94"/>
    <w:rsid w:val="00DE152F"/>
    <w:rsid w:val="00DE293B"/>
    <w:rsid w:val="00E05626"/>
    <w:rsid w:val="00E25B2F"/>
    <w:rsid w:val="00E373A5"/>
    <w:rsid w:val="00E66A4D"/>
    <w:rsid w:val="00E72B1C"/>
    <w:rsid w:val="00E96169"/>
    <w:rsid w:val="00EF475A"/>
    <w:rsid w:val="00F0780F"/>
    <w:rsid w:val="00F16D54"/>
    <w:rsid w:val="00F6015C"/>
    <w:rsid w:val="00F75715"/>
    <w:rsid w:val="00FB2E2F"/>
    <w:rsid w:val="00FD300A"/>
    <w:rsid w:val="00FF137F"/>
    <w:rsid w:val="00FF6959"/>
    <w:rsid w:val="00FF6C14"/>
    <w:rsid w:val="01770FE7"/>
    <w:rsid w:val="01BE6316"/>
    <w:rsid w:val="01E9306C"/>
    <w:rsid w:val="03B32E91"/>
    <w:rsid w:val="08BF3CCB"/>
    <w:rsid w:val="12DD14D0"/>
    <w:rsid w:val="167F2DB9"/>
    <w:rsid w:val="16A64CB6"/>
    <w:rsid w:val="1DEF2623"/>
    <w:rsid w:val="1E380178"/>
    <w:rsid w:val="20527F50"/>
    <w:rsid w:val="217F35A7"/>
    <w:rsid w:val="24E73B1F"/>
    <w:rsid w:val="252D1DE9"/>
    <w:rsid w:val="26F03C06"/>
    <w:rsid w:val="27003108"/>
    <w:rsid w:val="28B05F2C"/>
    <w:rsid w:val="2A547683"/>
    <w:rsid w:val="2AEA0BFE"/>
    <w:rsid w:val="2F8765EB"/>
    <w:rsid w:val="33C507BF"/>
    <w:rsid w:val="34AE0083"/>
    <w:rsid w:val="35B54899"/>
    <w:rsid w:val="361D6751"/>
    <w:rsid w:val="372C4F8F"/>
    <w:rsid w:val="3CFD63A7"/>
    <w:rsid w:val="4161349C"/>
    <w:rsid w:val="42E20386"/>
    <w:rsid w:val="46DA6D8E"/>
    <w:rsid w:val="48E85024"/>
    <w:rsid w:val="4D396592"/>
    <w:rsid w:val="4FAD03BD"/>
    <w:rsid w:val="506C3B6D"/>
    <w:rsid w:val="573A6F50"/>
    <w:rsid w:val="57964064"/>
    <w:rsid w:val="5CFA0DD0"/>
    <w:rsid w:val="5E901EE1"/>
    <w:rsid w:val="5F280DFD"/>
    <w:rsid w:val="62AD63D1"/>
    <w:rsid w:val="63DF4E6E"/>
    <w:rsid w:val="667765BF"/>
    <w:rsid w:val="67520122"/>
    <w:rsid w:val="67AC7233"/>
    <w:rsid w:val="6B1251BE"/>
    <w:rsid w:val="6F084152"/>
    <w:rsid w:val="6F5059CE"/>
    <w:rsid w:val="71F2013A"/>
    <w:rsid w:val="71FF21D4"/>
    <w:rsid w:val="74810371"/>
    <w:rsid w:val="7775238E"/>
    <w:rsid w:val="7A8638D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99" w:semiHidden="0" w:name="toc 1"/>
    <w:lsdException w:unhideWhenUsed="0" w:uiPriority="99" w:semiHidden="0" w:name="toc 2"/>
    <w:lsdException w:unhideWhenUsed="0" w:uiPriority="99"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1"/>
      <w:lang w:val="en-US" w:eastAsia="zh-CN" w:bidi="ar-SA"/>
    </w:rPr>
  </w:style>
  <w:style w:type="paragraph" w:styleId="2">
    <w:name w:val="heading 1"/>
    <w:basedOn w:val="1"/>
    <w:next w:val="1"/>
    <w:link w:val="19"/>
    <w:qFormat/>
    <w:uiPriority w:val="9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0"/>
    <w:qFormat/>
    <w:uiPriority w:val="99"/>
    <w:pPr>
      <w:keepNext/>
      <w:keepLines/>
      <w:spacing w:before="260" w:after="260" w:line="416" w:lineRule="auto"/>
      <w:outlineLvl w:val="1"/>
    </w:pPr>
    <w:rPr>
      <w:rFonts w:ascii="等线 Light" w:hAnsi="等线 Light" w:eastAsia="等线 Light"/>
      <w:b/>
      <w:bCs/>
      <w:sz w:val="32"/>
      <w:szCs w:val="32"/>
    </w:rPr>
  </w:style>
  <w:style w:type="paragraph" w:styleId="4">
    <w:name w:val="heading 3"/>
    <w:basedOn w:val="1"/>
    <w:next w:val="1"/>
    <w:link w:val="21"/>
    <w:qFormat/>
    <w:uiPriority w:val="99"/>
    <w:pPr>
      <w:keepNext/>
      <w:keepLines/>
      <w:spacing w:before="260" w:after="260" w:line="416" w:lineRule="auto"/>
      <w:outlineLvl w:val="2"/>
    </w:pPr>
    <w:rPr>
      <w:b/>
      <w:bCs/>
      <w:sz w:val="32"/>
      <w:szCs w:val="32"/>
    </w:rPr>
  </w:style>
  <w:style w:type="character" w:default="1" w:styleId="16">
    <w:name w:val="Default Paragraph Font"/>
    <w:semiHidden/>
    <w:uiPriority w:val="99"/>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2"/>
    <w:semiHidden/>
    <w:uiPriority w:val="99"/>
    <w:pPr>
      <w:jc w:val="left"/>
    </w:pPr>
  </w:style>
  <w:style w:type="paragraph" w:styleId="6">
    <w:name w:val="Body Text"/>
    <w:basedOn w:val="1"/>
    <w:link w:val="23"/>
    <w:uiPriority w:val="99"/>
    <w:rPr>
      <w:rFonts w:ascii="仿宋" w:hAnsi="仿宋" w:eastAsia="仿宋" w:cs="仿宋"/>
      <w:sz w:val="28"/>
      <w:szCs w:val="28"/>
      <w:lang w:val="zh-CN"/>
    </w:rPr>
  </w:style>
  <w:style w:type="paragraph" w:styleId="7">
    <w:name w:val="toc 3"/>
    <w:basedOn w:val="1"/>
    <w:next w:val="1"/>
    <w:semiHidden/>
    <w:uiPriority w:val="99"/>
    <w:rPr>
      <w:rFonts w:eastAsia="仿宋_GB2312"/>
      <w:sz w:val="28"/>
    </w:rPr>
  </w:style>
  <w:style w:type="paragraph" w:styleId="8">
    <w:name w:val="Balloon Text"/>
    <w:basedOn w:val="1"/>
    <w:link w:val="24"/>
    <w:semiHidden/>
    <w:uiPriority w:val="99"/>
    <w:rPr>
      <w:sz w:val="18"/>
      <w:szCs w:val="18"/>
    </w:rPr>
  </w:style>
  <w:style w:type="paragraph" w:styleId="9">
    <w:name w:val="footer"/>
    <w:basedOn w:val="1"/>
    <w:link w:val="25"/>
    <w:uiPriority w:val="99"/>
    <w:pPr>
      <w:tabs>
        <w:tab w:val="center" w:pos="4153"/>
        <w:tab w:val="right" w:pos="8306"/>
      </w:tabs>
      <w:snapToGrid w:val="0"/>
      <w:jc w:val="left"/>
    </w:pPr>
    <w:rPr>
      <w:sz w:val="18"/>
      <w:szCs w:val="18"/>
    </w:rPr>
  </w:style>
  <w:style w:type="paragraph" w:styleId="10">
    <w:name w:val="header"/>
    <w:basedOn w:val="1"/>
    <w:link w:val="26"/>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iPriority w:val="99"/>
    <w:rPr>
      <w:rFonts w:eastAsia="仿宋_GB2312"/>
      <w:sz w:val="28"/>
    </w:rPr>
  </w:style>
  <w:style w:type="paragraph" w:styleId="12">
    <w:name w:val="toc 2"/>
    <w:basedOn w:val="1"/>
    <w:next w:val="1"/>
    <w:uiPriority w:val="99"/>
    <w:rPr>
      <w:rFonts w:eastAsia="仿宋_GB2312"/>
      <w:sz w:val="28"/>
    </w:rPr>
  </w:style>
  <w:style w:type="paragraph" w:styleId="13">
    <w:name w:val="Normal (Web)"/>
    <w:basedOn w:val="1"/>
    <w:uiPriority w:val="99"/>
    <w:pPr>
      <w:widowControl/>
      <w:spacing w:before="100" w:beforeAutospacing="1" w:after="100" w:afterAutospacing="1"/>
      <w:jc w:val="left"/>
    </w:pPr>
    <w:rPr>
      <w:rFonts w:ascii="宋体" w:hAnsi="宋体" w:eastAsia="宋体" w:cs="宋体"/>
      <w:kern w:val="0"/>
      <w:sz w:val="24"/>
      <w:szCs w:val="24"/>
    </w:rPr>
  </w:style>
  <w:style w:type="table" w:styleId="15">
    <w:name w:val="Table Grid"/>
    <w:basedOn w:val="14"/>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99"/>
    <w:rPr>
      <w:rFonts w:ascii="Times New Roman" w:hAnsi="Times New Roman" w:eastAsia="宋体" w:cs="Times New Roman"/>
      <w:b/>
      <w:bCs/>
    </w:rPr>
  </w:style>
  <w:style w:type="character" w:styleId="18">
    <w:name w:val="Hyperlink"/>
    <w:basedOn w:val="16"/>
    <w:uiPriority w:val="99"/>
    <w:rPr>
      <w:rFonts w:cs="Times New Roman"/>
      <w:color w:val="0563C1"/>
      <w:u w:val="single"/>
    </w:rPr>
  </w:style>
  <w:style w:type="character" w:customStyle="1" w:styleId="19">
    <w:name w:val="Heading 1 Char"/>
    <w:basedOn w:val="16"/>
    <w:link w:val="2"/>
    <w:qFormat/>
    <w:locked/>
    <w:uiPriority w:val="99"/>
    <w:rPr>
      <w:rFonts w:ascii="Times New Roman" w:hAnsi="Times New Roman" w:eastAsia="黑体" w:cs="Arial"/>
      <w:b/>
      <w:bCs/>
      <w:kern w:val="44"/>
      <w:sz w:val="44"/>
      <w:szCs w:val="44"/>
    </w:rPr>
  </w:style>
  <w:style w:type="character" w:customStyle="1" w:styleId="20">
    <w:name w:val="Heading 2 Char"/>
    <w:basedOn w:val="16"/>
    <w:link w:val="3"/>
    <w:qFormat/>
    <w:locked/>
    <w:uiPriority w:val="99"/>
    <w:rPr>
      <w:rFonts w:ascii="等线 Light" w:hAnsi="等线 Light" w:eastAsia="等线 Light" w:cs="Times New Roman"/>
      <w:b/>
      <w:bCs/>
      <w:sz w:val="32"/>
      <w:szCs w:val="32"/>
    </w:rPr>
  </w:style>
  <w:style w:type="character" w:customStyle="1" w:styleId="21">
    <w:name w:val="Heading 3 Char"/>
    <w:basedOn w:val="16"/>
    <w:link w:val="4"/>
    <w:semiHidden/>
    <w:locked/>
    <w:uiPriority w:val="99"/>
    <w:rPr>
      <w:rFonts w:cs="Times New Roman"/>
      <w:b/>
      <w:bCs/>
      <w:sz w:val="32"/>
      <w:szCs w:val="32"/>
    </w:rPr>
  </w:style>
  <w:style w:type="character" w:customStyle="1" w:styleId="22">
    <w:name w:val="Comment Text Char"/>
    <w:basedOn w:val="16"/>
    <w:link w:val="5"/>
    <w:semiHidden/>
    <w:uiPriority w:val="99"/>
    <w:rPr>
      <w:rFonts w:ascii="等线" w:hAnsi="等线" w:eastAsia="等线"/>
      <w:szCs w:val="21"/>
    </w:rPr>
  </w:style>
  <w:style w:type="character" w:customStyle="1" w:styleId="23">
    <w:name w:val="Body Text Char"/>
    <w:basedOn w:val="16"/>
    <w:link w:val="6"/>
    <w:semiHidden/>
    <w:uiPriority w:val="99"/>
    <w:rPr>
      <w:rFonts w:ascii="等线" w:hAnsi="等线" w:eastAsia="等线"/>
      <w:szCs w:val="21"/>
    </w:rPr>
  </w:style>
  <w:style w:type="character" w:customStyle="1" w:styleId="24">
    <w:name w:val="Balloon Text Char"/>
    <w:basedOn w:val="16"/>
    <w:link w:val="8"/>
    <w:semiHidden/>
    <w:locked/>
    <w:uiPriority w:val="99"/>
    <w:rPr>
      <w:rFonts w:cs="Times New Roman"/>
      <w:sz w:val="18"/>
      <w:szCs w:val="18"/>
    </w:rPr>
  </w:style>
  <w:style w:type="character" w:customStyle="1" w:styleId="25">
    <w:name w:val="Footer Char"/>
    <w:basedOn w:val="16"/>
    <w:link w:val="9"/>
    <w:locked/>
    <w:uiPriority w:val="99"/>
    <w:rPr>
      <w:rFonts w:cs="Times New Roman"/>
      <w:sz w:val="18"/>
      <w:szCs w:val="18"/>
    </w:rPr>
  </w:style>
  <w:style w:type="character" w:customStyle="1" w:styleId="26">
    <w:name w:val="Header Char"/>
    <w:basedOn w:val="16"/>
    <w:link w:val="10"/>
    <w:locked/>
    <w:uiPriority w:val="99"/>
    <w:rPr>
      <w:rFonts w:cs="Times New Roman"/>
      <w:sz w:val="18"/>
      <w:szCs w:val="18"/>
    </w:rPr>
  </w:style>
  <w:style w:type="paragraph" w:customStyle="1" w:styleId="27">
    <w:name w:val="Char"/>
    <w:basedOn w:val="1"/>
    <w:uiPriority w:val="99"/>
    <w:pPr>
      <w:widowControl/>
      <w:spacing w:after="160" w:line="240" w:lineRule="exact"/>
      <w:jc w:val="left"/>
    </w:pPr>
    <w:rPr>
      <w:rFonts w:ascii="Times New Roman" w:hAnsi="Times New Roman" w:eastAsia="宋体"/>
      <w:szCs w:val="22"/>
    </w:rPr>
  </w:style>
  <w:style w:type="paragraph" w:styleId="28">
    <w:name w:val="List Paragraph"/>
    <w:basedOn w:val="1"/>
    <w:qFormat/>
    <w:uiPriority w:val="99"/>
    <w:pPr>
      <w:ind w:firstLine="420" w:firstLineChars="200"/>
    </w:pPr>
  </w:style>
  <w:style w:type="paragraph" w:customStyle="1" w:styleId="29">
    <w:name w:val="标题1"/>
    <w:basedOn w:val="2"/>
    <w:uiPriority w:val="99"/>
    <w:pPr>
      <w:spacing w:before="120" w:after="120" w:line="500" w:lineRule="exact"/>
      <w:ind w:firstLine="200" w:firstLineChars="200"/>
    </w:pPr>
    <w:rPr>
      <w:rFonts w:cs="Times New Roman"/>
      <w:sz w:val="32"/>
      <w:szCs w:val="32"/>
    </w:rPr>
  </w:style>
  <w:style w:type="paragraph" w:customStyle="1" w:styleId="30">
    <w:name w:val="标题2"/>
    <w:basedOn w:val="3"/>
    <w:uiPriority w:val="99"/>
    <w:pPr>
      <w:numPr>
        <w:ilvl w:val="0"/>
        <w:numId w:val="1"/>
      </w:numPr>
      <w:spacing w:before="120" w:after="120" w:line="500" w:lineRule="exact"/>
    </w:pPr>
    <w:rPr>
      <w:rFonts w:ascii="仿宋_GB2312" w:eastAsia="仿宋_GB2312"/>
    </w:rPr>
  </w:style>
  <w:style w:type="paragraph" w:customStyle="1" w:styleId="31">
    <w:name w:val="TOC 标题1"/>
    <w:basedOn w:val="2"/>
    <w:next w:val="1"/>
    <w:uiPriority w:val="99"/>
    <w:pPr>
      <w:widowControl/>
      <w:spacing w:before="240" w:after="0" w:line="259" w:lineRule="auto"/>
      <w:jc w:val="left"/>
      <w:outlineLvl w:val="9"/>
    </w:pPr>
    <w:rPr>
      <w:rFonts w:ascii="等线 Light" w:hAnsi="等线 Light" w:eastAsia="等线 Light" w:cs="Times New Roman"/>
      <w:b w:val="0"/>
      <w:bCs w:val="0"/>
      <w:color w:val="2F5496"/>
      <w:kern w:val="0"/>
      <w:sz w:val="32"/>
      <w:szCs w:val="32"/>
    </w:rPr>
  </w:style>
  <w:style w:type="character" w:customStyle="1" w:styleId="32">
    <w:name w:val="闻政正文 Char"/>
    <w:link w:val="33"/>
    <w:locked/>
    <w:uiPriority w:val="99"/>
    <w:rPr>
      <w:rFonts w:ascii="Times New Roman" w:hAnsi="Times New Roman" w:eastAsia="仿宋_GB2312"/>
      <w:sz w:val="28"/>
    </w:rPr>
  </w:style>
  <w:style w:type="paragraph" w:customStyle="1" w:styleId="33">
    <w:name w:val="闻政正文"/>
    <w:basedOn w:val="1"/>
    <w:link w:val="32"/>
    <w:uiPriority w:val="99"/>
    <w:pPr>
      <w:spacing w:line="500" w:lineRule="exact"/>
      <w:ind w:firstLine="560" w:firstLineChars="200"/>
    </w:pPr>
    <w:rPr>
      <w:rFonts w:ascii="Times New Roman" w:hAnsi="Times New Roman" w:eastAsia="仿宋_GB2312"/>
      <w:kern w:val="0"/>
      <w:sz w:val="28"/>
      <w:szCs w:val="28"/>
    </w:rPr>
  </w:style>
  <w:style w:type="character" w:customStyle="1" w:styleId="34">
    <w:name w:val="闻政表 Char"/>
    <w:link w:val="35"/>
    <w:locked/>
    <w:uiPriority w:val="99"/>
    <w:rPr>
      <w:rFonts w:ascii="Times New Roman" w:hAnsi="Times New Roman" w:eastAsia="仿宋_GB2312"/>
      <w:b/>
      <w:sz w:val="28"/>
    </w:rPr>
  </w:style>
  <w:style w:type="paragraph" w:customStyle="1" w:styleId="35">
    <w:name w:val="闻政表"/>
    <w:basedOn w:val="1"/>
    <w:link w:val="34"/>
    <w:uiPriority w:val="99"/>
    <w:pPr>
      <w:spacing w:before="60" w:after="60"/>
      <w:jc w:val="center"/>
    </w:pPr>
    <w:rPr>
      <w:rFonts w:ascii="Times New Roman" w:hAnsi="Times New Roman" w:eastAsia="仿宋_GB2312"/>
      <w:b/>
      <w:kern w:val="0"/>
      <w:sz w:val="24"/>
      <w:szCs w:val="28"/>
    </w:rPr>
  </w:style>
  <w:style w:type="character" w:customStyle="1" w:styleId="36">
    <w:name w:val="闻政标题3 Char"/>
    <w:link w:val="37"/>
    <w:locked/>
    <w:uiPriority w:val="99"/>
    <w:rPr>
      <w:rFonts w:ascii="黑体" w:hAnsi="黑体" w:eastAsia="黑体"/>
      <w:sz w:val="32"/>
    </w:rPr>
  </w:style>
  <w:style w:type="paragraph" w:customStyle="1" w:styleId="37">
    <w:name w:val="闻政标题3"/>
    <w:basedOn w:val="4"/>
    <w:link w:val="36"/>
    <w:uiPriority w:val="99"/>
    <w:pPr>
      <w:spacing w:before="120" w:after="60" w:line="500" w:lineRule="exact"/>
      <w:jc w:val="left"/>
      <w:outlineLvl w:val="0"/>
    </w:pPr>
    <w:rPr>
      <w:rFonts w:ascii="黑体" w:hAnsi="黑体" w:eastAsia="黑体"/>
      <w:b w:val="0"/>
      <w:kern w:val="0"/>
    </w:rPr>
  </w:style>
  <w:style w:type="paragraph" w:customStyle="1" w:styleId="38">
    <w:name w:val="Body text|1"/>
    <w:basedOn w:val="1"/>
    <w:link w:val="39"/>
    <w:uiPriority w:val="99"/>
    <w:pPr>
      <w:spacing w:after="40" w:line="334" w:lineRule="auto"/>
    </w:pPr>
    <w:rPr>
      <w:rFonts w:ascii="MingLiU" w:hAnsi="MingLiU" w:eastAsia="MingLiU" w:cs="MingLiU"/>
      <w:sz w:val="20"/>
      <w:szCs w:val="20"/>
      <w:lang w:val="zh-TW" w:eastAsia="zh-TW"/>
    </w:rPr>
  </w:style>
  <w:style w:type="character" w:customStyle="1" w:styleId="39">
    <w:name w:val="Body text|1_"/>
    <w:basedOn w:val="16"/>
    <w:link w:val="38"/>
    <w:locked/>
    <w:uiPriority w:val="99"/>
    <w:rPr>
      <w:rFonts w:ascii="MingLiU" w:hAnsi="MingLiU" w:eastAsia="MingLiU" w:cs="MingLiU"/>
      <w:sz w:val="20"/>
      <w:szCs w:val="20"/>
      <w:lang w:val="zh-TW" w:eastAsia="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15</Pages>
  <Words>1000</Words>
  <Characters>5706</Characters>
  <Lines>0</Lines>
  <Paragraphs>0</Paragraphs>
  <TotalTime>11</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2025-02-12T08:47:12Z</dcterms:modified>
  <dc:title>新疆普天鹏华商务信息咨询有限公司</dc:title>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