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叶城县信访局老干部活动经费项目支出绩效评价报告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项目名称：老干部活动经费项目</w:t>
      </w: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实施单位：叶城县信访局</w:t>
      </w: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评价部门：叶城县信访局</w:t>
      </w: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2136" w:firstLineChars="600"/>
        <w:rPr>
          <w:rFonts w:ascii="仿宋_GB2312" w:hAnsi="仿宋" w:eastAsia="仿宋_GB2312"/>
          <w:spacing w:val="-2"/>
          <w:sz w:val="36"/>
          <w:szCs w:val="36"/>
        </w:rPr>
      </w:pPr>
    </w:p>
    <w:p>
      <w:pPr>
        <w:autoSpaceDE w:val="0"/>
        <w:autoSpaceDN w:val="0"/>
        <w:spacing w:line="540" w:lineRule="exact"/>
        <w:ind w:firstLine="2848" w:firstLineChars="800"/>
        <w:rPr>
          <w:rFonts w:ascii="仿宋_GB2312" w:hAnsi="仿宋" w:eastAsia="仿宋_GB2312"/>
          <w:spacing w:val="-2"/>
          <w:sz w:val="36"/>
          <w:szCs w:val="36"/>
        </w:rPr>
      </w:pPr>
      <w:r>
        <w:rPr>
          <w:rFonts w:hint="eastAsia" w:ascii="仿宋_GB2312" w:hAnsi="仿宋" w:eastAsia="仿宋_GB2312"/>
          <w:spacing w:val="-2"/>
          <w:sz w:val="36"/>
          <w:szCs w:val="36"/>
        </w:rPr>
        <w:t>二零二零年四月</w:t>
      </w:r>
    </w:p>
    <w:p>
      <w:pPr>
        <w:spacing w:before="120" w:beforeLines="50" w:line="240" w:lineRule="atLeast"/>
        <w:jc w:val="left"/>
        <w:rPr>
          <w:sz w:val="28"/>
          <w:szCs w:val="28"/>
        </w:rPr>
      </w:pPr>
    </w:p>
    <w:p>
      <w:pPr>
        <w:spacing w:before="120" w:beforeLines="50" w:after="120" w:afterLines="50" w:line="600" w:lineRule="exact"/>
        <w:rPr>
          <w:rFonts w:ascii="方正小标宋简体" w:hAnsi="仿宋_GB2312" w:eastAsia="方正小标宋简体" w:cs="仿宋_GB2312"/>
          <w:color w:val="FF0000"/>
          <w:kern w:val="0"/>
          <w:sz w:val="44"/>
          <w:szCs w:val="44"/>
          <w:shd w:val="clear" w:color="auto" w:fill="FFFFFF"/>
        </w:rPr>
      </w:pPr>
    </w:p>
    <w:p>
      <w:pPr>
        <w:pStyle w:val="29"/>
        <w:numPr>
          <w:ilvl w:val="0"/>
          <w:numId w:val="2"/>
        </w:numPr>
        <w:spacing w:line="560" w:lineRule="exact"/>
        <w:ind w:firstLineChars="0"/>
      </w:pPr>
      <w:r>
        <w:rPr>
          <w:rFonts w:hint="eastAsia"/>
        </w:rPr>
        <w:t>基本情况</w:t>
      </w:r>
    </w:p>
    <w:p>
      <w:pPr>
        <w:pStyle w:val="30"/>
        <w:spacing w:line="560" w:lineRule="exact"/>
        <w:ind w:left="0" w:firstLine="643" w:firstLineChars="200"/>
      </w:pPr>
      <w:bookmarkStart w:id="0" w:name="_Toc26401549"/>
      <w:r>
        <w:rPr>
          <w:rFonts w:hint="eastAsia"/>
        </w:rPr>
        <w:t>项目概况</w:t>
      </w:r>
      <w:bookmarkEnd w:id="0"/>
    </w:p>
    <w:p>
      <w:pPr>
        <w:pStyle w:val="28"/>
        <w:numPr>
          <w:ilvl w:val="0"/>
          <w:numId w:val="3"/>
        </w:numPr>
        <w:spacing w:line="560" w:lineRule="exact"/>
        <w:ind w:left="0" w:firstLine="64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发挥退休老干部作用是党和国家的一项基本政策原则，离退休干部是新的历史条件下、经济建设、精神文明建设和党的建设一支不可忽视的重要力量。发挥退休老干部的潜在职能，引导紧跟时代，用新的视野、新的风范，积极参与社会，服务社会，充分发挥作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本项目的实施</w:t>
      </w:r>
      <w:r>
        <w:rPr>
          <w:rFonts w:hint="eastAsia" w:ascii="仿宋_GB2312" w:hAnsi="宋体" w:eastAsia="仿宋_GB2312" w:cs="宋体"/>
          <w:kern w:val="0"/>
          <w:sz w:val="32"/>
          <w:szCs w:val="32"/>
        </w:rPr>
        <w:t>组织老干部进行有益身心健康的文体活动，丰富老干部的活动内容，提高老干部的活动兴趣，活跃老干部的文化生活。</w:t>
      </w:r>
    </w:p>
    <w:p>
      <w:pPr>
        <w:pStyle w:val="28"/>
        <w:numPr>
          <w:ilvl w:val="0"/>
          <w:numId w:val="3"/>
        </w:numPr>
        <w:spacing w:line="560" w:lineRule="exact"/>
        <w:ind w:left="0" w:firstLine="64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autoSpaceDE w:val="0"/>
        <w:autoSpaceDN w:val="0"/>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该项目实施主体为叶城县信访局。主要职能：</w:t>
      </w:r>
    </w:p>
    <w:p>
      <w:pPr>
        <w:adjustRightInd w:val="0"/>
        <w:snapToGrid w:val="0"/>
        <w:spacing w:line="560" w:lineRule="atLeast"/>
        <w:ind w:firstLine="624" w:firstLineChars="200"/>
        <w:rPr>
          <w:rStyle w:val="17"/>
          <w:rFonts w:ascii="仿宋_GB2312" w:hAnsi="仿宋" w:eastAsia="仿宋_GB2312"/>
          <w:b w:val="0"/>
          <w:bCs w:val="0"/>
          <w:spacing w:val="-4"/>
          <w:sz w:val="32"/>
          <w:szCs w:val="32"/>
        </w:rPr>
      </w:pPr>
      <w:r>
        <w:rPr>
          <w:rStyle w:val="17"/>
          <w:rFonts w:hint="eastAsia" w:ascii="仿宋_GB2312" w:hAnsi="仿宋" w:eastAsia="仿宋_GB2312"/>
          <w:b w:val="0"/>
          <w:bCs w:val="0"/>
          <w:spacing w:val="-4"/>
          <w:sz w:val="32"/>
          <w:szCs w:val="32"/>
        </w:rPr>
        <w:t>叶城县信访局单位无下属预算单位，无科室，设行政编制</w:t>
      </w:r>
      <w:r>
        <w:rPr>
          <w:rStyle w:val="17"/>
          <w:rFonts w:ascii="仿宋_GB2312" w:hAnsi="仿宋" w:eastAsia="仿宋_GB2312"/>
          <w:b w:val="0"/>
          <w:bCs w:val="0"/>
          <w:spacing w:val="-4"/>
          <w:sz w:val="32"/>
          <w:szCs w:val="32"/>
        </w:rPr>
        <w:t>5</w:t>
      </w:r>
      <w:r>
        <w:rPr>
          <w:rStyle w:val="17"/>
          <w:rFonts w:hint="eastAsia" w:ascii="仿宋_GB2312" w:hAnsi="仿宋" w:eastAsia="仿宋_GB2312"/>
          <w:b w:val="0"/>
          <w:bCs w:val="0"/>
          <w:spacing w:val="-4"/>
          <w:sz w:val="32"/>
          <w:szCs w:val="32"/>
        </w:rPr>
        <w:t>人，工勤人员编制</w:t>
      </w:r>
      <w:r>
        <w:rPr>
          <w:rStyle w:val="17"/>
          <w:rFonts w:ascii="仿宋_GB2312" w:hAnsi="仿宋" w:eastAsia="仿宋_GB2312"/>
          <w:b w:val="0"/>
          <w:bCs w:val="0"/>
          <w:spacing w:val="-4"/>
          <w:sz w:val="32"/>
          <w:szCs w:val="32"/>
        </w:rPr>
        <w:t>1</w:t>
      </w:r>
      <w:r>
        <w:rPr>
          <w:rStyle w:val="17"/>
          <w:rFonts w:hint="eastAsia" w:ascii="仿宋_GB2312" w:hAnsi="仿宋" w:eastAsia="仿宋_GB2312"/>
          <w:b w:val="0"/>
          <w:bCs w:val="0"/>
          <w:spacing w:val="-4"/>
          <w:sz w:val="32"/>
          <w:szCs w:val="32"/>
        </w:rPr>
        <w:t>人，事业编制</w:t>
      </w:r>
      <w:r>
        <w:rPr>
          <w:rStyle w:val="17"/>
          <w:rFonts w:ascii="仿宋_GB2312" w:hAnsi="仿宋" w:eastAsia="仿宋_GB2312"/>
          <w:b w:val="0"/>
          <w:bCs w:val="0"/>
          <w:spacing w:val="-4"/>
          <w:sz w:val="32"/>
          <w:szCs w:val="32"/>
        </w:rPr>
        <w:t>2</w:t>
      </w:r>
      <w:r>
        <w:rPr>
          <w:rStyle w:val="17"/>
          <w:rFonts w:hint="eastAsia" w:ascii="仿宋_GB2312" w:hAnsi="仿宋" w:eastAsia="仿宋_GB2312"/>
          <w:b w:val="0"/>
          <w:bCs w:val="0"/>
          <w:spacing w:val="-4"/>
          <w:sz w:val="32"/>
          <w:szCs w:val="32"/>
        </w:rPr>
        <w:t>人，实有人数</w:t>
      </w:r>
      <w:r>
        <w:rPr>
          <w:rStyle w:val="17"/>
          <w:rFonts w:ascii="仿宋_GB2312" w:hAnsi="仿宋" w:eastAsia="仿宋_GB2312"/>
          <w:b w:val="0"/>
          <w:bCs w:val="0"/>
          <w:spacing w:val="-4"/>
          <w:sz w:val="32"/>
          <w:szCs w:val="32"/>
        </w:rPr>
        <w:t>7</w:t>
      </w:r>
      <w:r>
        <w:rPr>
          <w:rStyle w:val="17"/>
          <w:rFonts w:hint="eastAsia" w:ascii="仿宋_GB2312" w:hAnsi="仿宋" w:eastAsia="仿宋_GB2312"/>
          <w:b w:val="0"/>
          <w:bCs w:val="0"/>
          <w:spacing w:val="-4"/>
          <w:sz w:val="32"/>
          <w:szCs w:val="32"/>
        </w:rPr>
        <w:t>人。</w:t>
      </w:r>
    </w:p>
    <w:p>
      <w:pPr>
        <w:adjustRightInd w:val="0"/>
        <w:snapToGrid w:val="0"/>
        <w:spacing w:line="560" w:lineRule="atLeast"/>
        <w:ind w:firstLine="624" w:firstLineChars="200"/>
        <w:rPr>
          <w:rStyle w:val="17"/>
          <w:rFonts w:ascii="仿宋_GB2312" w:hAnsi="仿宋" w:eastAsia="仿宋_GB2312"/>
          <w:b w:val="0"/>
          <w:bCs w:val="0"/>
          <w:spacing w:val="-4"/>
          <w:sz w:val="32"/>
          <w:szCs w:val="32"/>
        </w:rPr>
      </w:pPr>
      <w:r>
        <w:rPr>
          <w:rStyle w:val="17"/>
          <w:rFonts w:hint="eastAsia" w:ascii="仿宋_GB2312" w:hAnsi="仿宋" w:eastAsia="仿宋_GB2312"/>
          <w:b w:val="0"/>
          <w:bCs w:val="0"/>
          <w:spacing w:val="-4"/>
          <w:sz w:val="32"/>
          <w:szCs w:val="32"/>
        </w:rPr>
        <w:t>单位基本职能：</w:t>
      </w:r>
    </w:p>
    <w:p>
      <w:pPr>
        <w:numPr>
          <w:ilvl w:val="0"/>
          <w:numId w:val="4"/>
        </w:numPr>
        <w:autoSpaceDE w:val="0"/>
        <w:autoSpaceDN w:val="0"/>
        <w:adjustRightInd w:val="0"/>
        <w:spacing w:line="560" w:lineRule="exact"/>
        <w:ind w:firstLine="624" w:firstLineChars="200"/>
        <w:rPr>
          <w:rStyle w:val="17"/>
          <w:rFonts w:ascii="仿宋_GB2312" w:eastAsia="仿宋_GB2312"/>
          <w:b w:val="0"/>
          <w:spacing w:val="-4"/>
          <w:sz w:val="32"/>
          <w:szCs w:val="32"/>
        </w:rPr>
      </w:pPr>
      <w:r>
        <w:rPr>
          <w:rStyle w:val="17"/>
          <w:rFonts w:hint="eastAsia" w:ascii="仿宋_GB2312" w:eastAsia="仿宋_GB2312"/>
          <w:b w:val="0"/>
          <w:spacing w:val="-4"/>
          <w:sz w:val="32"/>
          <w:szCs w:val="32"/>
        </w:rPr>
        <w:t>贯彻落实中央和自治区关于信访工作的法律法规和方针政策，宣传和贯彻落实《信访条例》，综合协调和指导叶城县信访工作。</w:t>
      </w:r>
    </w:p>
    <w:p>
      <w:pPr>
        <w:numPr>
          <w:ilvl w:val="0"/>
          <w:numId w:val="4"/>
        </w:numPr>
        <w:autoSpaceDE w:val="0"/>
        <w:autoSpaceDN w:val="0"/>
        <w:adjustRightInd w:val="0"/>
        <w:spacing w:line="560" w:lineRule="exact"/>
        <w:ind w:firstLine="624" w:firstLineChars="200"/>
        <w:rPr>
          <w:rStyle w:val="17"/>
          <w:rFonts w:ascii="仿宋_GB2312" w:eastAsia="仿宋_GB2312"/>
          <w:b w:val="0"/>
          <w:spacing w:val="-4"/>
          <w:sz w:val="32"/>
          <w:szCs w:val="32"/>
        </w:rPr>
      </w:pPr>
      <w:r>
        <w:rPr>
          <w:rStyle w:val="17"/>
          <w:rFonts w:hint="eastAsia" w:ascii="仿宋_GB2312" w:eastAsia="仿宋_GB2312"/>
          <w:b w:val="0"/>
          <w:spacing w:val="-4"/>
          <w:sz w:val="32"/>
          <w:szCs w:val="32"/>
        </w:rPr>
        <w:t>负责处理自治区内群众、境内外人士、法人及其他组织通过信访渠道给县委、</w:t>
      </w:r>
      <w:r>
        <w:rPr>
          <w:rStyle w:val="17"/>
          <w:rFonts w:hint="eastAsia" w:ascii="仿宋_GB2312" w:eastAsia="仿宋_GB2312"/>
          <w:b w:val="0"/>
          <w:spacing w:val="-4"/>
          <w:sz w:val="32"/>
          <w:szCs w:val="32"/>
          <w:lang w:eastAsia="zh-CN"/>
        </w:rPr>
        <w:t>县</w:t>
      </w:r>
      <w:r>
        <w:rPr>
          <w:rStyle w:val="17"/>
          <w:rFonts w:hint="eastAsia" w:ascii="仿宋_GB2312" w:eastAsia="仿宋_GB2312"/>
          <w:b w:val="0"/>
          <w:spacing w:val="-4"/>
          <w:sz w:val="32"/>
          <w:szCs w:val="32"/>
        </w:rPr>
        <w:t>政府领导的来信来电，接待群众来访</w:t>
      </w:r>
      <w:r>
        <w:rPr>
          <w:rStyle w:val="17"/>
          <w:rFonts w:ascii="仿宋_GB2312" w:eastAsia="仿宋_GB2312"/>
          <w:b w:val="0"/>
          <w:spacing w:val="-4"/>
          <w:sz w:val="32"/>
          <w:szCs w:val="32"/>
        </w:rPr>
        <w:t>.</w:t>
      </w:r>
    </w:p>
    <w:p>
      <w:pPr>
        <w:autoSpaceDE w:val="0"/>
        <w:autoSpaceDN w:val="0"/>
        <w:adjustRightInd w:val="0"/>
        <w:spacing w:line="560" w:lineRule="exact"/>
        <w:ind w:firstLine="624" w:firstLineChars="200"/>
        <w:rPr>
          <w:rStyle w:val="17"/>
          <w:rFonts w:ascii="仿宋_GB2312" w:eastAsia="仿宋_GB2312"/>
          <w:b w:val="0"/>
          <w:spacing w:val="-4"/>
          <w:sz w:val="32"/>
          <w:szCs w:val="32"/>
        </w:rPr>
      </w:pPr>
      <w:r>
        <w:rPr>
          <w:rStyle w:val="17"/>
          <w:rFonts w:hint="eastAsia" w:ascii="仿宋_GB2312" w:eastAsia="仿宋_GB2312"/>
          <w:b w:val="0"/>
          <w:spacing w:val="-4"/>
          <w:sz w:val="32"/>
          <w:szCs w:val="32"/>
        </w:rPr>
        <w:t>（</w:t>
      </w:r>
      <w:r>
        <w:rPr>
          <w:rStyle w:val="17"/>
          <w:rFonts w:ascii="仿宋_GB2312" w:eastAsia="仿宋_GB2312"/>
          <w:b w:val="0"/>
          <w:spacing w:val="-4"/>
          <w:sz w:val="32"/>
          <w:szCs w:val="32"/>
        </w:rPr>
        <w:t>3</w:t>
      </w:r>
      <w:r>
        <w:rPr>
          <w:rStyle w:val="17"/>
          <w:rFonts w:hint="eastAsia" w:ascii="仿宋_GB2312" w:eastAsia="仿宋_GB2312"/>
          <w:b w:val="0"/>
          <w:spacing w:val="-4"/>
          <w:sz w:val="32"/>
          <w:szCs w:val="32"/>
        </w:rPr>
        <w:t>）负责受理向县委、</w:t>
      </w:r>
      <w:r>
        <w:rPr>
          <w:rStyle w:val="17"/>
          <w:rFonts w:hint="eastAsia" w:ascii="仿宋_GB2312" w:eastAsia="仿宋_GB2312"/>
          <w:b w:val="0"/>
          <w:spacing w:val="-4"/>
          <w:sz w:val="32"/>
          <w:szCs w:val="32"/>
          <w:lang w:eastAsia="zh-CN"/>
        </w:rPr>
        <w:t>县</w:t>
      </w:r>
      <w:r>
        <w:rPr>
          <w:rStyle w:val="17"/>
          <w:rFonts w:hint="eastAsia" w:ascii="仿宋_GB2312" w:eastAsia="仿宋_GB2312"/>
          <w:b w:val="0"/>
          <w:spacing w:val="-4"/>
          <w:sz w:val="32"/>
          <w:szCs w:val="32"/>
        </w:rPr>
        <w:t>政府反映群众来信来电中提出的重要建议、意见和问题，综合研究信息，开展调查研究，提出制定修改完善有关方针政策的建议。</w:t>
      </w:r>
    </w:p>
    <w:p>
      <w:pPr>
        <w:autoSpaceDE w:val="0"/>
        <w:autoSpaceDN w:val="0"/>
        <w:adjustRightInd w:val="0"/>
        <w:spacing w:line="560" w:lineRule="exact"/>
        <w:ind w:firstLine="624" w:firstLineChars="200"/>
        <w:rPr>
          <w:rStyle w:val="17"/>
          <w:rFonts w:ascii="仿宋_GB2312" w:eastAsia="仿宋_GB2312"/>
          <w:b w:val="0"/>
          <w:spacing w:val="-4"/>
          <w:sz w:val="32"/>
          <w:szCs w:val="32"/>
        </w:rPr>
      </w:pPr>
      <w:r>
        <w:rPr>
          <w:rStyle w:val="17"/>
          <w:rFonts w:hint="eastAsia" w:ascii="仿宋_GB2312" w:eastAsia="仿宋_GB2312"/>
          <w:b w:val="0"/>
          <w:spacing w:val="-4"/>
          <w:sz w:val="32"/>
          <w:szCs w:val="32"/>
        </w:rPr>
        <w:t>（</w:t>
      </w:r>
      <w:r>
        <w:rPr>
          <w:rStyle w:val="17"/>
          <w:rFonts w:ascii="仿宋_GB2312" w:eastAsia="仿宋_GB2312"/>
          <w:b w:val="0"/>
          <w:spacing w:val="-4"/>
          <w:sz w:val="32"/>
          <w:szCs w:val="32"/>
        </w:rPr>
        <w:t>4</w:t>
      </w:r>
      <w:r>
        <w:rPr>
          <w:rStyle w:val="17"/>
          <w:rFonts w:hint="eastAsia" w:ascii="仿宋_GB2312" w:eastAsia="仿宋_GB2312"/>
          <w:b w:val="0"/>
          <w:spacing w:val="-4"/>
          <w:sz w:val="32"/>
          <w:szCs w:val="32"/>
        </w:rPr>
        <w:t>）承办上级机关、县委、</w:t>
      </w:r>
      <w:r>
        <w:rPr>
          <w:rStyle w:val="17"/>
          <w:rFonts w:hint="eastAsia" w:ascii="仿宋_GB2312" w:eastAsia="仿宋_GB2312"/>
          <w:b w:val="0"/>
          <w:spacing w:val="-4"/>
          <w:sz w:val="32"/>
          <w:szCs w:val="32"/>
          <w:lang w:eastAsia="zh-CN"/>
        </w:rPr>
        <w:t>县</w:t>
      </w:r>
      <w:r>
        <w:rPr>
          <w:rStyle w:val="17"/>
          <w:rFonts w:hint="eastAsia" w:ascii="仿宋_GB2312" w:eastAsia="仿宋_GB2312"/>
          <w:b w:val="0"/>
          <w:spacing w:val="-4"/>
          <w:sz w:val="32"/>
          <w:szCs w:val="32"/>
        </w:rPr>
        <w:t>政府领导同志交办或转办的信访事项，督促检查领导同志有关批示落实情况，拟定信访督查制度并组织实施，承办叶城县领导交办信访事项的落实，向有关部门、县直单位和乡镇（场区）转办、交办信访事项，督促检查重要信访事项的处理和落实。</w:t>
      </w:r>
    </w:p>
    <w:p>
      <w:pPr>
        <w:autoSpaceDE w:val="0"/>
        <w:autoSpaceDN w:val="0"/>
        <w:adjustRightInd w:val="0"/>
        <w:spacing w:line="560" w:lineRule="exact"/>
        <w:ind w:firstLine="624" w:firstLineChars="200"/>
        <w:rPr>
          <w:rStyle w:val="17"/>
          <w:rFonts w:ascii="仿宋_GB2312" w:eastAsia="仿宋_GB2312"/>
          <w:b w:val="0"/>
          <w:spacing w:val="-4"/>
          <w:sz w:val="32"/>
          <w:szCs w:val="32"/>
        </w:rPr>
      </w:pPr>
      <w:r>
        <w:rPr>
          <w:rStyle w:val="17"/>
          <w:rFonts w:hint="eastAsia" w:ascii="仿宋_GB2312" w:eastAsia="仿宋_GB2312"/>
          <w:b w:val="0"/>
          <w:spacing w:val="-4"/>
          <w:sz w:val="32"/>
          <w:szCs w:val="32"/>
        </w:rPr>
        <w:t>（</w:t>
      </w:r>
      <w:r>
        <w:rPr>
          <w:rStyle w:val="17"/>
          <w:rFonts w:ascii="仿宋_GB2312" w:eastAsia="仿宋_GB2312"/>
          <w:b w:val="0"/>
          <w:spacing w:val="-4"/>
          <w:sz w:val="32"/>
          <w:szCs w:val="32"/>
        </w:rPr>
        <w:t>5</w:t>
      </w:r>
      <w:r>
        <w:rPr>
          <w:rStyle w:val="17"/>
          <w:rFonts w:hint="eastAsia" w:ascii="仿宋_GB2312" w:eastAsia="仿宋_GB2312"/>
          <w:b w:val="0"/>
          <w:spacing w:val="-4"/>
          <w:sz w:val="32"/>
          <w:szCs w:val="32"/>
        </w:rPr>
        <w:t>）制定信访问题排查化解举措并组织实施，建立健全信访信息汇集分析机制，指导和检查叶城县信访信息系统信息网络的建设和运转。</w:t>
      </w:r>
    </w:p>
    <w:p>
      <w:pPr>
        <w:autoSpaceDE w:val="0"/>
        <w:autoSpaceDN w:val="0"/>
        <w:adjustRightInd w:val="0"/>
        <w:spacing w:line="560" w:lineRule="exact"/>
        <w:ind w:firstLine="624" w:firstLineChars="200"/>
        <w:rPr>
          <w:rStyle w:val="17"/>
          <w:rFonts w:ascii="仿宋_GB2312" w:eastAsia="仿宋_GB2312"/>
          <w:b w:val="0"/>
          <w:spacing w:val="-4"/>
          <w:sz w:val="32"/>
          <w:szCs w:val="32"/>
        </w:rPr>
      </w:pPr>
      <w:r>
        <w:rPr>
          <w:rStyle w:val="17"/>
          <w:rFonts w:hint="eastAsia" w:ascii="仿宋_GB2312" w:eastAsia="仿宋_GB2312"/>
          <w:b w:val="0"/>
          <w:spacing w:val="-4"/>
          <w:sz w:val="32"/>
          <w:szCs w:val="32"/>
        </w:rPr>
        <w:t>（</w:t>
      </w:r>
      <w:r>
        <w:rPr>
          <w:rStyle w:val="17"/>
          <w:rFonts w:ascii="仿宋_GB2312" w:eastAsia="仿宋_GB2312"/>
          <w:b w:val="0"/>
          <w:spacing w:val="-4"/>
          <w:sz w:val="32"/>
          <w:szCs w:val="32"/>
        </w:rPr>
        <w:t>6</w:t>
      </w:r>
      <w:r>
        <w:rPr>
          <w:rStyle w:val="17"/>
          <w:rFonts w:hint="eastAsia" w:ascii="仿宋_GB2312" w:eastAsia="仿宋_GB2312"/>
          <w:b w:val="0"/>
          <w:spacing w:val="-4"/>
          <w:sz w:val="32"/>
          <w:szCs w:val="32"/>
        </w:rPr>
        <w:t>）承担协调处理越级进京、自治区非正常上访和突发群体性信访事件；协调处理跨县市、跨行业、跨部门和人事分离、人户分离、人事户分离的重要信访事项；负责信访疑难案件和特殊疑难案件的梳理、审核、上报和有关资金按比例分配及案件的化解等工作。</w:t>
      </w:r>
    </w:p>
    <w:p>
      <w:pPr>
        <w:autoSpaceDE w:val="0"/>
        <w:autoSpaceDN w:val="0"/>
        <w:adjustRightInd w:val="0"/>
        <w:spacing w:line="560" w:lineRule="exact"/>
        <w:ind w:firstLine="624" w:firstLineChars="200"/>
        <w:rPr>
          <w:rStyle w:val="17"/>
          <w:rFonts w:ascii="仿宋_GB2312" w:eastAsia="仿宋_GB2312"/>
          <w:b w:val="0"/>
          <w:spacing w:val="-4"/>
          <w:sz w:val="32"/>
          <w:szCs w:val="32"/>
        </w:rPr>
      </w:pPr>
      <w:r>
        <w:rPr>
          <w:rStyle w:val="17"/>
          <w:rFonts w:hint="eastAsia" w:ascii="仿宋_GB2312" w:eastAsia="仿宋_GB2312"/>
          <w:b w:val="0"/>
          <w:spacing w:val="-4"/>
          <w:sz w:val="32"/>
          <w:szCs w:val="32"/>
        </w:rPr>
        <w:t>（</w:t>
      </w:r>
      <w:r>
        <w:rPr>
          <w:rStyle w:val="17"/>
          <w:rFonts w:ascii="仿宋_GB2312" w:eastAsia="仿宋_GB2312"/>
          <w:b w:val="0"/>
          <w:spacing w:val="-4"/>
          <w:sz w:val="32"/>
          <w:szCs w:val="32"/>
        </w:rPr>
        <w:t>7</w:t>
      </w:r>
      <w:r>
        <w:rPr>
          <w:rStyle w:val="17"/>
          <w:rFonts w:hint="eastAsia" w:ascii="仿宋_GB2312" w:eastAsia="仿宋_GB2312"/>
          <w:b w:val="0"/>
          <w:spacing w:val="-4"/>
          <w:sz w:val="32"/>
          <w:szCs w:val="32"/>
        </w:rPr>
        <w:t>）承担叶城县信访突出问题及群体性事件联席会议的日常工作，督促落实联席会议决定的事项。</w:t>
      </w:r>
    </w:p>
    <w:p>
      <w:pPr>
        <w:autoSpaceDE w:val="0"/>
        <w:autoSpaceDN w:val="0"/>
        <w:adjustRightInd w:val="0"/>
        <w:spacing w:line="560" w:lineRule="exact"/>
        <w:ind w:firstLine="624" w:firstLineChars="200"/>
        <w:rPr>
          <w:rStyle w:val="17"/>
          <w:rFonts w:ascii="仿宋_GB2312" w:eastAsia="仿宋_GB2312"/>
          <w:b w:val="0"/>
          <w:spacing w:val="-4"/>
          <w:sz w:val="32"/>
          <w:szCs w:val="32"/>
        </w:rPr>
      </w:pPr>
      <w:r>
        <w:rPr>
          <w:rStyle w:val="17"/>
          <w:rFonts w:hint="eastAsia" w:ascii="仿宋_GB2312" w:eastAsia="仿宋_GB2312"/>
          <w:b w:val="0"/>
          <w:spacing w:val="-4"/>
          <w:sz w:val="32"/>
          <w:szCs w:val="32"/>
        </w:rPr>
        <w:t>（</w:t>
      </w:r>
      <w:r>
        <w:rPr>
          <w:rStyle w:val="17"/>
          <w:rFonts w:ascii="仿宋_GB2312" w:eastAsia="仿宋_GB2312"/>
          <w:b w:val="0"/>
          <w:spacing w:val="-4"/>
          <w:sz w:val="32"/>
          <w:szCs w:val="32"/>
        </w:rPr>
        <w:t>8</w:t>
      </w:r>
      <w:r>
        <w:rPr>
          <w:rStyle w:val="17"/>
          <w:rFonts w:hint="eastAsia" w:ascii="仿宋_GB2312" w:eastAsia="仿宋_GB2312"/>
          <w:b w:val="0"/>
          <w:spacing w:val="-4"/>
          <w:sz w:val="32"/>
          <w:szCs w:val="32"/>
        </w:rPr>
        <w:t>）协调和组织信访工作的宣传和有关信息的发布，了解并掌握信访干部队伍及接待、办公建设情况，有针对性的组织干部培训。</w:t>
      </w:r>
    </w:p>
    <w:p>
      <w:pPr>
        <w:adjustRightInd w:val="0"/>
        <w:snapToGrid w:val="0"/>
        <w:spacing w:line="560" w:lineRule="exact"/>
        <w:ind w:firstLine="624" w:firstLineChars="200"/>
        <w:rPr>
          <w:rStyle w:val="17"/>
          <w:rFonts w:ascii="仿宋_GB2312" w:hAnsi="仿宋" w:eastAsia="仿宋_GB2312"/>
          <w:b w:val="0"/>
          <w:bCs w:val="0"/>
          <w:spacing w:val="-4"/>
          <w:sz w:val="32"/>
          <w:szCs w:val="32"/>
        </w:rPr>
      </w:pPr>
      <w:r>
        <w:rPr>
          <w:rStyle w:val="17"/>
          <w:rFonts w:hint="eastAsia" w:ascii="仿宋_GB2312" w:eastAsia="仿宋_GB2312"/>
          <w:b w:val="0"/>
          <w:spacing w:val="-4"/>
          <w:sz w:val="32"/>
          <w:szCs w:val="32"/>
        </w:rPr>
        <w:t>（</w:t>
      </w:r>
      <w:r>
        <w:rPr>
          <w:rStyle w:val="17"/>
          <w:rFonts w:ascii="仿宋_GB2312" w:eastAsia="仿宋_GB2312"/>
          <w:b w:val="0"/>
          <w:spacing w:val="-4"/>
          <w:sz w:val="32"/>
          <w:szCs w:val="32"/>
        </w:rPr>
        <w:t>9</w:t>
      </w:r>
      <w:r>
        <w:rPr>
          <w:rStyle w:val="17"/>
          <w:rFonts w:hint="eastAsia" w:ascii="仿宋_GB2312" w:eastAsia="仿宋_GB2312"/>
          <w:b w:val="0"/>
          <w:spacing w:val="-4"/>
          <w:sz w:val="32"/>
          <w:szCs w:val="32"/>
        </w:rPr>
        <w:t>）负责叶城县信访事项应急预案的制定和修订，有针对性的提出突发群体性事件应急预案的启动等工作。</w:t>
      </w:r>
    </w:p>
    <w:p>
      <w:pPr>
        <w:adjustRightInd w:val="0"/>
        <w:snapToGrid w:val="0"/>
        <w:spacing w:line="560" w:lineRule="exact"/>
        <w:ind w:firstLine="624" w:firstLineChars="200"/>
        <w:rPr>
          <w:rStyle w:val="17"/>
          <w:rFonts w:ascii="仿宋_GB2312" w:hAnsi="仿宋" w:eastAsia="仿宋_GB2312"/>
          <w:b w:val="0"/>
          <w:bCs w:val="0"/>
          <w:spacing w:val="-4"/>
          <w:sz w:val="32"/>
          <w:szCs w:val="32"/>
        </w:rPr>
      </w:pPr>
      <w:r>
        <w:rPr>
          <w:rStyle w:val="17"/>
          <w:rFonts w:hint="eastAsia" w:ascii="仿宋_GB2312" w:hAnsi="仿宋" w:eastAsia="仿宋_GB2312"/>
          <w:b w:val="0"/>
          <w:bCs w:val="0"/>
          <w:spacing w:val="-4"/>
          <w:sz w:val="32"/>
          <w:szCs w:val="32"/>
        </w:rPr>
        <w:t>（</w:t>
      </w:r>
      <w:r>
        <w:rPr>
          <w:rStyle w:val="17"/>
          <w:rFonts w:ascii="仿宋_GB2312" w:hAnsi="仿宋" w:eastAsia="仿宋_GB2312"/>
          <w:b w:val="0"/>
          <w:bCs w:val="0"/>
          <w:spacing w:val="-4"/>
          <w:sz w:val="32"/>
          <w:szCs w:val="32"/>
        </w:rPr>
        <w:t>10</w:t>
      </w:r>
      <w:r>
        <w:rPr>
          <w:rStyle w:val="17"/>
          <w:rFonts w:hint="eastAsia" w:ascii="仿宋_GB2312" w:hAnsi="仿宋" w:eastAsia="仿宋_GB2312"/>
          <w:b w:val="0"/>
          <w:bCs w:val="0"/>
          <w:spacing w:val="-4"/>
          <w:sz w:val="32"/>
          <w:szCs w:val="32"/>
        </w:rPr>
        <w:t>）承办</w:t>
      </w:r>
      <w:bookmarkStart w:id="8" w:name="_GoBack"/>
      <w:bookmarkEnd w:id="8"/>
      <w:r>
        <w:rPr>
          <w:rStyle w:val="17"/>
          <w:rFonts w:hint="eastAsia" w:ascii="仿宋_GB2312" w:hAnsi="仿宋" w:eastAsia="仿宋_GB2312"/>
          <w:b w:val="0"/>
          <w:bCs w:val="0"/>
          <w:spacing w:val="-4"/>
          <w:sz w:val="32"/>
          <w:szCs w:val="32"/>
        </w:rPr>
        <w:t>县委、县人民政府交办的其他工作。</w:t>
      </w:r>
    </w:p>
    <w:p>
      <w:pPr>
        <w:spacing w:line="560" w:lineRule="exact"/>
        <w:ind w:firstLine="624" w:firstLineChars="200"/>
        <w:rPr>
          <w:rStyle w:val="17"/>
          <w:rFonts w:ascii="仿宋_GB2312" w:hAnsi="仿宋" w:eastAsia="仿宋_GB2312"/>
          <w:b w:val="0"/>
          <w:bCs w:val="0"/>
          <w:spacing w:val="-4"/>
          <w:sz w:val="32"/>
          <w:szCs w:val="32"/>
        </w:rPr>
      </w:pPr>
      <w:r>
        <w:rPr>
          <w:rStyle w:val="17"/>
          <w:rFonts w:hint="eastAsia" w:ascii="仿宋_GB2312" w:hAnsi="仿宋" w:eastAsia="仿宋_GB2312"/>
          <w:b w:val="0"/>
          <w:bCs w:val="0"/>
          <w:spacing w:val="-4"/>
          <w:sz w:val="32"/>
          <w:szCs w:val="32"/>
        </w:rPr>
        <w:t>我局共有退休干部</w:t>
      </w:r>
      <w:r>
        <w:rPr>
          <w:rStyle w:val="17"/>
          <w:rFonts w:ascii="仿宋_GB2312" w:hAnsi="仿宋" w:eastAsia="仿宋_GB2312"/>
          <w:b w:val="0"/>
          <w:bCs w:val="0"/>
          <w:spacing w:val="-4"/>
          <w:sz w:val="32"/>
          <w:szCs w:val="32"/>
        </w:rPr>
        <w:t>4</w:t>
      </w:r>
      <w:r>
        <w:rPr>
          <w:rStyle w:val="17"/>
          <w:rFonts w:hint="eastAsia" w:ascii="仿宋_GB2312" w:hAnsi="仿宋" w:eastAsia="仿宋_GB2312"/>
          <w:b w:val="0"/>
          <w:bCs w:val="0"/>
          <w:spacing w:val="-4"/>
          <w:sz w:val="32"/>
          <w:szCs w:val="32"/>
        </w:rPr>
        <w:t>人，其中本地居住</w:t>
      </w:r>
      <w:r>
        <w:rPr>
          <w:rStyle w:val="17"/>
          <w:rFonts w:ascii="仿宋_GB2312" w:hAnsi="仿宋" w:eastAsia="仿宋_GB2312"/>
          <w:b w:val="0"/>
          <w:bCs w:val="0"/>
          <w:spacing w:val="-4"/>
          <w:sz w:val="32"/>
          <w:szCs w:val="32"/>
        </w:rPr>
        <w:t>2</w:t>
      </w:r>
      <w:r>
        <w:rPr>
          <w:rStyle w:val="17"/>
          <w:rFonts w:hint="eastAsia" w:ascii="仿宋_GB2312" w:hAnsi="仿宋" w:eastAsia="仿宋_GB2312"/>
          <w:b w:val="0"/>
          <w:bCs w:val="0"/>
          <w:spacing w:val="-4"/>
          <w:sz w:val="32"/>
          <w:szCs w:val="32"/>
        </w:rPr>
        <w:t>人。享受退休干部活动经费的退休干部</w:t>
      </w:r>
      <w:r>
        <w:rPr>
          <w:rStyle w:val="17"/>
          <w:rFonts w:ascii="仿宋_GB2312" w:hAnsi="仿宋" w:eastAsia="仿宋_GB2312"/>
          <w:b w:val="0"/>
          <w:bCs w:val="0"/>
          <w:spacing w:val="-4"/>
          <w:sz w:val="32"/>
          <w:szCs w:val="32"/>
        </w:rPr>
        <w:t>2</w:t>
      </w:r>
      <w:r>
        <w:rPr>
          <w:rStyle w:val="17"/>
          <w:rFonts w:hint="eastAsia" w:ascii="仿宋_GB2312" w:hAnsi="仿宋" w:eastAsia="仿宋_GB2312"/>
          <w:b w:val="0"/>
          <w:bCs w:val="0"/>
          <w:spacing w:val="-4"/>
          <w:sz w:val="32"/>
          <w:szCs w:val="32"/>
        </w:rPr>
        <w:t>人。</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项目主要内容：本项目为开展退休干部活动的经费，本单位退休干部</w:t>
      </w:r>
      <w:r>
        <w:rPr>
          <w:rFonts w:ascii="仿宋_GB2312" w:hAnsi="仿宋" w:eastAsia="仿宋_GB2312" w:cs="宋体"/>
          <w:sz w:val="32"/>
          <w:szCs w:val="32"/>
        </w:rPr>
        <w:t>2</w:t>
      </w:r>
      <w:r>
        <w:rPr>
          <w:rFonts w:hint="eastAsia" w:ascii="仿宋_GB2312" w:hAnsi="仿宋" w:eastAsia="仿宋_GB2312" w:cs="宋体"/>
          <w:sz w:val="32"/>
          <w:szCs w:val="32"/>
        </w:rPr>
        <w:t>名人均标准</w:t>
      </w:r>
      <w:r>
        <w:rPr>
          <w:rFonts w:ascii="仿宋_GB2312" w:hAnsi="仿宋" w:eastAsia="仿宋_GB2312" w:cs="宋体"/>
          <w:sz w:val="32"/>
          <w:szCs w:val="32"/>
        </w:rPr>
        <w:t>300</w:t>
      </w:r>
      <w:r>
        <w:rPr>
          <w:rFonts w:hint="eastAsia" w:ascii="仿宋_GB2312" w:hAnsi="仿宋" w:eastAsia="仿宋_GB2312" w:cs="宋体"/>
          <w:sz w:val="32"/>
          <w:szCs w:val="32"/>
        </w:rPr>
        <w:t>元，全年内进行慰问若次，做宣传，交流了解退休干部家庭情况，加强对党感恩意识，更好地提升服务水平，提高工作人员工作积极性。</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项目负责人及职责</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项目负责人为王武林，主要职责为在项目前期进行可行性研究，指导并监督部门工作安排，制定方案并严格按照该方案指导财务人员进行工作，确保该项目目标实现。</w:t>
      </w:r>
    </w:p>
    <w:p>
      <w:pPr>
        <w:pStyle w:val="30"/>
        <w:spacing w:before="0" w:after="0" w:line="560" w:lineRule="exact"/>
        <w:ind w:left="0" w:firstLine="643" w:firstLineChars="200"/>
      </w:pPr>
      <w:bookmarkStart w:id="1" w:name="_Toc26401550"/>
      <w:r>
        <w:rPr>
          <w:rFonts w:hint="eastAsia"/>
        </w:rPr>
        <w:t>资金</w:t>
      </w:r>
      <w:bookmarkEnd w:id="1"/>
      <w:r>
        <w:rPr>
          <w:rFonts w:hint="eastAsia"/>
        </w:rPr>
        <w:t>投入和使用情况</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预算金额</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该项目年初预算批复金额为</w:t>
      </w:r>
      <w:r>
        <w:rPr>
          <w:rFonts w:ascii="仿宋_GB2312" w:hAnsi="仿宋" w:eastAsia="仿宋_GB2312" w:cs="宋体"/>
          <w:sz w:val="32"/>
          <w:szCs w:val="32"/>
        </w:rPr>
        <w:t>0.06</w:t>
      </w:r>
      <w:r>
        <w:rPr>
          <w:rFonts w:hint="eastAsia" w:ascii="仿宋_GB2312" w:hAnsi="仿宋" w:eastAsia="仿宋_GB2312" w:cs="宋体"/>
          <w:sz w:val="32"/>
          <w:szCs w:val="32"/>
        </w:rPr>
        <w:t>万元。</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预算来源</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该项目预算来源为一般公共预算资金，</w:t>
      </w:r>
      <w:r>
        <w:rPr>
          <w:rFonts w:ascii="仿宋_GB2312" w:hAnsi="仿宋" w:eastAsia="仿宋_GB2312" w:cs="宋体"/>
          <w:sz w:val="32"/>
          <w:szCs w:val="32"/>
        </w:rPr>
        <w:t>2019</w:t>
      </w:r>
      <w:r>
        <w:rPr>
          <w:rFonts w:hint="eastAsia" w:ascii="仿宋_GB2312" w:hAnsi="仿宋" w:eastAsia="仿宋_GB2312" w:cs="宋体"/>
          <w:sz w:val="32"/>
          <w:szCs w:val="32"/>
        </w:rPr>
        <w:t>年实际到位资金</w:t>
      </w:r>
      <w:r>
        <w:rPr>
          <w:rFonts w:ascii="仿宋_GB2312" w:hAnsi="仿宋" w:eastAsia="仿宋_GB2312" w:cs="宋体"/>
          <w:sz w:val="32"/>
          <w:szCs w:val="32"/>
        </w:rPr>
        <w:t>0.06</w:t>
      </w:r>
      <w:r>
        <w:rPr>
          <w:rFonts w:hint="eastAsia" w:ascii="仿宋_GB2312" w:hAnsi="仿宋" w:eastAsia="仿宋_GB2312" w:cs="宋体"/>
          <w:sz w:val="32"/>
          <w:szCs w:val="32"/>
        </w:rPr>
        <w:t>万元，资金到位率</w:t>
      </w:r>
      <w:r>
        <w:rPr>
          <w:rFonts w:ascii="仿宋_GB2312" w:hAnsi="仿宋" w:eastAsia="仿宋_GB2312" w:cs="宋体"/>
          <w:sz w:val="32"/>
          <w:szCs w:val="32"/>
        </w:rPr>
        <w:t xml:space="preserve"> 100.00%</w:t>
      </w:r>
      <w:r>
        <w:rPr>
          <w:rFonts w:hint="eastAsia" w:ascii="仿宋_GB2312" w:hAnsi="仿宋" w:eastAsia="仿宋_GB2312" w:cs="宋体"/>
          <w:sz w:val="32"/>
          <w:szCs w:val="32"/>
        </w:rPr>
        <w:t>。</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项目实施起止时间</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本项目计划实施起止时间</w:t>
      </w:r>
      <w:r>
        <w:rPr>
          <w:rFonts w:ascii="仿宋_GB2312" w:hAnsi="仿宋" w:eastAsia="仿宋_GB2312" w:cs="宋体"/>
          <w:sz w:val="32"/>
          <w:szCs w:val="32"/>
        </w:rPr>
        <w:t xml:space="preserve"> 2019 </w:t>
      </w:r>
      <w:r>
        <w:rPr>
          <w:rFonts w:hint="eastAsia" w:ascii="仿宋_GB2312" w:hAnsi="仿宋" w:eastAsia="仿宋_GB2312" w:cs="宋体"/>
          <w:sz w:val="32"/>
          <w:szCs w:val="32"/>
        </w:rPr>
        <w:t>年</w:t>
      </w:r>
      <w:r>
        <w:rPr>
          <w:rFonts w:ascii="仿宋_GB2312" w:hAnsi="仿宋" w:eastAsia="仿宋_GB2312" w:cs="宋体"/>
          <w:sz w:val="32"/>
          <w:szCs w:val="32"/>
        </w:rPr>
        <w:t xml:space="preserve"> 1 </w:t>
      </w:r>
      <w:r>
        <w:rPr>
          <w:rFonts w:hint="eastAsia" w:ascii="仿宋_GB2312" w:hAnsi="仿宋" w:eastAsia="仿宋_GB2312" w:cs="宋体"/>
          <w:sz w:val="32"/>
          <w:szCs w:val="32"/>
        </w:rPr>
        <w:t>月</w:t>
      </w:r>
      <w:r>
        <w:rPr>
          <w:rFonts w:ascii="仿宋_GB2312" w:hAnsi="仿宋" w:eastAsia="仿宋_GB2312" w:cs="宋体"/>
          <w:sz w:val="32"/>
          <w:szCs w:val="32"/>
        </w:rPr>
        <w:t xml:space="preserve">-2019 </w:t>
      </w:r>
      <w:r>
        <w:rPr>
          <w:rFonts w:hint="eastAsia" w:ascii="仿宋_GB2312" w:hAnsi="仿宋" w:eastAsia="仿宋_GB2312" w:cs="宋体"/>
          <w:sz w:val="32"/>
          <w:szCs w:val="32"/>
        </w:rPr>
        <w:t>年</w:t>
      </w:r>
      <w:r>
        <w:rPr>
          <w:rFonts w:ascii="仿宋_GB2312" w:hAnsi="仿宋" w:eastAsia="仿宋_GB2312" w:cs="宋体"/>
          <w:sz w:val="32"/>
          <w:szCs w:val="32"/>
        </w:rPr>
        <w:t xml:space="preserve"> 12 </w:t>
      </w:r>
      <w:r>
        <w:rPr>
          <w:rFonts w:hint="eastAsia" w:ascii="仿宋_GB2312" w:hAnsi="仿宋" w:eastAsia="仿宋_GB2312" w:cs="宋体"/>
          <w:sz w:val="32"/>
          <w:szCs w:val="32"/>
        </w:rPr>
        <w:t>月</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实际实施起止时间为</w:t>
      </w:r>
      <w:r>
        <w:rPr>
          <w:rFonts w:ascii="仿宋_GB2312" w:hAnsi="仿宋" w:eastAsia="仿宋_GB2312" w:cs="宋体"/>
          <w:sz w:val="32"/>
          <w:szCs w:val="32"/>
        </w:rPr>
        <w:t xml:space="preserve"> 2019</w:t>
      </w:r>
      <w:r>
        <w:rPr>
          <w:rFonts w:hint="eastAsia" w:ascii="仿宋_GB2312" w:hAnsi="仿宋" w:eastAsia="仿宋_GB2312" w:cs="宋体"/>
          <w:sz w:val="32"/>
          <w:szCs w:val="32"/>
        </w:rPr>
        <w:t>年</w:t>
      </w:r>
      <w:r>
        <w:rPr>
          <w:rFonts w:ascii="仿宋_GB2312" w:hAnsi="仿宋" w:eastAsia="仿宋_GB2312" w:cs="宋体"/>
          <w:sz w:val="32"/>
          <w:szCs w:val="32"/>
        </w:rPr>
        <w:t xml:space="preserve"> 1 </w:t>
      </w:r>
      <w:r>
        <w:rPr>
          <w:rFonts w:hint="eastAsia" w:ascii="仿宋_GB2312" w:hAnsi="仿宋" w:eastAsia="仿宋_GB2312" w:cs="宋体"/>
          <w:sz w:val="32"/>
          <w:szCs w:val="32"/>
        </w:rPr>
        <w:t>月</w:t>
      </w:r>
      <w:r>
        <w:rPr>
          <w:rFonts w:ascii="仿宋_GB2312" w:hAnsi="仿宋" w:eastAsia="仿宋_GB2312" w:cs="宋体"/>
          <w:sz w:val="32"/>
          <w:szCs w:val="32"/>
        </w:rPr>
        <w:t xml:space="preserve">—2019 </w:t>
      </w:r>
      <w:r>
        <w:rPr>
          <w:rFonts w:hint="eastAsia" w:ascii="仿宋_GB2312" w:hAnsi="仿宋" w:eastAsia="仿宋_GB2312" w:cs="宋体"/>
          <w:sz w:val="32"/>
          <w:szCs w:val="32"/>
        </w:rPr>
        <w:t>年</w:t>
      </w:r>
      <w:r>
        <w:rPr>
          <w:rFonts w:ascii="仿宋_GB2312" w:hAnsi="仿宋" w:eastAsia="仿宋_GB2312" w:cs="宋体"/>
          <w:sz w:val="32"/>
          <w:szCs w:val="32"/>
        </w:rPr>
        <w:t xml:space="preserve">12 </w:t>
      </w:r>
      <w:r>
        <w:rPr>
          <w:rFonts w:hint="eastAsia" w:ascii="仿宋_GB2312" w:hAnsi="仿宋" w:eastAsia="仿宋_GB2312" w:cs="宋体"/>
          <w:sz w:val="32"/>
          <w:szCs w:val="32"/>
        </w:rPr>
        <w:t>月</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4.</w:t>
      </w:r>
      <w:r>
        <w:rPr>
          <w:rFonts w:hint="eastAsia" w:ascii="仿宋_GB2312" w:hAnsi="仿宋" w:eastAsia="仿宋_GB2312" w:cs="宋体"/>
          <w:sz w:val="32"/>
          <w:szCs w:val="32"/>
        </w:rPr>
        <w:t>预算执行情况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项目实际支出</w:t>
      </w:r>
      <w:r>
        <w:rPr>
          <w:rFonts w:ascii="仿宋_GB2312" w:hAnsi="仿宋" w:eastAsia="仿宋_GB2312" w:cs="宋体"/>
          <w:sz w:val="32"/>
          <w:szCs w:val="32"/>
        </w:rPr>
        <w:t>0.06</w:t>
      </w:r>
      <w:r>
        <w:rPr>
          <w:rFonts w:hint="eastAsia" w:ascii="仿宋_GB2312" w:hAnsi="仿宋" w:eastAsia="仿宋_GB2312" w:cs="宋体"/>
          <w:sz w:val="32"/>
          <w:szCs w:val="32"/>
        </w:rPr>
        <w:t>万元，预算执行率为</w:t>
      </w:r>
      <w:r>
        <w:rPr>
          <w:rFonts w:ascii="仿宋_GB2312" w:hAnsi="仿宋" w:eastAsia="仿宋_GB2312" w:cs="宋体"/>
          <w:sz w:val="32"/>
          <w:szCs w:val="32"/>
        </w:rPr>
        <w:t>100%</w:t>
      </w:r>
      <w:r>
        <w:rPr>
          <w:rFonts w:hint="eastAsia" w:ascii="仿宋_GB2312" w:hAnsi="仿宋" w:eastAsia="仿宋_GB2312" w:cs="宋体"/>
          <w:sz w:val="32"/>
          <w:szCs w:val="32"/>
        </w:rPr>
        <w:t>，主要用于购买慰问老干部的物品，开展宣传及其他活动的经费。</w:t>
      </w:r>
    </w:p>
    <w:p>
      <w:pPr>
        <w:numPr>
          <w:ilvl w:val="0"/>
          <w:numId w:val="5"/>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资金的使用制度</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该项目实施严格执行资金管理办法和财政资金管理制度，《退休老干部管理办法》，严格按照项目实施方案稳步推进工作，保证项目高质量、高标准完成。</w:t>
      </w:r>
    </w:p>
    <w:p>
      <w:pPr>
        <w:pStyle w:val="30"/>
        <w:spacing w:before="0" w:after="0" w:line="560" w:lineRule="exact"/>
        <w:ind w:left="0" w:firstLine="643" w:firstLineChars="200"/>
      </w:pPr>
      <w:bookmarkStart w:id="2" w:name="_Toc26401551"/>
      <w:r>
        <w:rPr>
          <w:rFonts w:hint="eastAsia"/>
        </w:rPr>
        <w:t>绩效目标</w:t>
      </w:r>
      <w:bookmarkEnd w:id="2"/>
    </w:p>
    <w:p>
      <w:pPr>
        <w:spacing w:line="560" w:lineRule="exact"/>
        <w:ind w:firstLine="640" w:firstLineChars="200"/>
        <w:rPr>
          <w:highlight w:val="yellow"/>
        </w:rPr>
      </w:pPr>
      <w:r>
        <w:rPr>
          <w:rFonts w:ascii="仿宋_GB2312" w:hAnsi="仿宋" w:eastAsia="仿宋_GB2312" w:cs="宋体"/>
          <w:sz w:val="32"/>
          <w:szCs w:val="32"/>
        </w:rPr>
        <w:t xml:space="preserve"> </w:t>
      </w:r>
      <w:r>
        <w:rPr>
          <w:rFonts w:hint="eastAsia" w:ascii="仿宋_GB2312" w:hAnsi="仿宋" w:eastAsia="仿宋_GB2312" w:cs="宋体"/>
          <w:sz w:val="32"/>
          <w:szCs w:val="32"/>
        </w:rPr>
        <w:t>通过慰问老干部，积极开展老年文体活动，不断丰富老干部精神文化生活，增加对退休老干部的关心关爱，切实保障老干部的待遇，发挥老干部为人民服务余热。</w:t>
      </w:r>
    </w:p>
    <w:p>
      <w:pPr>
        <w:pStyle w:val="29"/>
        <w:numPr>
          <w:ilvl w:val="0"/>
          <w:numId w:val="2"/>
        </w:numPr>
        <w:spacing w:before="0" w:after="0" w:line="560" w:lineRule="exact"/>
        <w:ind w:left="0" w:firstLine="643"/>
      </w:pPr>
      <w:bookmarkStart w:id="3" w:name="_Toc26401552"/>
      <w:r>
        <w:rPr>
          <w:rFonts w:hint="eastAsia"/>
        </w:rPr>
        <w:t>评价工作简述</w:t>
      </w:r>
      <w:bookmarkEnd w:id="3"/>
    </w:p>
    <w:p>
      <w:pPr>
        <w:pStyle w:val="30"/>
        <w:numPr>
          <w:ilvl w:val="0"/>
          <w:numId w:val="6"/>
        </w:numPr>
        <w:spacing w:before="0" w:after="0" w:line="560" w:lineRule="exact"/>
        <w:ind w:left="0" w:firstLine="643" w:firstLineChars="200"/>
      </w:pPr>
      <w:bookmarkStart w:id="4" w:name="_Toc26401553"/>
      <w:r>
        <w:rPr>
          <w:rFonts w:hint="eastAsia"/>
        </w:rPr>
        <w:t>评价目的</w:t>
      </w:r>
      <w:bookmarkEnd w:id="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本项目为财政支出绩效评价</w:t>
      </w:r>
      <w:r>
        <w:rPr>
          <w:rFonts w:ascii="仿宋_GB2312" w:hAnsi="仿宋" w:eastAsia="仿宋_GB2312" w:cs="宋体"/>
          <w:sz w:val="32"/>
          <w:szCs w:val="32"/>
        </w:rPr>
        <w:t>,</w:t>
      </w:r>
      <w:r>
        <w:rPr>
          <w:rFonts w:hint="eastAsia" w:ascii="仿宋_GB2312" w:hAnsi="仿宋" w:eastAsia="仿宋_GB2312" w:cs="宋体"/>
          <w:sz w:val="32"/>
          <w:szCs w:val="32"/>
        </w:rPr>
        <w:t>是通过对该项目决策、项目管理和项目绩效作出评定</w:t>
      </w:r>
      <w:r>
        <w:rPr>
          <w:rFonts w:ascii="仿宋_GB2312" w:hAnsi="仿宋" w:eastAsia="仿宋_GB2312" w:cs="宋体"/>
          <w:sz w:val="32"/>
          <w:szCs w:val="32"/>
        </w:rPr>
        <w:t>,</w:t>
      </w:r>
      <w:r>
        <w:rPr>
          <w:rFonts w:hint="eastAsia" w:ascii="仿宋_GB2312" w:hAnsi="仿宋" w:eastAsia="仿宋_GB2312" w:cs="宋体"/>
          <w:sz w:val="32"/>
          <w:szCs w:val="32"/>
        </w:rPr>
        <w:t>全面了解财政预算资金支出安排情况、资金实际使用状况和项目的绩效</w:t>
      </w:r>
      <w:r>
        <w:rPr>
          <w:rFonts w:ascii="仿宋_GB2312" w:hAnsi="仿宋" w:eastAsia="仿宋_GB2312" w:cs="宋体"/>
          <w:sz w:val="32"/>
          <w:szCs w:val="32"/>
        </w:rPr>
        <w:t>,</w:t>
      </w:r>
      <w:r>
        <w:rPr>
          <w:rFonts w:hint="eastAsia" w:ascii="仿宋_GB2312" w:hAnsi="仿宋" w:eastAsia="仿宋_GB2312" w:cs="宋体"/>
          <w:sz w:val="32"/>
          <w:szCs w:val="32"/>
        </w:rPr>
        <w:t>帮助健全和完善科学的、符合实际情况的项目绩效目标</w:t>
      </w:r>
      <w:r>
        <w:rPr>
          <w:rFonts w:ascii="仿宋_GB2312" w:hAnsi="仿宋" w:eastAsia="仿宋_GB2312" w:cs="宋体"/>
          <w:sz w:val="32"/>
          <w:szCs w:val="32"/>
        </w:rPr>
        <w:t>,</w:t>
      </w:r>
      <w:r>
        <w:rPr>
          <w:rFonts w:hint="eastAsia" w:ascii="仿宋_GB2312" w:hAnsi="仿宋" w:eastAsia="仿宋_GB2312" w:cs="宋体"/>
          <w:sz w:val="32"/>
          <w:szCs w:val="32"/>
        </w:rPr>
        <w:t>肯定取得的成绩</w:t>
      </w:r>
      <w:r>
        <w:rPr>
          <w:rFonts w:ascii="仿宋_GB2312" w:hAnsi="仿宋" w:eastAsia="仿宋_GB2312" w:cs="宋体"/>
          <w:sz w:val="32"/>
          <w:szCs w:val="32"/>
        </w:rPr>
        <w:t>,</w:t>
      </w:r>
      <w:r>
        <w:rPr>
          <w:rFonts w:hint="eastAsia" w:ascii="仿宋_GB2312" w:hAnsi="仿宋" w:eastAsia="仿宋_GB2312" w:cs="宋体"/>
          <w:sz w:val="32"/>
          <w:szCs w:val="32"/>
        </w:rPr>
        <w:t>提出存在的问题</w:t>
      </w:r>
      <w:r>
        <w:rPr>
          <w:rFonts w:ascii="仿宋_GB2312" w:hAnsi="仿宋" w:eastAsia="仿宋_GB2312" w:cs="宋体"/>
          <w:sz w:val="32"/>
          <w:szCs w:val="32"/>
        </w:rPr>
        <w:t>,</w:t>
      </w:r>
      <w:r>
        <w:rPr>
          <w:rFonts w:hint="eastAsia" w:ascii="仿宋_GB2312" w:hAnsi="仿宋" w:eastAsia="仿宋_GB2312" w:cs="宋体"/>
          <w:sz w:val="32"/>
          <w:szCs w:val="32"/>
        </w:rPr>
        <w:t>给出相应的建议</w:t>
      </w:r>
      <w:r>
        <w:rPr>
          <w:rFonts w:ascii="仿宋_GB2312" w:hAnsi="仿宋" w:eastAsia="仿宋_GB2312" w:cs="宋体"/>
          <w:sz w:val="32"/>
          <w:szCs w:val="32"/>
        </w:rPr>
        <w:t>,</w:t>
      </w:r>
      <w:r>
        <w:rPr>
          <w:rFonts w:hint="eastAsia" w:ascii="仿宋_GB2312" w:hAnsi="仿宋" w:eastAsia="仿宋_GB2312" w:cs="宋体"/>
          <w:sz w:val="32"/>
          <w:szCs w:val="32"/>
        </w:rPr>
        <w:t>以而保证项目的持续开展</w:t>
      </w:r>
      <w:r>
        <w:rPr>
          <w:rFonts w:ascii="仿宋_GB2312" w:hAnsi="仿宋" w:eastAsia="仿宋_GB2312" w:cs="宋体"/>
          <w:sz w:val="32"/>
          <w:szCs w:val="32"/>
        </w:rPr>
        <w:t>,</w:t>
      </w:r>
      <w:r>
        <w:rPr>
          <w:rFonts w:hint="eastAsia" w:ascii="仿宋_GB2312" w:hAnsi="仿宋" w:eastAsia="仿宋_GB2312" w:cs="宋体"/>
          <w:sz w:val="32"/>
          <w:szCs w:val="32"/>
        </w:rPr>
        <w:t>推进财政绩效预算工作的顺利实施，根据老干部的特点出发，创新活动载体，改进活动方式，思想性和科学性、知识性结合起来，广泛组织开展文娱活动，满足老干部多样化的精神文化需求。</w:t>
      </w:r>
    </w:p>
    <w:p>
      <w:pPr>
        <w:pStyle w:val="30"/>
        <w:numPr>
          <w:ilvl w:val="0"/>
          <w:numId w:val="6"/>
        </w:numPr>
        <w:spacing w:before="0" w:after="0" w:line="560" w:lineRule="exact"/>
        <w:ind w:left="0" w:firstLine="643" w:firstLineChars="200"/>
      </w:pPr>
      <w:r>
        <w:rPr>
          <w:rFonts w:hint="eastAsia"/>
        </w:rPr>
        <w:t>本次绩效评价的对象及范围</w:t>
      </w:r>
      <w:bookmarkStart w:id="5" w:name="_Toc2640155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项目资金</w:t>
      </w:r>
      <w:r>
        <w:rPr>
          <w:rFonts w:ascii="仿宋_GB2312" w:hAnsi="仿宋" w:eastAsia="仿宋_GB2312" w:cs="宋体"/>
          <w:sz w:val="32"/>
          <w:szCs w:val="32"/>
        </w:rPr>
        <w:t>0.06</w:t>
      </w:r>
      <w:r>
        <w:rPr>
          <w:rFonts w:hint="eastAsia" w:ascii="仿宋_GB2312" w:hAnsi="仿宋" w:eastAsia="仿宋_GB2312" w:cs="宋体"/>
          <w:sz w:val="32"/>
          <w:szCs w:val="32"/>
        </w:rPr>
        <w:t>万元，资金到位率为</w:t>
      </w:r>
      <w:r>
        <w:rPr>
          <w:rFonts w:ascii="仿宋_GB2312" w:hAnsi="仿宋" w:eastAsia="仿宋_GB2312" w:cs="宋体"/>
          <w:sz w:val="32"/>
          <w:szCs w:val="32"/>
        </w:rPr>
        <w:t>100%</w:t>
      </w:r>
      <w:r>
        <w:rPr>
          <w:rFonts w:hint="eastAsia" w:ascii="仿宋_GB2312" w:hAnsi="仿宋" w:eastAsia="仿宋_GB2312" w:cs="宋体"/>
          <w:sz w:val="32"/>
          <w:szCs w:val="32"/>
        </w:rPr>
        <w:t>。资金来源为一般公共预算资金。进一步激励了老干部生活、服务的积极性，有效加强老干部的幸福感及归属感，使他们觉得退休不退责任，退休也能服务群众。</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资金使用范围：</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按照国库集中支付原则，根据开展老干部活动的实际情况，进行申请拨付资金。</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项目实施及管理情况：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该项目不存在调整情况。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严格遵守相关法律法规和业务管理规定，对项目各项资料整理并及时归档。不定期对项目进行督导检查，对检查过程中发现的问题及时督促整改。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pPr>
        <w:pStyle w:val="30"/>
        <w:numPr>
          <w:ilvl w:val="0"/>
          <w:numId w:val="6"/>
        </w:numPr>
        <w:spacing w:before="0" w:after="0" w:line="560" w:lineRule="exact"/>
        <w:ind w:left="0" w:firstLine="643" w:firstLineChars="200"/>
      </w:pPr>
      <w:r>
        <w:rPr>
          <w:rFonts w:hint="eastAsia"/>
        </w:rPr>
        <w:t>绩效评价原则</w:t>
      </w:r>
      <w:bookmarkEnd w:id="5"/>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30"/>
        <w:keepNext w:val="0"/>
        <w:keepLines w:val="0"/>
        <w:numPr>
          <w:ilvl w:val="1"/>
          <w:numId w:val="7"/>
        </w:numPr>
        <w:spacing w:before="0" w:after="0" w:line="560" w:lineRule="exact"/>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30"/>
        <w:keepNext w:val="0"/>
        <w:keepLines w:val="0"/>
        <w:numPr>
          <w:ilvl w:val="1"/>
          <w:numId w:val="7"/>
        </w:numPr>
        <w:spacing w:before="0" w:after="0" w:line="560" w:lineRule="exact"/>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w:t>
      </w:r>
    </w:p>
    <w:p>
      <w:pPr>
        <w:pStyle w:val="30"/>
        <w:keepNext w:val="0"/>
        <w:keepLines w:val="0"/>
        <w:numPr>
          <w:ilvl w:val="1"/>
          <w:numId w:val="7"/>
        </w:numPr>
        <w:spacing w:before="0" w:after="0" w:line="560" w:lineRule="exact"/>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30"/>
        <w:keepNext w:val="0"/>
        <w:keepLines w:val="0"/>
        <w:numPr>
          <w:ilvl w:val="1"/>
          <w:numId w:val="7"/>
        </w:numPr>
        <w:spacing w:before="0" w:after="0" w:line="560" w:lineRule="exact"/>
        <w:ind w:left="0" w:firstLine="640" w:firstLineChars="200"/>
        <w:rPr>
          <w:b w:val="0"/>
        </w:rPr>
      </w:pPr>
      <w:r>
        <w:rPr>
          <w:rFonts w:hint="eastAsia" w:hAnsi="仿宋" w:cs="宋体"/>
          <w:b w:val="0"/>
        </w:rPr>
        <w:t>公开透明。绩效评价结果应依法依规公开，并自觉接受社会监督。</w:t>
      </w:r>
    </w:p>
    <w:p>
      <w:pPr>
        <w:pStyle w:val="30"/>
        <w:numPr>
          <w:ilvl w:val="0"/>
          <w:numId w:val="6"/>
        </w:numPr>
        <w:spacing w:before="0" w:after="0" w:line="560" w:lineRule="exact"/>
        <w:ind w:left="0" w:firstLine="643" w:firstLineChars="200"/>
      </w:pPr>
      <w:r>
        <w:rPr>
          <w:rFonts w:hint="eastAsia"/>
        </w:rPr>
        <w:t>本项目绩效评价体系</w:t>
      </w:r>
    </w:p>
    <w:p>
      <w:pPr>
        <w:pStyle w:val="30"/>
        <w:numPr>
          <w:ilvl w:val="0"/>
          <w:numId w:val="0"/>
        </w:numPr>
        <w:spacing w:before="0" w:after="0" w:line="560" w:lineRule="exact"/>
        <w:ind w:firstLine="640" w:firstLineChars="200"/>
        <w:rPr>
          <w:b w:val="0"/>
        </w:rPr>
      </w:pPr>
      <w:r>
        <w:rPr>
          <w:rFonts w:hint="eastAsia"/>
          <w:b w:val="0"/>
        </w:rPr>
        <w:t>本项目绩效评价体系为根据财预</w:t>
      </w:r>
      <w:r>
        <w:rPr>
          <w:rFonts w:hint="eastAsia" w:ascii="仿宋" w:hAnsi="仿宋" w:eastAsia="仿宋"/>
          <w:b w:val="0"/>
        </w:rPr>
        <w:t>﹝</w:t>
      </w:r>
      <w:r>
        <w:rPr>
          <w:b w:val="0"/>
        </w:rPr>
        <w:t>2020</w:t>
      </w:r>
      <w:r>
        <w:rPr>
          <w:rFonts w:hint="eastAsia" w:ascii="仿宋" w:hAnsi="仿宋" w:eastAsia="仿宋"/>
          <w:b w:val="0"/>
        </w:rPr>
        <w:t>﹞</w:t>
      </w:r>
      <w:r>
        <w:rPr>
          <w:b w:val="0"/>
        </w:rPr>
        <w:t>10</w:t>
      </w:r>
      <w:r>
        <w:rPr>
          <w:rFonts w:hint="eastAsia"/>
          <w:b w:val="0"/>
        </w:rPr>
        <w:t>号共性指标及个性化指标设置，详见附件</w:t>
      </w:r>
      <w:r>
        <w:rPr>
          <w:b w:val="0"/>
        </w:rPr>
        <w:t>2</w:t>
      </w:r>
      <w:r>
        <w:rPr>
          <w:rFonts w:hint="eastAsia"/>
          <w:b w:val="0"/>
        </w:rPr>
        <w:t>。</w:t>
      </w:r>
    </w:p>
    <w:p>
      <w:pPr>
        <w:pStyle w:val="30"/>
        <w:keepNext w:val="0"/>
        <w:keepLines w:val="0"/>
        <w:numPr>
          <w:ilvl w:val="0"/>
          <w:numId w:val="6"/>
        </w:numPr>
        <w:spacing w:before="0" w:after="0" w:line="560" w:lineRule="exact"/>
        <w:ind w:left="0" w:firstLine="643" w:firstLineChars="200"/>
      </w:pPr>
      <w:bookmarkStart w:id="6" w:name="_Toc26401555"/>
      <w:r>
        <w:rPr>
          <w:rFonts w:hint="eastAsia"/>
        </w:rPr>
        <w:t>绩效评价方法</w:t>
      </w:r>
      <w:bookmarkEnd w:id="6"/>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1</w:t>
      </w:r>
      <w:r>
        <w:rPr>
          <w:rFonts w:hint="eastAsia" w:ascii="仿宋_GB2312" w:hAnsi="仿宋" w:eastAsia="仿宋_GB2312" w:cs="宋体"/>
          <w:sz w:val="32"/>
          <w:szCs w:val="32"/>
        </w:rPr>
        <w:t>）数据采集方法及过程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主要采用查阅相关文件政策、会计凭证等资料，发放数据统计表格，以填报的方式采集项目资金支出情况、项目完成情况及项目成本构成等数据资料；并通过访谈、社会调查掌握具体情况，对采集的数据做详细的分析和统计。</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2</w:t>
      </w:r>
      <w:r>
        <w:rPr>
          <w:rFonts w:hint="eastAsia" w:ascii="仿宋_GB2312" w:hAnsi="仿宋" w:eastAsia="仿宋_GB2312" w:cs="宋体"/>
          <w:sz w:val="32"/>
          <w:szCs w:val="32"/>
        </w:rPr>
        <w:t>）资金使用情况检查方法及过程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项目资金使用情况进行检查，不存在截留、挪用财政专项资金的情况；资金支付审批情况合规；资金支付所需材料齐备；不存在擅自改变、扩大支出范围的情况；不存在擅自提高支出标准、虚列项目支出等情况。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3</w:t>
      </w:r>
      <w:r>
        <w:rPr>
          <w:rFonts w:hint="eastAsia" w:ascii="仿宋_GB2312" w:hAnsi="仿宋" w:eastAsia="仿宋_GB2312" w:cs="宋体"/>
          <w:sz w:val="32"/>
          <w:szCs w:val="32"/>
        </w:rPr>
        <w:t>）实地调研的方法</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项目评价组根据项目实施过程及指标评价需求判断，针对项目进行实地调研考察，对人员进行问卷调查法，在限期内收集、分析调查问卷</w:t>
      </w:r>
      <w:r>
        <w:rPr>
          <w:rFonts w:ascii="仿宋_GB2312" w:hAnsi="仿宋" w:eastAsia="仿宋_GB2312" w:cs="宋体"/>
          <w:sz w:val="32"/>
          <w:szCs w:val="32"/>
        </w:rPr>
        <w:t>,</w:t>
      </w:r>
      <w:r>
        <w:rPr>
          <w:rFonts w:hint="eastAsia" w:ascii="仿宋_GB2312" w:hAnsi="仿宋" w:eastAsia="仿宋_GB2312" w:cs="宋体"/>
          <w:sz w:val="32"/>
          <w:szCs w:val="32"/>
        </w:rPr>
        <w:t>进行评价和判断的方法。</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4</w:t>
      </w:r>
      <w:r>
        <w:rPr>
          <w:rFonts w:hint="eastAsia" w:ascii="仿宋_GB2312" w:hAnsi="仿宋" w:eastAsia="仿宋_GB2312" w:cs="宋体"/>
          <w:sz w:val="32"/>
          <w:szCs w:val="32"/>
        </w:rPr>
        <w:t>）撰写报告情况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项目评价组根据绩效评价的原理，对收集的数据汇总和分析，撰写绩效评价报告。</w:t>
      </w:r>
    </w:p>
    <w:p>
      <w:pPr>
        <w:pStyle w:val="30"/>
        <w:keepNext w:val="0"/>
        <w:keepLines w:val="0"/>
        <w:numPr>
          <w:ilvl w:val="0"/>
          <w:numId w:val="6"/>
        </w:numPr>
        <w:spacing w:before="0" w:after="0" w:line="560" w:lineRule="exact"/>
        <w:ind w:left="0" w:firstLine="643" w:firstLineChars="200"/>
      </w:pPr>
      <w:r>
        <w:rPr>
          <w:rFonts w:hint="eastAsia"/>
        </w:rPr>
        <w:t>评价标准</w:t>
      </w:r>
    </w:p>
    <w:p>
      <w:pPr>
        <w:spacing w:line="560" w:lineRule="exact"/>
        <w:ind w:firstLine="420" w:firstLineChars="200"/>
        <w:rPr>
          <w:rFonts w:ascii="仿宋_GB2312" w:hAnsi="仿宋" w:eastAsia="仿宋_GB2312" w:cs="宋体"/>
          <w:sz w:val="32"/>
          <w:szCs w:val="32"/>
        </w:rPr>
      </w:pPr>
      <w:r>
        <w:t xml:space="preserve"> </w:t>
      </w:r>
      <w:r>
        <w:rPr>
          <w:rFonts w:hint="eastAsia" w:ascii="仿宋_GB2312" w:hAnsi="仿宋" w:eastAsia="仿宋_GB2312" w:cs="宋体"/>
          <w:sz w:val="32"/>
          <w:szCs w:val="32"/>
        </w:rPr>
        <w:t>计划标准</w:t>
      </w:r>
      <w:r>
        <w:rPr>
          <w:rFonts w:ascii="仿宋_GB2312" w:hAnsi="仿宋" w:eastAsia="仿宋_GB2312" w:cs="宋体"/>
          <w:sz w:val="32"/>
          <w:szCs w:val="32"/>
        </w:rPr>
        <w:t>:</w:t>
      </w:r>
      <w:r>
        <w:rPr>
          <w:rFonts w:hint="eastAsia" w:ascii="仿宋_GB2312" w:hAnsi="仿宋" w:eastAsia="仿宋_GB2312" w:cs="宋体"/>
          <w:sz w:val="32"/>
          <w:szCs w:val="32"/>
        </w:rPr>
        <w:t>计划标准为年度预期目标退休老干部</w:t>
      </w:r>
      <w:r>
        <w:rPr>
          <w:rFonts w:ascii="仿宋_GB2312" w:hAnsi="仿宋" w:eastAsia="仿宋_GB2312" w:cs="宋体"/>
          <w:sz w:val="32"/>
          <w:szCs w:val="32"/>
        </w:rPr>
        <w:t>2</w:t>
      </w:r>
      <w:r>
        <w:rPr>
          <w:rFonts w:hint="eastAsia" w:ascii="仿宋_GB2312" w:hAnsi="仿宋" w:eastAsia="仿宋_GB2312" w:cs="宋体"/>
          <w:sz w:val="32"/>
          <w:szCs w:val="32"/>
        </w:rPr>
        <w:t>人，人均</w:t>
      </w:r>
      <w:r>
        <w:rPr>
          <w:rFonts w:ascii="仿宋_GB2312" w:hAnsi="仿宋" w:eastAsia="仿宋_GB2312" w:cs="宋体"/>
          <w:sz w:val="32"/>
          <w:szCs w:val="32"/>
        </w:rPr>
        <w:t>300</w:t>
      </w:r>
      <w:r>
        <w:rPr>
          <w:rFonts w:hint="eastAsia" w:ascii="仿宋_GB2312" w:hAnsi="仿宋" w:eastAsia="仿宋_GB2312" w:cs="宋体"/>
          <w:sz w:val="32"/>
          <w:szCs w:val="32"/>
        </w:rPr>
        <w:t>元，实施该项目能够提升服务水平工作积极性，已达到该标准。</w:t>
      </w:r>
    </w:p>
    <w:p>
      <w:pPr>
        <w:spacing w:line="560" w:lineRule="exact"/>
        <w:ind w:firstLine="640" w:firstLineChars="200"/>
      </w:pPr>
      <w:r>
        <w:rPr>
          <w:rFonts w:hint="eastAsia" w:ascii="仿宋_GB2312" w:hAnsi="仿宋" w:eastAsia="仿宋_GB2312" w:cs="宋体"/>
          <w:sz w:val="32"/>
          <w:szCs w:val="32"/>
        </w:rPr>
        <w:t>历史标准</w:t>
      </w:r>
      <w:r>
        <w:rPr>
          <w:rFonts w:ascii="仿宋_GB2312" w:hAnsi="仿宋" w:eastAsia="仿宋_GB2312" w:cs="宋体"/>
          <w:sz w:val="32"/>
          <w:szCs w:val="32"/>
        </w:rPr>
        <w:t>:</w:t>
      </w:r>
      <w:r>
        <w:rPr>
          <w:rFonts w:hint="eastAsia" w:ascii="仿宋_GB2312" w:hAnsi="仿宋" w:eastAsia="仿宋_GB2312" w:cs="宋体"/>
          <w:sz w:val="32"/>
          <w:szCs w:val="32"/>
        </w:rPr>
        <w:t>是以本地区、本部门、本单位或同类部门、单位、项目的绩效评价指标的历史数据作为样本</w:t>
      </w:r>
      <w:r>
        <w:rPr>
          <w:rFonts w:ascii="仿宋_GB2312" w:hAnsi="仿宋" w:eastAsia="仿宋_GB2312" w:cs="宋体"/>
          <w:sz w:val="32"/>
          <w:szCs w:val="32"/>
        </w:rPr>
        <w:t>,</w:t>
      </w:r>
      <w:r>
        <w:rPr>
          <w:rFonts w:hint="eastAsia" w:ascii="仿宋_GB2312" w:hAnsi="仿宋" w:eastAsia="仿宋_GB2312" w:cs="宋体"/>
          <w:sz w:val="32"/>
          <w:szCs w:val="32"/>
        </w:rPr>
        <w:t>运用一定的统计学方法计算出各类指标的平均历史水平作为评价的标准。也可以是上年实际数、上年同期数、历史最好水平等。由于历史标准有较强的客观性</w:t>
      </w:r>
      <w:r>
        <w:rPr>
          <w:rFonts w:ascii="仿宋_GB2312" w:hAnsi="仿宋" w:eastAsia="仿宋_GB2312" w:cs="宋体"/>
          <w:sz w:val="32"/>
          <w:szCs w:val="32"/>
        </w:rPr>
        <w:t>,</w:t>
      </w:r>
      <w:r>
        <w:rPr>
          <w:rFonts w:hint="eastAsia" w:ascii="仿宋_GB2312" w:hAnsi="仿宋" w:eastAsia="仿宋_GB2312" w:cs="宋体"/>
          <w:sz w:val="32"/>
          <w:szCs w:val="32"/>
        </w:rPr>
        <w:t>在实际操作中广泛应用。</w:t>
      </w:r>
    </w:p>
    <w:p>
      <w:pPr>
        <w:pStyle w:val="30"/>
        <w:keepNext w:val="0"/>
        <w:keepLines w:val="0"/>
        <w:numPr>
          <w:ilvl w:val="0"/>
          <w:numId w:val="6"/>
        </w:numPr>
        <w:spacing w:before="0" w:after="0" w:line="560" w:lineRule="exact"/>
        <w:ind w:left="0" w:firstLine="643" w:firstLineChars="200"/>
      </w:pPr>
      <w:r>
        <w:rPr>
          <w:rFonts w:hint="eastAsia"/>
        </w:rPr>
        <w:t>绩效评价工作过程</w:t>
      </w:r>
    </w:p>
    <w:p>
      <w:pPr>
        <w:pStyle w:val="30"/>
        <w:keepNext w:val="0"/>
        <w:keepLines w:val="0"/>
        <w:numPr>
          <w:ilvl w:val="0"/>
          <w:numId w:val="0"/>
        </w:numPr>
        <w:spacing w:before="0" w:after="0" w:line="560" w:lineRule="exact"/>
        <w:ind w:firstLine="640" w:firstLineChars="200"/>
        <w:outlineLvl w:val="9"/>
        <w:rPr>
          <w:b w:val="0"/>
          <w:bCs w:val="0"/>
        </w:rPr>
      </w:pPr>
      <w:r>
        <w:rPr>
          <w:rFonts w:hint="eastAsia"/>
          <w:b w:val="0"/>
          <w:bCs w:val="0"/>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30"/>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30"/>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30"/>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30"/>
              <w:keepNext w:val="0"/>
              <w:keepLines w:val="0"/>
              <w:numPr>
                <w:ilvl w:val="0"/>
                <w:numId w:val="0"/>
              </w:numPr>
              <w:spacing w:line="240" w:lineRule="atLeast"/>
              <w:jc w:val="center"/>
              <w:rPr>
                <w:b w:val="0"/>
                <w:bCs w:val="0"/>
              </w:rPr>
            </w:pPr>
            <w:r>
              <w:rPr>
                <w:rFonts w:hint="eastAsia"/>
                <w:b w:val="0"/>
                <w:bCs w:val="0"/>
              </w:rPr>
              <w:t>范勇</w:t>
            </w:r>
          </w:p>
        </w:tc>
        <w:tc>
          <w:tcPr>
            <w:tcW w:w="2765" w:type="dxa"/>
            <w:vAlign w:val="center"/>
          </w:tcPr>
          <w:p>
            <w:pPr>
              <w:pStyle w:val="30"/>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30"/>
              <w:keepNext w:val="0"/>
              <w:keepLines w:val="0"/>
              <w:numPr>
                <w:ilvl w:val="0"/>
                <w:numId w:val="0"/>
              </w:numPr>
              <w:spacing w:line="240" w:lineRule="atLeast"/>
              <w:jc w:val="center"/>
              <w:rPr>
                <w:b w:val="0"/>
                <w:bCs w:val="0"/>
              </w:rPr>
            </w:pPr>
            <w:r>
              <w:rPr>
                <w:rFonts w:hint="eastAsia"/>
                <w:b w:val="0"/>
                <w:bCs w:val="0"/>
              </w:rPr>
              <w:t>局领导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30"/>
              <w:keepNext w:val="0"/>
              <w:keepLines w:val="0"/>
              <w:numPr>
                <w:ilvl w:val="0"/>
                <w:numId w:val="0"/>
              </w:numPr>
              <w:spacing w:line="240" w:lineRule="atLeast"/>
              <w:jc w:val="center"/>
              <w:rPr>
                <w:b w:val="0"/>
                <w:bCs w:val="0"/>
              </w:rPr>
            </w:pPr>
            <w:r>
              <w:rPr>
                <w:rFonts w:hint="eastAsia"/>
                <w:b w:val="0"/>
                <w:bCs w:val="0"/>
              </w:rPr>
              <w:t>阿力木江</w:t>
            </w:r>
          </w:p>
        </w:tc>
        <w:tc>
          <w:tcPr>
            <w:tcW w:w="2765" w:type="dxa"/>
            <w:vAlign w:val="center"/>
          </w:tcPr>
          <w:p>
            <w:pPr>
              <w:pStyle w:val="30"/>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30"/>
              <w:keepNext w:val="0"/>
              <w:keepLines w:val="0"/>
              <w:numPr>
                <w:ilvl w:val="0"/>
                <w:numId w:val="0"/>
              </w:numPr>
              <w:spacing w:line="240" w:lineRule="atLeast"/>
              <w:jc w:val="center"/>
              <w:rPr>
                <w:b w:val="0"/>
                <w:bCs w:val="0"/>
              </w:rPr>
            </w:pPr>
            <w:r>
              <w:rPr>
                <w:rFonts w:hint="eastAsia"/>
                <w:b w:val="0"/>
                <w:bCs w:val="0"/>
              </w:rPr>
              <w:t>财务</w:t>
            </w:r>
          </w:p>
        </w:tc>
      </w:tr>
    </w:tbl>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本项目绩效评价工作共分五个步骤。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第一阶段，前期准备。主要完成确定评价工作任务，绩效评价的实施方法以及编制绩效评价指标体系等工作。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第二阶段，评价设计。主要完成形成评价实施方案、项目支出的预评价等工作。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第三阶段，评价实施。主要完成资料的收集、整理，现场分析与绩效评价，形成评估结论、经验教训和建议等工作。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数据分析及撰写报告</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2020</w:t>
      </w:r>
      <w:r>
        <w:rPr>
          <w:rFonts w:hint="eastAsia" w:ascii="仿宋_GB2312" w:hAnsi="仿宋" w:eastAsia="仿宋_GB2312" w:cs="宋体"/>
          <w:sz w:val="32"/>
          <w:szCs w:val="32"/>
        </w:rPr>
        <w:t>年</w:t>
      </w:r>
      <w:r>
        <w:rPr>
          <w:rFonts w:ascii="仿宋_GB2312" w:hAnsi="仿宋" w:eastAsia="仿宋_GB2312" w:cs="宋体"/>
          <w:sz w:val="32"/>
          <w:szCs w:val="32"/>
        </w:rPr>
        <w:t>3</w:t>
      </w:r>
      <w:r>
        <w:rPr>
          <w:rFonts w:hint="eastAsia" w:ascii="仿宋_GB2312" w:hAnsi="仿宋" w:eastAsia="仿宋_GB2312" w:cs="宋体"/>
          <w:sz w:val="32"/>
          <w:szCs w:val="32"/>
        </w:rPr>
        <w:t>月</w:t>
      </w:r>
      <w:r>
        <w:rPr>
          <w:rFonts w:ascii="仿宋_GB2312" w:hAnsi="仿宋" w:eastAsia="仿宋_GB2312" w:cs="宋体"/>
          <w:sz w:val="32"/>
          <w:szCs w:val="32"/>
        </w:rPr>
        <w:t>30</w:t>
      </w:r>
      <w:r>
        <w:rPr>
          <w:rFonts w:hint="eastAsia" w:ascii="仿宋_GB2312" w:hAnsi="仿宋" w:eastAsia="仿宋_GB2312" w:cs="宋体"/>
          <w:sz w:val="32"/>
          <w:szCs w:val="32"/>
        </w:rPr>
        <w:t>日，项目组根据绩效评价的原理和规范，对采集的数据进行处理、分析和评分，并提炼结论撰写报告。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第四阶段，报告结果。在完成绩效评价报告编制的基础上，形成绩效评价终稿的工作。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第五阶段，将绩效评价的经验总结与管理建议推广到相关行业或部门</w:t>
      </w:r>
    </w:p>
    <w:p>
      <w:pPr>
        <w:pStyle w:val="29"/>
        <w:numPr>
          <w:ilvl w:val="0"/>
          <w:numId w:val="2"/>
        </w:numPr>
        <w:spacing w:before="0" w:after="0" w:line="560" w:lineRule="exact"/>
        <w:ind w:left="0" w:firstLine="643"/>
      </w:pPr>
      <w:bookmarkStart w:id="7" w:name="_Toc26401558"/>
      <w:r>
        <w:rPr>
          <w:rFonts w:hint="eastAsia"/>
        </w:rPr>
        <w:t>综合评价情况及评价结论</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经评价组通过实地调研、资料分析等方式，采用综合分析法、成本效益分析法、问卷调查法等对项目的决策、管理、绩效进行的综合评价分析。项目得分为</w:t>
      </w:r>
      <w:r>
        <w:rPr>
          <w:rFonts w:ascii="仿宋_GB2312" w:hAnsi="仿宋" w:eastAsia="仿宋_GB2312" w:cs="宋体"/>
          <w:sz w:val="32"/>
          <w:szCs w:val="32"/>
        </w:rPr>
        <w:t>95</w:t>
      </w:r>
      <w:r>
        <w:rPr>
          <w:rFonts w:hint="eastAsia" w:ascii="仿宋_GB2312" w:hAnsi="仿宋" w:eastAsia="仿宋_GB2312" w:cs="宋体"/>
          <w:sz w:val="32"/>
          <w:szCs w:val="32"/>
        </w:rPr>
        <w:t>分，评价结果为优。</w:t>
      </w:r>
    </w:p>
    <w:p>
      <w:pPr>
        <w:pStyle w:val="29"/>
        <w:numPr>
          <w:ilvl w:val="0"/>
          <w:numId w:val="2"/>
        </w:numPr>
        <w:spacing w:before="0" w:after="0" w:line="560" w:lineRule="exact"/>
        <w:ind w:left="0" w:firstLine="643"/>
      </w:pPr>
      <w:r>
        <w:rPr>
          <w:rFonts w:hint="eastAsia"/>
        </w:rPr>
        <w:t>绩效评价指标分析</w:t>
      </w:r>
      <w:bookmarkEnd w:id="7"/>
    </w:p>
    <w:p>
      <w:pPr>
        <w:pStyle w:val="28"/>
        <w:numPr>
          <w:ilvl w:val="0"/>
          <w:numId w:val="8"/>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本项目实施进一步丰富我局退休干部精神文化生活，激励我院干警提高工作能力、改进工作方法，提升服务水平工作积极性。项目设立与国家政策和部门职能相符。</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开始实施。该项目决策程序合规合法。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w:t>
      </w:r>
    </w:p>
    <w:p>
      <w:pPr>
        <w:spacing w:line="560" w:lineRule="exact"/>
        <w:ind w:firstLine="640" w:firstLineChars="200"/>
      </w:pPr>
      <w:r>
        <w:rPr>
          <w:rFonts w:hint="eastAsia" w:ascii="仿宋_GB2312" w:hAnsi="仿宋" w:eastAsia="仿宋_GB2312" w:cs="宋体"/>
          <w:sz w:val="32"/>
          <w:szCs w:val="32"/>
        </w:rPr>
        <w:t>项目绩效评价指标体系分为</w:t>
      </w:r>
      <w:r>
        <w:rPr>
          <w:rFonts w:ascii="仿宋_GB2312" w:hAnsi="仿宋" w:eastAsia="仿宋_GB2312" w:cs="宋体"/>
          <w:sz w:val="32"/>
          <w:szCs w:val="32"/>
        </w:rPr>
        <w:t xml:space="preserve"> 2 </w:t>
      </w:r>
      <w:r>
        <w:rPr>
          <w:rFonts w:hint="eastAsia" w:ascii="仿宋_GB2312" w:hAnsi="仿宋" w:eastAsia="仿宋_GB2312" w:cs="宋体"/>
          <w:sz w:val="32"/>
          <w:szCs w:val="32"/>
        </w:rPr>
        <w:t>类指标，其中：共性指标数量为</w:t>
      </w:r>
      <w:r>
        <w:rPr>
          <w:rFonts w:ascii="仿宋_GB2312" w:hAnsi="仿宋" w:eastAsia="仿宋_GB2312" w:cs="宋体"/>
          <w:sz w:val="32"/>
          <w:szCs w:val="32"/>
        </w:rPr>
        <w:t xml:space="preserve">6 </w:t>
      </w:r>
      <w:r>
        <w:rPr>
          <w:rFonts w:hint="eastAsia" w:ascii="仿宋_GB2312" w:hAnsi="仿宋" w:eastAsia="仿宋_GB2312" w:cs="宋体"/>
          <w:sz w:val="32"/>
          <w:szCs w:val="32"/>
        </w:rPr>
        <w:t>个，项目共性指标包括目标内容、决策依据、决策程序、预算管理、资金到位、财务管理、组织机构、制度建设、过程控制；个性指标包括该项目的数量指标、质量指标、时效指标、成本指标、社会效益指标、可持续影响指标以及满意度指标等，共计</w:t>
      </w:r>
      <w:r>
        <w:rPr>
          <w:rFonts w:ascii="仿宋_GB2312" w:hAnsi="仿宋" w:eastAsia="仿宋_GB2312" w:cs="宋体"/>
          <w:sz w:val="32"/>
          <w:szCs w:val="32"/>
        </w:rPr>
        <w:t>8</w:t>
      </w:r>
      <w:r>
        <w:rPr>
          <w:rFonts w:hint="eastAsia" w:ascii="仿宋_GB2312" w:hAnsi="仿宋" w:eastAsia="仿宋_GB2312" w:cs="宋体"/>
          <w:sz w:val="32"/>
          <w:szCs w:val="32"/>
        </w:rPr>
        <w:t>个。</w:t>
      </w:r>
    </w:p>
    <w:p>
      <w:pPr>
        <w:pStyle w:val="28"/>
        <w:numPr>
          <w:ilvl w:val="0"/>
          <w:numId w:val="8"/>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numPr>
          <w:ilvl w:val="0"/>
          <w:numId w:val="9"/>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资金管理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按照国库集中支付原则，及时支付资金，坚决保证资金拨付流程合理合规，有完整的审批程序和手续，不存在截留、挤占、挪用、虚列支出等情况。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2</w:t>
      </w:r>
      <w:r>
        <w:rPr>
          <w:rFonts w:hint="eastAsia" w:ascii="仿宋_GB2312" w:hAnsi="仿宋" w:eastAsia="仿宋_GB2312" w:cs="宋体"/>
          <w:sz w:val="32"/>
          <w:szCs w:val="32"/>
        </w:rPr>
        <w:t>）组织实施</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该项目预算资金安排</w:t>
      </w:r>
      <w:r>
        <w:rPr>
          <w:rFonts w:ascii="仿宋_GB2312" w:hAnsi="仿宋" w:eastAsia="仿宋_GB2312" w:cs="宋体"/>
          <w:sz w:val="32"/>
          <w:szCs w:val="32"/>
        </w:rPr>
        <w:t>0.06</w:t>
      </w:r>
      <w:r>
        <w:rPr>
          <w:rFonts w:hint="eastAsia" w:ascii="仿宋_GB2312" w:hAnsi="仿宋" w:eastAsia="仿宋_GB2312" w:cs="宋体"/>
          <w:sz w:val="32"/>
          <w:szCs w:val="32"/>
        </w:rPr>
        <w:t>万元，项目实际使用资金</w:t>
      </w:r>
      <w:r>
        <w:rPr>
          <w:rFonts w:ascii="仿宋_GB2312" w:hAnsi="仿宋" w:eastAsia="仿宋_GB2312" w:cs="宋体"/>
          <w:sz w:val="32"/>
          <w:szCs w:val="32"/>
        </w:rPr>
        <w:t>0.06</w:t>
      </w:r>
      <w:r>
        <w:rPr>
          <w:rFonts w:hint="eastAsia" w:ascii="仿宋_GB2312" w:hAnsi="仿宋" w:eastAsia="仿宋_GB2312" w:cs="宋体"/>
          <w:sz w:val="32"/>
          <w:szCs w:val="32"/>
        </w:rPr>
        <w:t>万元，资金按照规定制度及时支付到位。为保证资金的高效、合规使用，</w:t>
      </w:r>
      <w:r>
        <w:rPr>
          <w:rStyle w:val="17"/>
          <w:rFonts w:hint="eastAsia" w:ascii="仿宋_GB2312" w:hAnsi="仿宋" w:eastAsia="仿宋_GB2312"/>
          <w:b w:val="0"/>
          <w:bCs w:val="0"/>
          <w:spacing w:val="-4"/>
          <w:sz w:val="32"/>
          <w:szCs w:val="32"/>
        </w:rPr>
        <w:t>制定《慰问老干部活动的工作方案》，组织党组会进行研究慰问工作，为保质保量完成提供了强有力的技术支撑，</w:t>
      </w:r>
      <w:r>
        <w:rPr>
          <w:rFonts w:hint="eastAsia" w:ascii="仿宋_GB2312" w:hAnsi="仿宋" w:eastAsia="仿宋_GB2312" w:cs="宋体"/>
          <w:sz w:val="32"/>
          <w:szCs w:val="32"/>
        </w:rPr>
        <w:t>有效促进了退休老干部管理工作。严格按照资金支出的管理办法，对审批过程和流程进行了统一和规范，确保项目高质量完成。</w:t>
      </w:r>
    </w:p>
    <w:p>
      <w:pPr>
        <w:pStyle w:val="28"/>
        <w:numPr>
          <w:ilvl w:val="0"/>
          <w:numId w:val="8"/>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本单位退休人员</w:t>
      </w:r>
      <w:r>
        <w:rPr>
          <w:rFonts w:ascii="仿宋_GB2312" w:hAnsi="仿宋" w:eastAsia="仿宋_GB2312" w:cs="宋体"/>
          <w:sz w:val="32"/>
          <w:szCs w:val="32"/>
        </w:rPr>
        <w:t>2</w:t>
      </w:r>
      <w:r>
        <w:rPr>
          <w:rFonts w:hint="eastAsia" w:ascii="仿宋_GB2312" w:hAnsi="仿宋" w:eastAsia="仿宋_GB2312" w:cs="宋体"/>
          <w:sz w:val="32"/>
          <w:szCs w:val="32"/>
        </w:rPr>
        <w:t>人按照人均</w:t>
      </w:r>
      <w:r>
        <w:rPr>
          <w:rFonts w:ascii="仿宋_GB2312" w:hAnsi="仿宋" w:eastAsia="仿宋_GB2312" w:cs="宋体"/>
          <w:sz w:val="32"/>
          <w:szCs w:val="32"/>
        </w:rPr>
        <w:t>300</w:t>
      </w:r>
      <w:r>
        <w:rPr>
          <w:rFonts w:hint="eastAsia" w:ascii="仿宋_GB2312" w:hAnsi="仿宋" w:eastAsia="仿宋_GB2312" w:cs="宋体"/>
          <w:sz w:val="32"/>
          <w:szCs w:val="32"/>
        </w:rPr>
        <w:t>元标准，下达</w:t>
      </w:r>
      <w:r>
        <w:rPr>
          <w:rFonts w:ascii="仿宋_GB2312" w:hAnsi="仿宋" w:eastAsia="仿宋_GB2312" w:cs="宋体"/>
          <w:sz w:val="32"/>
          <w:szCs w:val="32"/>
        </w:rPr>
        <w:t>600</w:t>
      </w:r>
      <w:r>
        <w:rPr>
          <w:rFonts w:hint="eastAsia" w:ascii="仿宋_GB2312" w:hAnsi="仿宋" w:eastAsia="仿宋_GB2312" w:cs="宋体"/>
          <w:sz w:val="32"/>
          <w:szCs w:val="32"/>
        </w:rPr>
        <w:t>元活动经费，本年度共计开展活动</w:t>
      </w:r>
      <w:r>
        <w:rPr>
          <w:rFonts w:ascii="仿宋_GB2312" w:hAnsi="仿宋" w:eastAsia="仿宋_GB2312" w:cs="宋体"/>
          <w:sz w:val="32"/>
          <w:szCs w:val="32"/>
        </w:rPr>
        <w:t>3</w:t>
      </w:r>
      <w:r>
        <w:rPr>
          <w:rFonts w:hint="eastAsia" w:ascii="仿宋_GB2312" w:hAnsi="仿宋" w:eastAsia="仿宋_GB2312" w:cs="宋体"/>
          <w:sz w:val="32"/>
          <w:szCs w:val="32"/>
        </w:rPr>
        <w:t>次，主要是对老干部家入户慰问，宣传党和国家的观海，根据实际情况及时拨付资金确保活动有序开展</w:t>
      </w:r>
      <w:r>
        <w:rPr>
          <w:rFonts w:ascii="仿宋_GB2312" w:hAnsi="仿宋" w:eastAsia="仿宋_GB2312" w:cs="宋体"/>
          <w:sz w:val="32"/>
          <w:szCs w:val="32"/>
        </w:rPr>
        <w:t>,</w:t>
      </w:r>
      <w:r>
        <w:rPr>
          <w:rFonts w:hint="eastAsia" w:ascii="仿宋_GB2312" w:hAnsi="仿宋" w:eastAsia="仿宋_GB2312" w:cs="宋体"/>
          <w:sz w:val="32"/>
          <w:szCs w:val="32"/>
        </w:rPr>
        <w:t>指标完成情况如下：</w:t>
      </w:r>
    </w:p>
    <w:tbl>
      <w:tblPr>
        <w:tblStyle w:val="14"/>
        <w:tblW w:w="8342" w:type="dxa"/>
        <w:tblInd w:w="0" w:type="dxa"/>
        <w:tblLayout w:type="fixed"/>
        <w:tblCellMar>
          <w:top w:w="15" w:type="dxa"/>
          <w:left w:w="15" w:type="dxa"/>
          <w:bottom w:w="15" w:type="dxa"/>
          <w:right w:w="15" w:type="dxa"/>
        </w:tblCellMar>
      </w:tblPr>
      <w:tblGrid>
        <w:gridCol w:w="1166"/>
        <w:gridCol w:w="990"/>
        <w:gridCol w:w="3515"/>
        <w:gridCol w:w="1487"/>
        <w:gridCol w:w="1184"/>
      </w:tblGrid>
      <w:tr>
        <w:tblPrEx>
          <w:tblCellMar>
            <w:top w:w="15" w:type="dxa"/>
            <w:left w:w="15" w:type="dxa"/>
            <w:bottom w:w="15" w:type="dxa"/>
            <w:right w:w="15" w:type="dxa"/>
          </w:tblCellMar>
        </w:tblPrEx>
        <w:trPr>
          <w:trHeight w:val="570" w:hRule="atLeast"/>
        </w:trPr>
        <w:tc>
          <w:tcPr>
            <w:tcW w:w="11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3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487"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11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15" w:type="dxa"/>
            <w:left w:w="15" w:type="dxa"/>
            <w:bottom w:w="15" w:type="dxa"/>
            <w:right w:w="15" w:type="dxa"/>
          </w:tblCellMar>
        </w:tblPrEx>
        <w:trPr>
          <w:trHeight w:val="390" w:hRule="atLeast"/>
        </w:trPr>
        <w:tc>
          <w:tcPr>
            <w:tcW w:w="116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产出指标</w:t>
            </w: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数量指标</w:t>
            </w:r>
          </w:p>
        </w:tc>
        <w:tc>
          <w:tcPr>
            <w:tcW w:w="35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实施老干部活动经费人员（人</w:t>
            </w:r>
            <w:r>
              <w:rPr>
                <w:rFonts w:ascii="宋体" w:hAnsi="宋体" w:eastAsia="宋体" w:cs="宋体"/>
                <w:color w:val="000000"/>
                <w:kern w:val="0"/>
                <w:sz w:val="18"/>
                <w:szCs w:val="18"/>
              </w:rPr>
              <w:t>)</w:t>
            </w:r>
          </w:p>
        </w:tc>
        <w:tc>
          <w:tcPr>
            <w:tcW w:w="1487"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2</w:t>
            </w:r>
          </w:p>
        </w:tc>
        <w:tc>
          <w:tcPr>
            <w:tcW w:w="1184"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2</w:t>
            </w:r>
          </w:p>
        </w:tc>
      </w:tr>
      <w:tr>
        <w:tblPrEx>
          <w:tblCellMar>
            <w:top w:w="15" w:type="dxa"/>
            <w:left w:w="15" w:type="dxa"/>
            <w:bottom w:w="15" w:type="dxa"/>
            <w:right w:w="15" w:type="dxa"/>
          </w:tblCellMar>
        </w:tblPrEx>
        <w:trPr>
          <w:trHeight w:val="390" w:hRule="atLeast"/>
        </w:trPr>
        <w:tc>
          <w:tcPr>
            <w:tcW w:w="116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质量指标</w:t>
            </w:r>
          </w:p>
        </w:tc>
        <w:tc>
          <w:tcPr>
            <w:tcW w:w="35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color w:val="000000"/>
                <w:sz w:val="18"/>
                <w:szCs w:val="18"/>
              </w:rPr>
            </w:pPr>
            <w:r>
              <w:rPr>
                <w:rFonts w:ascii="宋体" w:hAnsi="宋体" w:eastAsia="宋体" w:cs="宋体"/>
                <w:color w:val="000000"/>
                <w:kern w:val="0"/>
                <w:sz w:val="18"/>
                <w:szCs w:val="18"/>
              </w:rPr>
              <w:t xml:space="preserve"> </w:t>
            </w:r>
            <w:r>
              <w:rPr>
                <w:rFonts w:hint="eastAsia" w:ascii="宋体" w:hAnsi="宋体" w:eastAsia="宋体" w:cs="宋体"/>
                <w:color w:val="000000"/>
                <w:kern w:val="0"/>
                <w:sz w:val="18"/>
                <w:szCs w:val="18"/>
              </w:rPr>
              <w:t>活动经费发放率（</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487"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1184"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r>
      <w:tr>
        <w:tblPrEx>
          <w:tblCellMar>
            <w:top w:w="15" w:type="dxa"/>
            <w:left w:w="15" w:type="dxa"/>
            <w:bottom w:w="15" w:type="dxa"/>
            <w:right w:w="15" w:type="dxa"/>
          </w:tblCellMar>
        </w:tblPrEx>
        <w:trPr>
          <w:trHeight w:val="390" w:hRule="atLeast"/>
        </w:trPr>
        <w:tc>
          <w:tcPr>
            <w:tcW w:w="116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时效指标</w:t>
            </w:r>
          </w:p>
        </w:tc>
        <w:tc>
          <w:tcPr>
            <w:tcW w:w="35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资金拨付及时率（</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487"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1184"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r>
      <w:tr>
        <w:tblPrEx>
          <w:tblCellMar>
            <w:top w:w="15" w:type="dxa"/>
            <w:left w:w="15" w:type="dxa"/>
            <w:bottom w:w="15" w:type="dxa"/>
            <w:right w:w="15" w:type="dxa"/>
          </w:tblCellMar>
        </w:tblPrEx>
        <w:trPr>
          <w:trHeight w:val="390" w:hRule="atLeast"/>
        </w:trPr>
        <w:tc>
          <w:tcPr>
            <w:tcW w:w="116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成本指标</w:t>
            </w:r>
          </w:p>
        </w:tc>
        <w:tc>
          <w:tcPr>
            <w:tcW w:w="35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人员经费标准（元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人</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年）</w:t>
            </w:r>
          </w:p>
        </w:tc>
        <w:tc>
          <w:tcPr>
            <w:tcW w:w="1487"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300</w:t>
            </w:r>
          </w:p>
        </w:tc>
        <w:tc>
          <w:tcPr>
            <w:tcW w:w="1184"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300</w:t>
            </w:r>
          </w:p>
        </w:tc>
      </w:tr>
    </w:tbl>
    <w:p>
      <w:pPr>
        <w:pStyle w:val="28"/>
        <w:spacing w:line="560" w:lineRule="exact"/>
        <w:ind w:firstLine="0" w:firstLineChars="0"/>
        <w:rPr>
          <w:rFonts w:ascii="仿宋_GB2312" w:hAnsi="仿宋" w:eastAsia="仿宋_GB2312" w:cs="宋体"/>
          <w:b/>
          <w:bCs/>
          <w:sz w:val="32"/>
          <w:szCs w:val="32"/>
        </w:rPr>
      </w:pPr>
      <w:r>
        <w:rPr>
          <w:rFonts w:hint="eastAsia" w:ascii="仿宋_GB2312" w:hAnsi="仿宋" w:eastAsia="仿宋_GB2312" w:cs="宋体"/>
          <w:b/>
          <w:bCs/>
          <w:sz w:val="32"/>
          <w:szCs w:val="32"/>
        </w:rPr>
        <w:t>（四）项目效益情况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项目的建设周期为</w:t>
      </w:r>
      <w:r>
        <w:rPr>
          <w:rFonts w:ascii="仿宋_GB2312" w:hAnsi="仿宋" w:eastAsia="仿宋_GB2312" w:cs="宋体"/>
          <w:sz w:val="32"/>
          <w:szCs w:val="32"/>
        </w:rPr>
        <w:t>12</w:t>
      </w:r>
      <w:r>
        <w:rPr>
          <w:rFonts w:hint="eastAsia" w:ascii="仿宋_GB2312" w:hAnsi="仿宋" w:eastAsia="仿宋_GB2312" w:cs="宋体"/>
          <w:sz w:val="32"/>
          <w:szCs w:val="32"/>
        </w:rPr>
        <w:t>个月，持续影响范围广大且深远，该项目的实施为老干部办实事、办好事，开展老干部系列活动，为老干部送去温暖，进一步增加了老干部政策知晓率，指标完成情况如下：</w:t>
      </w:r>
    </w:p>
    <w:tbl>
      <w:tblPr>
        <w:tblStyle w:val="14"/>
        <w:tblW w:w="8342" w:type="dxa"/>
        <w:tblInd w:w="0" w:type="dxa"/>
        <w:tblLayout w:type="fixed"/>
        <w:tblCellMar>
          <w:top w:w="15" w:type="dxa"/>
          <w:left w:w="15" w:type="dxa"/>
          <w:bottom w:w="15" w:type="dxa"/>
          <w:right w:w="15" w:type="dxa"/>
        </w:tblCellMar>
      </w:tblPr>
      <w:tblGrid>
        <w:gridCol w:w="1174"/>
        <w:gridCol w:w="997"/>
        <w:gridCol w:w="3549"/>
        <w:gridCol w:w="1496"/>
        <w:gridCol w:w="1126"/>
      </w:tblGrid>
      <w:tr>
        <w:tblPrEx>
          <w:tblCellMar>
            <w:top w:w="15" w:type="dxa"/>
            <w:left w:w="15" w:type="dxa"/>
            <w:bottom w:w="15" w:type="dxa"/>
            <w:right w:w="15" w:type="dxa"/>
          </w:tblCellMar>
        </w:tblPrEx>
        <w:trPr>
          <w:trHeight w:val="570" w:hRule="atLeast"/>
        </w:trPr>
        <w:tc>
          <w:tcPr>
            <w:tcW w:w="11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9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35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496"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11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15" w:type="dxa"/>
            <w:left w:w="15" w:type="dxa"/>
            <w:bottom w:w="15" w:type="dxa"/>
            <w:right w:w="15" w:type="dxa"/>
          </w:tblCellMar>
        </w:tblPrEx>
        <w:trPr>
          <w:trHeight w:val="390" w:hRule="atLeast"/>
        </w:trPr>
        <w:tc>
          <w:tcPr>
            <w:tcW w:w="117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效益指标</w:t>
            </w:r>
          </w:p>
        </w:tc>
        <w:tc>
          <w:tcPr>
            <w:tcW w:w="997"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社会效益指标</w:t>
            </w:r>
          </w:p>
        </w:tc>
        <w:tc>
          <w:tcPr>
            <w:tcW w:w="354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提高老干部社会福利（</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4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11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80%</w:t>
            </w:r>
          </w:p>
        </w:tc>
      </w:tr>
      <w:tr>
        <w:tblPrEx>
          <w:tblCellMar>
            <w:top w:w="15" w:type="dxa"/>
            <w:left w:w="15" w:type="dxa"/>
            <w:bottom w:w="15" w:type="dxa"/>
            <w:right w:w="15" w:type="dxa"/>
          </w:tblCellMar>
        </w:tblPrEx>
        <w:trPr>
          <w:trHeight w:val="390" w:hRule="atLeast"/>
        </w:trPr>
        <w:tc>
          <w:tcPr>
            <w:tcW w:w="117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p>
        </w:tc>
        <w:tc>
          <w:tcPr>
            <w:tcW w:w="9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可持续影响指标</w:t>
            </w:r>
          </w:p>
        </w:tc>
        <w:tc>
          <w:tcPr>
            <w:tcW w:w="354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项目可持续时限（月）</w:t>
            </w:r>
          </w:p>
        </w:tc>
        <w:tc>
          <w:tcPr>
            <w:tcW w:w="1496"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12</w:t>
            </w:r>
          </w:p>
        </w:tc>
        <w:tc>
          <w:tcPr>
            <w:tcW w:w="1126"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12</w:t>
            </w:r>
          </w:p>
        </w:tc>
      </w:tr>
      <w:tr>
        <w:tblPrEx>
          <w:tblCellMar>
            <w:top w:w="15" w:type="dxa"/>
            <w:left w:w="15" w:type="dxa"/>
            <w:bottom w:w="15" w:type="dxa"/>
            <w:right w:w="15" w:type="dxa"/>
          </w:tblCellMar>
        </w:tblPrEx>
        <w:trPr>
          <w:trHeight w:val="390" w:hRule="atLeast"/>
        </w:trPr>
        <w:tc>
          <w:tcPr>
            <w:tcW w:w="1174"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满意度指标</w:t>
            </w:r>
          </w:p>
        </w:tc>
        <w:tc>
          <w:tcPr>
            <w:tcW w:w="9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服务对象满意度指标</w:t>
            </w:r>
          </w:p>
        </w:tc>
        <w:tc>
          <w:tcPr>
            <w:tcW w:w="354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老干部满意度（</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496"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1126"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98%</w:t>
            </w:r>
          </w:p>
        </w:tc>
      </w:tr>
    </w:tbl>
    <w:p>
      <w:pPr>
        <w:spacing w:line="560" w:lineRule="exact"/>
        <w:rPr>
          <w:rFonts w:ascii="仿宋_GB2312" w:hAnsi="仿宋" w:eastAsia="仿宋_GB2312" w:cs="宋体"/>
          <w:sz w:val="32"/>
          <w:szCs w:val="32"/>
        </w:rPr>
      </w:pPr>
    </w:p>
    <w:p>
      <w:pPr>
        <w:pStyle w:val="29"/>
        <w:numPr>
          <w:ilvl w:val="0"/>
          <w:numId w:val="2"/>
        </w:numPr>
        <w:spacing w:before="0" w:after="0" w:line="560" w:lineRule="exact"/>
        <w:ind w:left="0" w:firstLine="643"/>
      </w:pPr>
      <w:r>
        <w:rPr>
          <w:rFonts w:hint="eastAsia" w:ascii="黑体" w:hAnsi="黑体"/>
        </w:rPr>
        <w:t>主要经验及做法、存在的问题及原因分析</w:t>
      </w:r>
    </w:p>
    <w:p>
      <w:pPr>
        <w:pStyle w:val="30"/>
        <w:numPr>
          <w:ilvl w:val="0"/>
          <w:numId w:val="10"/>
        </w:numPr>
        <w:spacing w:before="0" w:after="0" w:line="560" w:lineRule="exact"/>
        <w:ind w:left="0" w:firstLine="643" w:firstLineChars="200"/>
      </w:pPr>
      <w:r>
        <w:rPr>
          <w:rFonts w:hint="eastAsia"/>
        </w:rPr>
        <w:t>主要经验及做法</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本年度通过为老干部办实事和开展丰富精神文化的活动，进一步提升老干部生活水平，提升幸福感。</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（二）存在的问题</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项目的前期准备工作不严谨，本项目的缺乏立项批复、立项依据相关资料，对项目实施未进行深入分析，没有合理的项目管理计划或方案。</w:t>
      </w:r>
    </w:p>
    <w:p>
      <w:pPr>
        <w:spacing w:line="560" w:lineRule="exact"/>
        <w:ind w:firstLine="640" w:firstLineChars="200"/>
      </w:pPr>
      <w:r>
        <w:rPr>
          <w:rFonts w:ascii="仿宋_GB2312" w:hAnsi="仿宋" w:eastAsia="仿宋_GB2312" w:cs="宋体"/>
          <w:sz w:val="32"/>
          <w:szCs w:val="32"/>
        </w:rPr>
        <w:t>2.</w:t>
      </w:r>
      <w:r>
        <w:rPr>
          <w:rFonts w:hint="eastAsia" w:ascii="仿宋_GB2312" w:hAnsi="仿宋" w:eastAsia="仿宋_GB2312" w:cs="宋体"/>
          <w:sz w:val="32"/>
          <w:szCs w:val="32"/>
        </w:rPr>
        <w:t>项目预算绩效管理工作不健全，管理意识薄弱预算管理意识不强，管理较混乱，没有建立专门的制度。在项目进行过程中，影响项目的实施的效率及效益。</w:t>
      </w:r>
    </w:p>
    <w:p>
      <w:pPr>
        <w:pStyle w:val="29"/>
        <w:numPr>
          <w:ilvl w:val="0"/>
          <w:numId w:val="2"/>
        </w:numPr>
        <w:spacing w:before="0" w:after="0" w:line="560" w:lineRule="exact"/>
        <w:ind w:left="0" w:firstLine="643"/>
        <w:rPr>
          <w:rFonts w:ascii="黑体"/>
        </w:rPr>
      </w:pPr>
      <w:r>
        <w:rPr>
          <w:rFonts w:hint="eastAsia" w:ascii="黑体" w:hAnsi="黑体"/>
        </w:rPr>
        <w:t>有关建议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无。</w:t>
      </w:r>
    </w:p>
    <w:p>
      <w:pPr>
        <w:pStyle w:val="29"/>
        <w:numPr>
          <w:ilvl w:val="0"/>
          <w:numId w:val="2"/>
        </w:numPr>
        <w:spacing w:before="0" w:after="0" w:line="560" w:lineRule="exact"/>
        <w:ind w:left="0" w:firstLine="643"/>
        <w:rPr>
          <w:rFonts w:ascii="黑体"/>
        </w:rPr>
      </w:pPr>
      <w:r>
        <w:rPr>
          <w:rFonts w:hint="eastAsia" w:ascii="黑体" w:hAnsi="黑体"/>
        </w:rPr>
        <w:t>其他需要说明的问题</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无其他需要说明的问题。</w:t>
      </w:r>
    </w:p>
    <w:p>
      <w:pPr>
        <w:pStyle w:val="27"/>
      </w:pPr>
    </w:p>
    <w:p>
      <w:pPr>
        <w:pStyle w:val="27"/>
      </w:pP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1</w:t>
      </w:r>
      <w:r>
        <w:rPr>
          <w:rFonts w:hint="eastAsia" w:ascii="仿宋_GB2312" w:hAnsi="仿宋" w:eastAsia="仿宋_GB2312" w:cs="宋体"/>
          <w:sz w:val="32"/>
          <w:szCs w:val="32"/>
        </w:rPr>
        <w:t>：喀什地区叶城县信访局老干部活动经费项目绩效目标申报表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2</w:t>
      </w:r>
      <w:r>
        <w:rPr>
          <w:rFonts w:hint="eastAsia" w:ascii="仿宋_GB2312" w:hAnsi="仿宋" w:eastAsia="仿宋_GB2312" w:cs="宋体"/>
          <w:sz w:val="32"/>
          <w:szCs w:val="32"/>
        </w:rPr>
        <w:t>：喀什地区叶城县信访局老干部活动经费项目支出绩效自评表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3</w:t>
      </w:r>
      <w:r>
        <w:rPr>
          <w:rFonts w:hint="eastAsia" w:ascii="仿宋_GB2312" w:hAnsi="仿宋" w:eastAsia="仿宋_GB2312" w:cs="宋体"/>
          <w:sz w:val="32"/>
          <w:szCs w:val="32"/>
        </w:rPr>
        <w:t>：喀什地区叶城县信访局老干部活动经费项目支出绩效评价指标体系</w:t>
      </w:r>
    </w:p>
    <w:p>
      <w:pPr>
        <w:pStyle w:val="27"/>
        <w:spacing w:after="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4</w:t>
      </w:r>
      <w:r>
        <w:rPr>
          <w:rFonts w:hint="eastAsia" w:ascii="仿宋_GB2312" w:hAnsi="仿宋" w:eastAsia="仿宋_GB2312" w:cs="宋体"/>
          <w:sz w:val="32"/>
          <w:szCs w:val="32"/>
        </w:rPr>
        <w:t>：喀什地区部门支出绩效评价评分表</w:t>
      </w:r>
    </w:p>
    <w:sectPr>
      <w:headerReference r:id="rId3" w:type="default"/>
      <w:footerReference r:id="rId4"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spacing w:line="14" w:lineRule="auto"/>
      <w:jc w:val="left"/>
      <w:rPr>
        <w:rFonts w:ascii="仿宋" w:hAnsi="仿宋" w:eastAsia="仿宋" w:cs="仿宋"/>
        <w:sz w:val="20"/>
        <w:szCs w:val="28"/>
        <w:lang w:val="zh-CN"/>
      </w:rPr>
    </w:pPr>
    <w:r>
      <w:pict>
        <v:line id="_x0000_s4097" o:spid="_x0000_s4097" o:spt="20" style="position:absolute;left:0pt;margin-left:90pt;margin-top:57.5pt;height:0pt;width:415.3pt;mso-position-horizontal-relative:page;mso-position-vertical-relative:page;z-index:-251657216;mso-width-relative:page;mso-height-relative:page;" coordsize="21600,21600">
          <v:path arrowok="t"/>
          <v:fill focussize="0,0"/>
          <v:stroke weight="0.72pt"/>
          <v:imagedata o:title=""/>
          <o:lock v:ext="edit"/>
        </v:line>
      </w:pict>
    </w:r>
    <w:r>
      <w:pict>
        <v:shape id="_x0000_s4098" o:spid="_x0000_s4098" o:spt="202" type="#_x0000_t202" style="position:absolute;left:0pt;margin-left:270.65pt;margin-top:43.1pt;height:12.45pt;width:236.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autoSpaceDE w:val="0"/>
                  <w:autoSpaceDN w:val="0"/>
                  <w:spacing w:line="249" w:lineRule="exact"/>
                  <w:jc w:val="left"/>
                  <w:rPr>
                    <w:rFonts w:ascii="仿宋" w:hAnsi="仿宋" w:eastAsia="仿宋" w:cs="仿宋"/>
                    <w:b/>
                    <w:kern w:val="0"/>
                    <w:szCs w:val="22"/>
                    <w:lang w:val="zh-CN"/>
                  </w:rPr>
                </w:pP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C46A58"/>
    <w:multiLevelType w:val="singleLevel"/>
    <w:tmpl w:val="8FC46A58"/>
    <w:lvl w:ilvl="0" w:tentative="0">
      <w:start w:val="5"/>
      <w:numFmt w:val="decimal"/>
      <w:lvlText w:val="%1."/>
      <w:lvlJc w:val="left"/>
      <w:pPr>
        <w:tabs>
          <w:tab w:val="left" w:pos="312"/>
        </w:tabs>
      </w:pPr>
      <w:rPr>
        <w:rFonts w:cs="Times New Roman"/>
      </w:rPr>
    </w:lvl>
  </w:abstractNum>
  <w:abstractNum w:abstractNumId="1">
    <w:nsid w:val="F5D7B307"/>
    <w:multiLevelType w:val="singleLevel"/>
    <w:tmpl w:val="F5D7B307"/>
    <w:lvl w:ilvl="0" w:tentative="0">
      <w:start w:val="1"/>
      <w:numFmt w:val="decimal"/>
      <w:suff w:val="nothing"/>
      <w:lvlText w:val="（%1）"/>
      <w:lvlJc w:val="left"/>
      <w:rPr>
        <w:rFonts w:cs="Times New Roman"/>
      </w:rPr>
    </w:lvl>
  </w:abstractNum>
  <w:abstractNum w:abstractNumId="2">
    <w:nsid w:val="316D4D14"/>
    <w:multiLevelType w:val="multilevel"/>
    <w:tmpl w:val="316D4D14"/>
    <w:lvl w:ilvl="0" w:tentative="0">
      <w:start w:val="1"/>
      <w:numFmt w:val="decimal"/>
      <w:lvlText w:val="%1."/>
      <w:lvlJc w:val="left"/>
      <w:pPr>
        <w:ind w:left="988" w:hanging="420"/>
      </w:pPr>
      <w:rPr>
        <w:rFonts w:cs="Times New Roman"/>
      </w:rPr>
    </w:lvl>
    <w:lvl w:ilvl="1" w:tentative="0">
      <w:start w:val="1"/>
      <w:numFmt w:val="decimal"/>
      <w:lvlText w:val="%2."/>
      <w:lvlJc w:val="left"/>
      <w:pPr>
        <w:ind w:left="1408" w:hanging="420"/>
      </w:pPr>
      <w:rPr>
        <w:rFonts w:cs="Times New Roman"/>
      </w:rPr>
    </w:lvl>
    <w:lvl w:ilvl="2" w:tentative="0">
      <w:start w:val="1"/>
      <w:numFmt w:val="lowerRoman"/>
      <w:lvlText w:val="%3."/>
      <w:lvlJc w:val="right"/>
      <w:pPr>
        <w:ind w:left="1828" w:hanging="420"/>
      </w:pPr>
      <w:rPr>
        <w:rFonts w:cs="Times New Roman"/>
      </w:rPr>
    </w:lvl>
    <w:lvl w:ilvl="3" w:tentative="0">
      <w:start w:val="1"/>
      <w:numFmt w:val="decimal"/>
      <w:lvlText w:val="%4."/>
      <w:lvlJc w:val="left"/>
      <w:pPr>
        <w:ind w:left="2248" w:hanging="420"/>
      </w:pPr>
      <w:rPr>
        <w:rFonts w:cs="Times New Roman"/>
      </w:rPr>
    </w:lvl>
    <w:lvl w:ilvl="4" w:tentative="0">
      <w:start w:val="1"/>
      <w:numFmt w:val="lowerLetter"/>
      <w:lvlText w:val="%5)"/>
      <w:lvlJc w:val="left"/>
      <w:pPr>
        <w:ind w:left="2668" w:hanging="420"/>
      </w:pPr>
      <w:rPr>
        <w:rFonts w:cs="Times New Roman"/>
      </w:rPr>
    </w:lvl>
    <w:lvl w:ilvl="5" w:tentative="0">
      <w:start w:val="1"/>
      <w:numFmt w:val="lowerRoman"/>
      <w:lvlText w:val="%6."/>
      <w:lvlJc w:val="right"/>
      <w:pPr>
        <w:ind w:left="3088" w:hanging="420"/>
      </w:pPr>
      <w:rPr>
        <w:rFonts w:cs="Times New Roman"/>
      </w:rPr>
    </w:lvl>
    <w:lvl w:ilvl="6" w:tentative="0">
      <w:start w:val="1"/>
      <w:numFmt w:val="decimal"/>
      <w:lvlText w:val="%7."/>
      <w:lvlJc w:val="left"/>
      <w:pPr>
        <w:ind w:left="3508" w:hanging="420"/>
      </w:pPr>
      <w:rPr>
        <w:rFonts w:cs="Times New Roman"/>
      </w:rPr>
    </w:lvl>
    <w:lvl w:ilvl="7" w:tentative="0">
      <w:start w:val="1"/>
      <w:numFmt w:val="lowerLetter"/>
      <w:lvlText w:val="%8)"/>
      <w:lvlJc w:val="left"/>
      <w:pPr>
        <w:ind w:left="3928" w:hanging="420"/>
      </w:pPr>
      <w:rPr>
        <w:rFonts w:cs="Times New Roman"/>
      </w:rPr>
    </w:lvl>
    <w:lvl w:ilvl="8" w:tentative="0">
      <w:start w:val="1"/>
      <w:numFmt w:val="lowerRoman"/>
      <w:lvlText w:val="%9."/>
      <w:lvlJc w:val="right"/>
      <w:pPr>
        <w:ind w:left="4348" w:hanging="420"/>
      </w:pPr>
      <w:rPr>
        <w:rFonts w:cs="Times New Roman"/>
      </w:rPr>
    </w:lvl>
  </w:abstractNum>
  <w:abstractNum w:abstractNumId="3">
    <w:nsid w:val="3A7260C0"/>
    <w:multiLevelType w:val="multilevel"/>
    <w:tmpl w:val="3A7260C0"/>
    <w:lvl w:ilvl="0" w:tentative="0">
      <w:start w:val="1"/>
      <w:numFmt w:val="chineseCountingThousand"/>
      <w:pStyle w:val="30"/>
      <w:lvlText w:val="(%1)"/>
      <w:lvlJc w:val="left"/>
      <w:pPr>
        <w:ind w:left="988"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cs="Times New Roman"/>
      </w:rPr>
    </w:lvl>
    <w:lvl w:ilvl="1" w:tentative="0">
      <w:start w:val="1"/>
      <w:numFmt w:val="japaneseCounting"/>
      <w:lvlText w:val="（%2）"/>
      <w:lvlJc w:val="left"/>
      <w:pPr>
        <w:ind w:left="1500" w:hanging="1080"/>
      </w:pPr>
      <w:rPr>
        <w:rFonts w:hint="default"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54451D54"/>
    <w:multiLevelType w:val="multilevel"/>
    <w:tmpl w:val="54451D54"/>
    <w:lvl w:ilvl="0" w:tentative="0">
      <w:start w:val="1"/>
      <w:numFmt w:val="decimal"/>
      <w:lvlText w:val="%1．"/>
      <w:lvlJc w:val="left"/>
      <w:pPr>
        <w:ind w:left="1065" w:hanging="420"/>
      </w:pPr>
      <w:rPr>
        <w:rFonts w:hint="eastAsia" w:cs="Times New Roman"/>
      </w:rPr>
    </w:lvl>
    <w:lvl w:ilvl="1" w:tentative="0">
      <w:start w:val="1"/>
      <w:numFmt w:val="lowerLetter"/>
      <w:lvlText w:val="%2)"/>
      <w:lvlJc w:val="left"/>
      <w:pPr>
        <w:ind w:left="1485" w:hanging="420"/>
      </w:pPr>
      <w:rPr>
        <w:rFonts w:cs="Times New Roman"/>
      </w:rPr>
    </w:lvl>
    <w:lvl w:ilvl="2" w:tentative="0">
      <w:start w:val="1"/>
      <w:numFmt w:val="lowerRoman"/>
      <w:lvlText w:val="%3."/>
      <w:lvlJc w:val="right"/>
      <w:pPr>
        <w:ind w:left="1905" w:hanging="420"/>
      </w:pPr>
      <w:rPr>
        <w:rFonts w:cs="Times New Roman"/>
      </w:rPr>
    </w:lvl>
    <w:lvl w:ilvl="3" w:tentative="0">
      <w:start w:val="1"/>
      <w:numFmt w:val="decimal"/>
      <w:lvlText w:val="%4."/>
      <w:lvlJc w:val="left"/>
      <w:pPr>
        <w:ind w:left="2325" w:hanging="420"/>
      </w:pPr>
      <w:rPr>
        <w:rFonts w:cs="Times New Roman"/>
      </w:rPr>
    </w:lvl>
    <w:lvl w:ilvl="4" w:tentative="0">
      <w:start w:val="1"/>
      <w:numFmt w:val="lowerLetter"/>
      <w:lvlText w:val="%5)"/>
      <w:lvlJc w:val="left"/>
      <w:pPr>
        <w:ind w:left="2745" w:hanging="420"/>
      </w:pPr>
      <w:rPr>
        <w:rFonts w:cs="Times New Roman"/>
      </w:rPr>
    </w:lvl>
    <w:lvl w:ilvl="5" w:tentative="0">
      <w:start w:val="1"/>
      <w:numFmt w:val="lowerRoman"/>
      <w:lvlText w:val="%6."/>
      <w:lvlJc w:val="right"/>
      <w:pPr>
        <w:ind w:left="3165" w:hanging="420"/>
      </w:pPr>
      <w:rPr>
        <w:rFonts w:cs="Times New Roman"/>
      </w:rPr>
    </w:lvl>
    <w:lvl w:ilvl="6" w:tentative="0">
      <w:start w:val="1"/>
      <w:numFmt w:val="decimal"/>
      <w:lvlText w:val="%7."/>
      <w:lvlJc w:val="left"/>
      <w:pPr>
        <w:ind w:left="3585" w:hanging="420"/>
      </w:pPr>
      <w:rPr>
        <w:rFonts w:cs="Times New Roman"/>
      </w:rPr>
    </w:lvl>
    <w:lvl w:ilvl="7" w:tentative="0">
      <w:start w:val="1"/>
      <w:numFmt w:val="lowerLetter"/>
      <w:lvlText w:val="%8)"/>
      <w:lvlJc w:val="left"/>
      <w:pPr>
        <w:ind w:left="4005" w:hanging="420"/>
      </w:pPr>
      <w:rPr>
        <w:rFonts w:cs="Times New Roman"/>
      </w:rPr>
    </w:lvl>
    <w:lvl w:ilvl="8" w:tentative="0">
      <w:start w:val="1"/>
      <w:numFmt w:val="lowerRoman"/>
      <w:lvlText w:val="%9."/>
      <w:lvlJc w:val="right"/>
      <w:pPr>
        <w:ind w:left="4425" w:hanging="420"/>
      </w:pPr>
      <w:rPr>
        <w:rFonts w:cs="Times New Roman"/>
      </w:rPr>
    </w:lvl>
  </w:abstractNum>
  <w:abstractNum w:abstractNumId="6">
    <w:nsid w:val="5B493FDA"/>
    <w:multiLevelType w:val="multilevel"/>
    <w:tmpl w:val="5B493FDA"/>
    <w:lvl w:ilvl="0" w:tentative="0">
      <w:start w:val="1"/>
      <w:numFmt w:val="chineseCountingThousand"/>
      <w:lvlText w:val="(%1)"/>
      <w:lvlJc w:val="left"/>
      <w:pPr>
        <w:ind w:left="1060" w:hanging="420"/>
      </w:pPr>
      <w:rPr>
        <w:rFonts w:hint="eastAsia"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7">
    <w:nsid w:val="5DAE0ED0"/>
    <w:multiLevelType w:val="singleLevel"/>
    <w:tmpl w:val="5DAE0ED0"/>
    <w:lvl w:ilvl="0" w:tentative="0">
      <w:start w:val="1"/>
      <w:numFmt w:val="decimal"/>
      <w:suff w:val="nothing"/>
      <w:lvlText w:val="（%1）"/>
      <w:lvlJc w:val="left"/>
      <w:rPr>
        <w:rFonts w:cs="Times New Roman"/>
      </w:rPr>
    </w:lvl>
  </w:abstractNum>
  <w:abstractNum w:abstractNumId="8">
    <w:nsid w:val="6757463D"/>
    <w:multiLevelType w:val="multilevel"/>
    <w:tmpl w:val="6757463D"/>
    <w:lvl w:ilvl="0" w:tentative="0">
      <w:start w:val="1"/>
      <w:numFmt w:val="chineseCountingThousand"/>
      <w:lvlText w:val="%1、"/>
      <w:lvlJc w:val="left"/>
      <w:pPr>
        <w:ind w:left="1063" w:hanging="420"/>
      </w:pPr>
      <w:rPr>
        <w:rFonts w:hint="eastAsia" w:cs="Times New Roman"/>
      </w:rPr>
    </w:lvl>
    <w:lvl w:ilvl="1" w:tentative="0">
      <w:start w:val="1"/>
      <w:numFmt w:val="lowerLetter"/>
      <w:lvlText w:val="%2)"/>
      <w:lvlJc w:val="left"/>
      <w:pPr>
        <w:ind w:left="1483" w:hanging="420"/>
      </w:pPr>
      <w:rPr>
        <w:rFonts w:cs="Times New Roman"/>
      </w:rPr>
    </w:lvl>
    <w:lvl w:ilvl="2" w:tentative="0">
      <w:start w:val="1"/>
      <w:numFmt w:val="lowerRoman"/>
      <w:lvlText w:val="%3."/>
      <w:lvlJc w:val="right"/>
      <w:pPr>
        <w:ind w:left="1903" w:hanging="420"/>
      </w:pPr>
      <w:rPr>
        <w:rFonts w:cs="Times New Roman"/>
      </w:rPr>
    </w:lvl>
    <w:lvl w:ilvl="3" w:tentative="0">
      <w:start w:val="1"/>
      <w:numFmt w:val="decimal"/>
      <w:lvlText w:val="%4."/>
      <w:lvlJc w:val="left"/>
      <w:pPr>
        <w:ind w:left="2323" w:hanging="420"/>
      </w:pPr>
      <w:rPr>
        <w:rFonts w:cs="Times New Roman"/>
      </w:rPr>
    </w:lvl>
    <w:lvl w:ilvl="4" w:tentative="0">
      <w:start w:val="1"/>
      <w:numFmt w:val="lowerLetter"/>
      <w:lvlText w:val="%5)"/>
      <w:lvlJc w:val="left"/>
      <w:pPr>
        <w:ind w:left="2743" w:hanging="420"/>
      </w:pPr>
      <w:rPr>
        <w:rFonts w:cs="Times New Roman"/>
      </w:rPr>
    </w:lvl>
    <w:lvl w:ilvl="5" w:tentative="0">
      <w:start w:val="1"/>
      <w:numFmt w:val="lowerRoman"/>
      <w:lvlText w:val="%6."/>
      <w:lvlJc w:val="right"/>
      <w:pPr>
        <w:ind w:left="3163" w:hanging="420"/>
      </w:pPr>
      <w:rPr>
        <w:rFonts w:cs="Times New Roman"/>
      </w:rPr>
    </w:lvl>
    <w:lvl w:ilvl="6" w:tentative="0">
      <w:start w:val="1"/>
      <w:numFmt w:val="decimal"/>
      <w:lvlText w:val="%7."/>
      <w:lvlJc w:val="left"/>
      <w:pPr>
        <w:ind w:left="3583" w:hanging="420"/>
      </w:pPr>
      <w:rPr>
        <w:rFonts w:cs="Times New Roman"/>
      </w:rPr>
    </w:lvl>
    <w:lvl w:ilvl="7" w:tentative="0">
      <w:start w:val="1"/>
      <w:numFmt w:val="lowerLetter"/>
      <w:lvlText w:val="%8)"/>
      <w:lvlJc w:val="left"/>
      <w:pPr>
        <w:ind w:left="4003" w:hanging="420"/>
      </w:pPr>
      <w:rPr>
        <w:rFonts w:cs="Times New Roman"/>
      </w:rPr>
    </w:lvl>
    <w:lvl w:ilvl="8" w:tentative="0">
      <w:start w:val="1"/>
      <w:numFmt w:val="lowerRoman"/>
      <w:lvlText w:val="%9."/>
      <w:lvlJc w:val="right"/>
      <w:pPr>
        <w:ind w:left="4423" w:hanging="420"/>
      </w:pPr>
      <w:rPr>
        <w:rFonts w:cs="Times New Roman"/>
      </w:rPr>
    </w:lvl>
  </w:abstractNum>
  <w:num w:numId="1">
    <w:abstractNumId w:val="3"/>
  </w:num>
  <w:num w:numId="2">
    <w:abstractNumId w:val="8"/>
  </w:num>
  <w:num w:numId="3">
    <w:abstractNumId w:val="5"/>
  </w:num>
  <w:num w:numId="4">
    <w:abstractNumId w:val="7"/>
  </w:num>
  <w:num w:numId="5">
    <w:abstractNumId w:val="0"/>
  </w:num>
  <w:num w:numId="6">
    <w:abstractNumId w:val="4"/>
  </w:num>
  <w:num w:numId="7">
    <w:abstractNumId w:val="2"/>
  </w:num>
  <w:num w:numId="8">
    <w:abstractNumId w:val="6"/>
  </w:num>
  <w:num w:numId="9">
    <w:abstractNumId w:val="1"/>
  </w:num>
  <w:num w:numId="10">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0"/>
  <w:drawingGridHorizontalSpacing w:val="210"/>
  <w:drawingGridVerticalSpacing w:val="158"/>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715"/>
    <w:rsid w:val="00022413"/>
    <w:rsid w:val="00037F93"/>
    <w:rsid w:val="00042126"/>
    <w:rsid w:val="0008266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C0FF8"/>
    <w:rsid w:val="001D5FF2"/>
    <w:rsid w:val="001D6F2E"/>
    <w:rsid w:val="00203FB6"/>
    <w:rsid w:val="00233ECE"/>
    <w:rsid w:val="002A1BF4"/>
    <w:rsid w:val="002B3A72"/>
    <w:rsid w:val="002C6231"/>
    <w:rsid w:val="002F7342"/>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4E2487"/>
    <w:rsid w:val="005225F1"/>
    <w:rsid w:val="00531253"/>
    <w:rsid w:val="00540B36"/>
    <w:rsid w:val="00554604"/>
    <w:rsid w:val="00563E06"/>
    <w:rsid w:val="0058554B"/>
    <w:rsid w:val="00594BEF"/>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5A67"/>
    <w:rsid w:val="00DA7F4C"/>
    <w:rsid w:val="00DC5F94"/>
    <w:rsid w:val="00DE152F"/>
    <w:rsid w:val="00DE293B"/>
    <w:rsid w:val="00E05626"/>
    <w:rsid w:val="00E25B2F"/>
    <w:rsid w:val="00E373A5"/>
    <w:rsid w:val="00E452F9"/>
    <w:rsid w:val="00E66A4D"/>
    <w:rsid w:val="00E72B1C"/>
    <w:rsid w:val="00E96169"/>
    <w:rsid w:val="00F0780F"/>
    <w:rsid w:val="00F16D54"/>
    <w:rsid w:val="00F6015C"/>
    <w:rsid w:val="00F62E58"/>
    <w:rsid w:val="00F75715"/>
    <w:rsid w:val="00FA4479"/>
    <w:rsid w:val="00FB2E2F"/>
    <w:rsid w:val="00FD300A"/>
    <w:rsid w:val="00FF137F"/>
    <w:rsid w:val="00FF6959"/>
    <w:rsid w:val="00FF6C14"/>
    <w:rsid w:val="01770FE7"/>
    <w:rsid w:val="01BE6316"/>
    <w:rsid w:val="038C71E9"/>
    <w:rsid w:val="03B32E91"/>
    <w:rsid w:val="04CF03C3"/>
    <w:rsid w:val="05A3136D"/>
    <w:rsid w:val="08BF3CCB"/>
    <w:rsid w:val="115130DC"/>
    <w:rsid w:val="167F2DB9"/>
    <w:rsid w:val="16A64CB6"/>
    <w:rsid w:val="17EF1652"/>
    <w:rsid w:val="1C1B314F"/>
    <w:rsid w:val="1FD20235"/>
    <w:rsid w:val="217F35A7"/>
    <w:rsid w:val="24E73B1F"/>
    <w:rsid w:val="26CC114F"/>
    <w:rsid w:val="26F03C06"/>
    <w:rsid w:val="27003108"/>
    <w:rsid w:val="28B05F2C"/>
    <w:rsid w:val="2A547683"/>
    <w:rsid w:val="2AEA0BFE"/>
    <w:rsid w:val="2F8765EB"/>
    <w:rsid w:val="30857714"/>
    <w:rsid w:val="33A6617E"/>
    <w:rsid w:val="34AE0083"/>
    <w:rsid w:val="35B54899"/>
    <w:rsid w:val="3CFF5E54"/>
    <w:rsid w:val="406151FD"/>
    <w:rsid w:val="4161349C"/>
    <w:rsid w:val="42E20386"/>
    <w:rsid w:val="42FC6563"/>
    <w:rsid w:val="48732E17"/>
    <w:rsid w:val="48E85024"/>
    <w:rsid w:val="4F842AAD"/>
    <w:rsid w:val="57964064"/>
    <w:rsid w:val="5CFA0DD0"/>
    <w:rsid w:val="5E901EE1"/>
    <w:rsid w:val="5F280DFD"/>
    <w:rsid w:val="611D5120"/>
    <w:rsid w:val="62AD63D1"/>
    <w:rsid w:val="64D6135E"/>
    <w:rsid w:val="650D5787"/>
    <w:rsid w:val="667765BF"/>
    <w:rsid w:val="67AC7233"/>
    <w:rsid w:val="6AA60A88"/>
    <w:rsid w:val="6F084152"/>
    <w:rsid w:val="6F5059CE"/>
    <w:rsid w:val="71FF21D4"/>
    <w:rsid w:val="7397275C"/>
    <w:rsid w:val="7775238E"/>
    <w:rsid w:val="7A8638D9"/>
    <w:rsid w:val="7F944A6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unhideWhenUsed="0" w:uiPriority="99" w:name="toc 3"/>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qFormat="1" w:unhideWhenUsed="0"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1"/>
      <w:lang w:val="en-US" w:eastAsia="zh-CN" w:bidi="ar-SA"/>
    </w:rPr>
  </w:style>
  <w:style w:type="paragraph" w:styleId="2">
    <w:name w:val="heading 1"/>
    <w:basedOn w:val="1"/>
    <w:next w:val="1"/>
    <w:link w:val="19"/>
    <w:qFormat/>
    <w:uiPriority w:val="9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0"/>
    <w:qFormat/>
    <w:uiPriority w:val="99"/>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21"/>
    <w:qFormat/>
    <w:uiPriority w:val="9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2"/>
    <w:semiHidden/>
    <w:qFormat/>
    <w:uiPriority w:val="99"/>
    <w:pPr>
      <w:jc w:val="left"/>
    </w:pPr>
  </w:style>
  <w:style w:type="paragraph" w:styleId="6">
    <w:name w:val="Body Text"/>
    <w:basedOn w:val="1"/>
    <w:link w:val="23"/>
    <w:qFormat/>
    <w:uiPriority w:val="99"/>
    <w:rPr>
      <w:rFonts w:ascii="仿宋" w:hAnsi="仿宋" w:eastAsia="仿宋" w:cs="仿宋"/>
      <w:sz w:val="28"/>
      <w:szCs w:val="28"/>
      <w:lang w:val="zh-CN"/>
    </w:rPr>
  </w:style>
  <w:style w:type="paragraph" w:styleId="7">
    <w:name w:val="toc 3"/>
    <w:basedOn w:val="1"/>
    <w:next w:val="1"/>
    <w:semiHidden/>
    <w:uiPriority w:val="99"/>
    <w:rPr>
      <w:rFonts w:eastAsia="仿宋_GB2312"/>
      <w:sz w:val="28"/>
    </w:rPr>
  </w:style>
  <w:style w:type="paragraph" w:styleId="8">
    <w:name w:val="Balloon Text"/>
    <w:basedOn w:val="1"/>
    <w:link w:val="24"/>
    <w:semiHidden/>
    <w:qFormat/>
    <w:uiPriority w:val="99"/>
    <w:rPr>
      <w:sz w:val="18"/>
      <w:szCs w:val="18"/>
    </w:rPr>
  </w:style>
  <w:style w:type="paragraph" w:styleId="9">
    <w:name w:val="footer"/>
    <w:basedOn w:val="1"/>
    <w:link w:val="25"/>
    <w:qFormat/>
    <w:uiPriority w:val="99"/>
    <w:pPr>
      <w:tabs>
        <w:tab w:val="center" w:pos="4153"/>
        <w:tab w:val="right" w:pos="8306"/>
      </w:tabs>
      <w:snapToGrid w:val="0"/>
      <w:jc w:val="left"/>
    </w:pPr>
    <w:rPr>
      <w:sz w:val="18"/>
      <w:szCs w:val="18"/>
    </w:rPr>
  </w:style>
  <w:style w:type="paragraph" w:styleId="10">
    <w:name w:val="header"/>
    <w:basedOn w:val="1"/>
    <w:link w:val="26"/>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99"/>
    <w:rPr>
      <w:rFonts w:eastAsia="仿宋_GB2312"/>
      <w:sz w:val="28"/>
    </w:rPr>
  </w:style>
  <w:style w:type="paragraph" w:styleId="12">
    <w:name w:val="toc 2"/>
    <w:basedOn w:val="1"/>
    <w:next w:val="1"/>
    <w:qFormat/>
    <w:uiPriority w:val="99"/>
    <w:rPr>
      <w:rFonts w:eastAsia="仿宋_GB2312"/>
      <w:sz w:val="28"/>
    </w:rPr>
  </w:style>
  <w:style w:type="paragraph" w:styleId="13">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5">
    <w:name w:val="Table Grid"/>
    <w:basedOn w:val="14"/>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99"/>
    <w:rPr>
      <w:rFonts w:ascii="Times New Roman" w:hAnsi="Times New Roman" w:eastAsia="宋体" w:cs="Times New Roman"/>
      <w:b/>
      <w:bCs/>
    </w:rPr>
  </w:style>
  <w:style w:type="character" w:styleId="18">
    <w:name w:val="Hyperlink"/>
    <w:qFormat/>
    <w:uiPriority w:val="99"/>
    <w:rPr>
      <w:rFonts w:cs="Times New Roman"/>
      <w:color w:val="0563C1"/>
      <w:u w:val="single"/>
    </w:rPr>
  </w:style>
  <w:style w:type="character" w:customStyle="1" w:styleId="19">
    <w:name w:val="标题 1 字符"/>
    <w:link w:val="2"/>
    <w:locked/>
    <w:uiPriority w:val="99"/>
    <w:rPr>
      <w:rFonts w:ascii="Times New Roman" w:hAnsi="Times New Roman" w:eastAsia="黑体" w:cs="Arial"/>
      <w:b/>
      <w:bCs/>
      <w:kern w:val="44"/>
      <w:sz w:val="44"/>
      <w:szCs w:val="44"/>
    </w:rPr>
  </w:style>
  <w:style w:type="character" w:customStyle="1" w:styleId="20">
    <w:name w:val="标题 2 字符"/>
    <w:link w:val="3"/>
    <w:qFormat/>
    <w:locked/>
    <w:uiPriority w:val="99"/>
    <w:rPr>
      <w:rFonts w:ascii="等线 Light" w:hAnsi="等线 Light" w:eastAsia="等线 Light" w:cs="Times New Roman"/>
      <w:b/>
      <w:bCs/>
      <w:sz w:val="32"/>
      <w:szCs w:val="32"/>
    </w:rPr>
  </w:style>
  <w:style w:type="character" w:customStyle="1" w:styleId="21">
    <w:name w:val="标题 3 字符"/>
    <w:link w:val="4"/>
    <w:semiHidden/>
    <w:qFormat/>
    <w:locked/>
    <w:uiPriority w:val="99"/>
    <w:rPr>
      <w:rFonts w:cs="Times New Roman"/>
      <w:b/>
      <w:bCs/>
      <w:sz w:val="32"/>
      <w:szCs w:val="32"/>
    </w:rPr>
  </w:style>
  <w:style w:type="character" w:customStyle="1" w:styleId="22">
    <w:name w:val="批注文字 字符"/>
    <w:link w:val="5"/>
    <w:semiHidden/>
    <w:qFormat/>
    <w:uiPriority w:val="99"/>
    <w:rPr>
      <w:szCs w:val="21"/>
    </w:rPr>
  </w:style>
  <w:style w:type="character" w:customStyle="1" w:styleId="23">
    <w:name w:val="正文文本 字符"/>
    <w:link w:val="6"/>
    <w:semiHidden/>
    <w:qFormat/>
    <w:uiPriority w:val="99"/>
    <w:rPr>
      <w:szCs w:val="21"/>
    </w:rPr>
  </w:style>
  <w:style w:type="character" w:customStyle="1" w:styleId="24">
    <w:name w:val="批注框文本 字符"/>
    <w:link w:val="8"/>
    <w:semiHidden/>
    <w:qFormat/>
    <w:locked/>
    <w:uiPriority w:val="99"/>
    <w:rPr>
      <w:rFonts w:cs="Times New Roman"/>
      <w:sz w:val="18"/>
      <w:szCs w:val="18"/>
    </w:rPr>
  </w:style>
  <w:style w:type="character" w:customStyle="1" w:styleId="25">
    <w:name w:val="页脚 字符"/>
    <w:link w:val="9"/>
    <w:qFormat/>
    <w:locked/>
    <w:uiPriority w:val="99"/>
    <w:rPr>
      <w:rFonts w:cs="Times New Roman"/>
      <w:sz w:val="18"/>
      <w:szCs w:val="18"/>
    </w:rPr>
  </w:style>
  <w:style w:type="character" w:customStyle="1" w:styleId="26">
    <w:name w:val="页眉 字符"/>
    <w:link w:val="10"/>
    <w:locked/>
    <w:uiPriority w:val="99"/>
    <w:rPr>
      <w:rFonts w:cs="Times New Roman"/>
      <w:sz w:val="18"/>
      <w:szCs w:val="18"/>
    </w:rPr>
  </w:style>
  <w:style w:type="paragraph" w:customStyle="1" w:styleId="27">
    <w:name w:val="Char"/>
    <w:basedOn w:val="1"/>
    <w:uiPriority w:val="99"/>
    <w:pPr>
      <w:widowControl/>
      <w:spacing w:after="160" w:line="240" w:lineRule="exact"/>
      <w:jc w:val="left"/>
    </w:pPr>
    <w:rPr>
      <w:rFonts w:ascii="Times New Roman" w:hAnsi="Times New Roman" w:eastAsia="宋体"/>
      <w:szCs w:val="22"/>
    </w:rPr>
  </w:style>
  <w:style w:type="paragraph" w:styleId="28">
    <w:name w:val="List Paragraph"/>
    <w:basedOn w:val="1"/>
    <w:qFormat/>
    <w:uiPriority w:val="99"/>
    <w:pPr>
      <w:ind w:firstLine="420" w:firstLineChars="200"/>
    </w:pPr>
  </w:style>
  <w:style w:type="paragraph" w:customStyle="1" w:styleId="29">
    <w:name w:val="标题1"/>
    <w:basedOn w:val="2"/>
    <w:uiPriority w:val="99"/>
    <w:pPr>
      <w:spacing w:before="120" w:after="120" w:line="500" w:lineRule="exact"/>
      <w:ind w:firstLine="200" w:firstLineChars="200"/>
    </w:pPr>
    <w:rPr>
      <w:rFonts w:cs="Times New Roman"/>
      <w:sz w:val="32"/>
      <w:szCs w:val="32"/>
    </w:rPr>
  </w:style>
  <w:style w:type="paragraph" w:customStyle="1" w:styleId="30">
    <w:name w:val="标题2"/>
    <w:basedOn w:val="3"/>
    <w:qFormat/>
    <w:uiPriority w:val="99"/>
    <w:pPr>
      <w:numPr>
        <w:ilvl w:val="0"/>
        <w:numId w:val="1"/>
      </w:numPr>
      <w:spacing w:before="120" w:after="120" w:line="500" w:lineRule="exact"/>
    </w:pPr>
    <w:rPr>
      <w:rFonts w:ascii="仿宋_GB2312" w:eastAsia="仿宋_GB2312"/>
    </w:rPr>
  </w:style>
  <w:style w:type="paragraph" w:customStyle="1" w:styleId="31">
    <w:name w:val="TOC 标题1"/>
    <w:basedOn w:val="2"/>
    <w:next w:val="1"/>
    <w:qFormat/>
    <w:uiPriority w:val="99"/>
    <w:pPr>
      <w:widowControl/>
      <w:spacing w:before="240" w:after="0" w:line="259" w:lineRule="auto"/>
      <w:jc w:val="left"/>
      <w:outlineLvl w:val="9"/>
    </w:pPr>
    <w:rPr>
      <w:rFonts w:ascii="等线 Light" w:hAnsi="等线 Light" w:eastAsia="等线 Light" w:cs="Times New Roman"/>
      <w:b w:val="0"/>
      <w:bCs w:val="0"/>
      <w:color w:val="2F5496"/>
      <w:kern w:val="0"/>
      <w:sz w:val="32"/>
      <w:szCs w:val="32"/>
    </w:rPr>
  </w:style>
  <w:style w:type="character" w:customStyle="1" w:styleId="32">
    <w:name w:val="闻政正文 Char"/>
    <w:link w:val="33"/>
    <w:locked/>
    <w:uiPriority w:val="99"/>
    <w:rPr>
      <w:rFonts w:ascii="Times New Roman" w:hAnsi="Times New Roman" w:eastAsia="仿宋_GB2312"/>
      <w:sz w:val="28"/>
    </w:rPr>
  </w:style>
  <w:style w:type="paragraph" w:customStyle="1" w:styleId="33">
    <w:name w:val="闻政正文"/>
    <w:basedOn w:val="1"/>
    <w:link w:val="32"/>
    <w:uiPriority w:val="99"/>
    <w:pPr>
      <w:spacing w:line="500" w:lineRule="exact"/>
      <w:ind w:firstLine="560" w:firstLineChars="200"/>
    </w:pPr>
    <w:rPr>
      <w:rFonts w:ascii="Times New Roman" w:hAnsi="Times New Roman" w:eastAsia="仿宋_GB2312"/>
      <w:kern w:val="0"/>
      <w:sz w:val="28"/>
      <w:szCs w:val="28"/>
    </w:rPr>
  </w:style>
  <w:style w:type="character" w:customStyle="1" w:styleId="34">
    <w:name w:val="闻政表 Char"/>
    <w:link w:val="35"/>
    <w:qFormat/>
    <w:locked/>
    <w:uiPriority w:val="99"/>
    <w:rPr>
      <w:rFonts w:ascii="Times New Roman" w:hAnsi="Times New Roman" w:eastAsia="仿宋_GB2312"/>
      <w:b/>
      <w:sz w:val="28"/>
    </w:rPr>
  </w:style>
  <w:style w:type="paragraph" w:customStyle="1" w:styleId="35">
    <w:name w:val="闻政表"/>
    <w:basedOn w:val="1"/>
    <w:link w:val="34"/>
    <w:uiPriority w:val="99"/>
    <w:pPr>
      <w:spacing w:before="60" w:after="60"/>
      <w:jc w:val="center"/>
    </w:pPr>
    <w:rPr>
      <w:rFonts w:ascii="Times New Roman" w:hAnsi="Times New Roman" w:eastAsia="仿宋_GB2312"/>
      <w:b/>
      <w:kern w:val="0"/>
      <w:sz w:val="24"/>
      <w:szCs w:val="28"/>
    </w:rPr>
  </w:style>
  <w:style w:type="character" w:customStyle="1" w:styleId="36">
    <w:name w:val="闻政标题3 Char"/>
    <w:link w:val="37"/>
    <w:qFormat/>
    <w:locked/>
    <w:uiPriority w:val="99"/>
    <w:rPr>
      <w:rFonts w:ascii="黑体" w:hAnsi="黑体" w:eastAsia="黑体"/>
      <w:sz w:val="32"/>
    </w:rPr>
  </w:style>
  <w:style w:type="paragraph" w:customStyle="1" w:styleId="37">
    <w:name w:val="闻政标题3"/>
    <w:basedOn w:val="4"/>
    <w:link w:val="36"/>
    <w:qFormat/>
    <w:uiPriority w:val="99"/>
    <w:pPr>
      <w:spacing w:before="120" w:after="60" w:line="500" w:lineRule="exact"/>
      <w:jc w:val="left"/>
      <w:outlineLvl w:val="0"/>
    </w:pPr>
    <w:rPr>
      <w:rFonts w:ascii="黑体" w:hAnsi="黑体" w:eastAsia="黑体"/>
      <w:b w:val="0"/>
      <w:kern w:val="0"/>
    </w:rPr>
  </w:style>
  <w:style w:type="paragraph" w:customStyle="1" w:styleId="38">
    <w:name w:val="Body text|1"/>
    <w:basedOn w:val="1"/>
    <w:link w:val="39"/>
    <w:qFormat/>
    <w:uiPriority w:val="99"/>
    <w:pPr>
      <w:spacing w:after="40" w:line="334" w:lineRule="auto"/>
    </w:pPr>
    <w:rPr>
      <w:rFonts w:ascii="MingLiU" w:hAnsi="MingLiU" w:eastAsia="MingLiU" w:cs="MingLiU"/>
      <w:sz w:val="20"/>
      <w:szCs w:val="20"/>
      <w:lang w:val="zh-TW" w:eastAsia="zh-TW"/>
    </w:rPr>
  </w:style>
  <w:style w:type="character" w:customStyle="1" w:styleId="39">
    <w:name w:val="Body text|1_"/>
    <w:link w:val="38"/>
    <w:qFormat/>
    <w:locked/>
    <w:uiPriority w:val="99"/>
    <w:rPr>
      <w:rFonts w:ascii="MingLiU" w:hAnsi="MingLiU" w:eastAsia="MingLiU" w:cs="MingLiU"/>
      <w:sz w:val="20"/>
      <w:szCs w:val="20"/>
      <w:lang w:val="zh-TW" w:eastAsia="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781</Words>
  <Characters>4455</Characters>
  <Lines>37</Lines>
  <Paragraphs>10</Paragraphs>
  <TotalTime>1</TotalTime>
  <ScaleCrop>false</ScaleCrop>
  <LinksUpToDate>false</LinksUpToDate>
  <CharactersWithSpaces>5226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2025-02-12T08:49:20Z</dcterms:modified>
  <dc:title>新疆普天鹏华商务信息咨询有限公司</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