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喀什地区叶城县人民检察院检察官绩效工资项目支出绩效评价报告</w:t>
      </w: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仿宋_GB2312" w:eastAsia="仿宋_GB2312"/>
          <w:sz w:val="36"/>
          <w:szCs w:val="36"/>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项目名称：检察官绩效工资项目</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实施单位：叶城县人民检察院</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评价部门：叶城县人民检察院</w:t>
      </w:r>
    </w:p>
    <w:p>
      <w:pPr>
        <w:spacing w:beforeLines="50"/>
        <w:jc w:val="center"/>
        <w:rPr>
          <w:rFonts w:ascii="仿宋_GB2312" w:eastAsia="仿宋_GB2312"/>
          <w:sz w:val="36"/>
          <w:szCs w:val="36"/>
        </w:rPr>
      </w:pPr>
    </w:p>
    <w:p>
      <w:pPr>
        <w:spacing w:beforeLines="50"/>
        <w:jc w:val="center"/>
        <w:rPr>
          <w:rFonts w:ascii="仿宋_GB2312" w:eastAsia="仿宋_GB2312"/>
          <w:sz w:val="36"/>
          <w:szCs w:val="36"/>
        </w:rPr>
      </w:pPr>
    </w:p>
    <w:p>
      <w:pPr>
        <w:spacing w:beforeLines="50"/>
        <w:jc w:val="center"/>
        <w:rPr>
          <w:rFonts w:ascii="仿宋_GB2312" w:eastAsia="仿宋_GB2312"/>
          <w:sz w:val="36"/>
          <w:szCs w:val="36"/>
        </w:rPr>
      </w:pPr>
      <w:r>
        <w:rPr>
          <w:rFonts w:hint="eastAsia" w:ascii="仿宋_GB2312" w:eastAsia="仿宋_GB2312"/>
          <w:sz w:val="36"/>
          <w:szCs w:val="36"/>
        </w:rPr>
        <w:t>二零二零年四月</w:t>
      </w:r>
    </w:p>
    <w:p>
      <w:pPr>
        <w:spacing w:beforeLines="50" w:line="24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7"/>
        <w:numPr>
          <w:ilvl w:val="0"/>
          <w:numId w:val="2"/>
        </w:numPr>
        <w:ind w:firstLineChars="0"/>
      </w:pPr>
      <w:r>
        <w:rPr>
          <w:rFonts w:hint="eastAsia"/>
        </w:rPr>
        <w:t>基本情况</w:t>
      </w:r>
    </w:p>
    <w:p>
      <w:pPr>
        <w:pStyle w:val="28"/>
        <w:ind w:left="0" w:firstLine="643" w:firstLineChars="200"/>
      </w:pPr>
      <w:bookmarkStart w:id="0" w:name="_Toc26401549"/>
      <w:r>
        <w:rPr>
          <w:rFonts w:hint="eastAsia"/>
        </w:rPr>
        <w:t>项目概况</w:t>
      </w:r>
      <w:bookmarkEnd w:id="0"/>
    </w:p>
    <w:p>
      <w:pPr>
        <w:pStyle w:val="26"/>
        <w:numPr>
          <w:ilvl w:val="0"/>
          <w:numId w:val="3"/>
        </w:numPr>
        <w:spacing w:line="560" w:lineRule="exact"/>
        <w:ind w:left="0" w:firstLine="3168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）立项背景和目的</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本项目根据《法官、检察官工资制度改革试点方案》、《法官、检察官和司法辅助人员工资制度改革试点实施办法》、《关于印发</w:t>
      </w:r>
      <w:r>
        <w:rPr>
          <w:rFonts w:ascii="仿宋_GB2312" w:hAnsi="仿宋" w:eastAsia="仿宋_GB2312" w:cs="宋体"/>
          <w:sz w:val="32"/>
          <w:szCs w:val="32"/>
        </w:rPr>
        <w:t>&lt;</w:t>
      </w:r>
      <w:r>
        <w:rPr>
          <w:rFonts w:hint="eastAsia" w:ascii="仿宋_GB2312" w:hAnsi="仿宋" w:eastAsia="仿宋_GB2312" w:cs="宋体"/>
          <w:sz w:val="32"/>
          <w:szCs w:val="32"/>
        </w:rPr>
        <w:t>法官、检察官单独职务序列改革试点方案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w:t>
      </w:r>
      <w:r>
        <w:rPr>
          <w:rFonts w:ascii="仿宋_GB2312" w:hAnsi="仿宋" w:eastAsia="仿宋_GB2312" w:cs="宋体"/>
          <w:sz w:val="32"/>
          <w:szCs w:val="32"/>
        </w:rPr>
        <w:t>(</w:t>
      </w:r>
      <w:r>
        <w:rPr>
          <w:rFonts w:hint="eastAsia" w:ascii="仿宋_GB2312" w:hAnsi="仿宋" w:eastAsia="仿宋_GB2312" w:cs="宋体"/>
          <w:sz w:val="32"/>
          <w:szCs w:val="32"/>
        </w:rPr>
        <w:t>中组发</w:t>
      </w:r>
      <w:r>
        <w:rPr>
          <w:rFonts w:ascii="仿宋_GB2312" w:hAnsi="仿宋" w:eastAsia="仿宋_GB2312" w:cs="宋体"/>
          <w:sz w:val="32"/>
          <w:szCs w:val="32"/>
        </w:rPr>
        <w:t>{2015}19</w:t>
      </w:r>
      <w:r>
        <w:rPr>
          <w:rFonts w:hint="eastAsia" w:ascii="仿宋_GB2312" w:hAnsi="仿宋" w:eastAsia="仿宋_GB2312" w:cs="宋体"/>
          <w:sz w:val="32"/>
          <w:szCs w:val="32"/>
        </w:rPr>
        <w:t>号和《关于印发</w:t>
      </w:r>
      <w:r>
        <w:rPr>
          <w:rFonts w:ascii="仿宋_GB2312" w:hAnsi="仿宋" w:eastAsia="仿宋_GB2312" w:cs="宋体"/>
          <w:sz w:val="32"/>
          <w:szCs w:val="32"/>
        </w:rPr>
        <w:t>&lt;</w:t>
      </w:r>
      <w:r>
        <w:rPr>
          <w:rFonts w:hint="eastAsia" w:ascii="仿宋_GB2312" w:hAnsi="仿宋" w:eastAsia="仿宋_GB2312" w:cs="宋体"/>
          <w:sz w:val="32"/>
          <w:szCs w:val="32"/>
        </w:rPr>
        <w:t>法官助理、检察官助理和书记员职务序列改革试点方案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的通知》（组通字）</w:t>
      </w:r>
      <w:r>
        <w:rPr>
          <w:rFonts w:ascii="仿宋_GB2312" w:hAnsi="仿宋" w:eastAsia="仿宋_GB2312" w:cs="宋体"/>
          <w:sz w:val="32"/>
          <w:szCs w:val="32"/>
        </w:rPr>
        <w:t>{2016}36</w:t>
      </w:r>
      <w:r>
        <w:rPr>
          <w:rFonts w:hint="eastAsia" w:ascii="仿宋_GB2312" w:hAnsi="仿宋" w:eastAsia="仿宋_GB2312" w:cs="宋体"/>
          <w:sz w:val="32"/>
          <w:szCs w:val="32"/>
        </w:rPr>
        <w:t>号等有关规定立项，旨在促进我院检察官队伍专业化、职业化，激励检察干警提高工作能力、改进工作方法，提升服务水平工作积极性。</w:t>
      </w:r>
    </w:p>
    <w:p>
      <w:pPr>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年检察官绩效工资项目，旨在奖励</w:t>
      </w:r>
      <w:r>
        <w:rPr>
          <w:rFonts w:ascii="仿宋_GB2312" w:hAnsi="仿宋" w:eastAsia="仿宋_GB2312" w:cs="宋体"/>
          <w:sz w:val="32"/>
          <w:szCs w:val="32"/>
        </w:rPr>
        <w:t>2019</w:t>
      </w:r>
      <w:r>
        <w:rPr>
          <w:rFonts w:hint="eastAsia" w:ascii="仿宋_GB2312" w:hAnsi="仿宋" w:eastAsia="仿宋_GB2312" w:cs="宋体"/>
          <w:sz w:val="32"/>
          <w:szCs w:val="32"/>
        </w:rPr>
        <w:t>年度在工作中表现优秀，业绩突出的</w:t>
      </w:r>
      <w:r>
        <w:rPr>
          <w:rFonts w:ascii="仿宋_GB2312" w:hAnsi="仿宋" w:eastAsia="仿宋_GB2312" w:cs="宋体"/>
          <w:sz w:val="32"/>
          <w:szCs w:val="32"/>
        </w:rPr>
        <w:t>47</w:t>
      </w:r>
      <w:r>
        <w:rPr>
          <w:rFonts w:hint="eastAsia" w:ascii="仿宋_GB2312" w:hAnsi="仿宋" w:eastAsia="仿宋_GB2312" w:cs="宋体"/>
          <w:sz w:val="32"/>
          <w:szCs w:val="32"/>
        </w:rPr>
        <w:t>名工作人员（除法警及工勤人员）进行绩效奖励，以文件要求标准：每人</w:t>
      </w:r>
      <w:r>
        <w:rPr>
          <w:rFonts w:ascii="仿宋_GB2312" w:eastAsia="仿宋_GB2312"/>
          <w:sz w:val="32"/>
          <w:szCs w:val="32"/>
        </w:rPr>
        <w:t>27446.8</w:t>
      </w:r>
      <w:r>
        <w:rPr>
          <w:rFonts w:hint="eastAsia" w:ascii="仿宋_GB2312" w:hAnsi="仿宋" w:eastAsia="仿宋_GB2312" w:cs="宋体"/>
          <w:sz w:val="32"/>
          <w:szCs w:val="32"/>
        </w:rPr>
        <w:t>元，更好地提升服务水平，提高检察工作人员工作积极性。</w:t>
      </w:r>
      <w:r>
        <w:rPr>
          <w:rFonts w:hint="eastAsia" w:ascii="仿宋_GB2312" w:hAnsi="仿宋" w:eastAsia="仿宋_GB2312" w:cs="宋体"/>
          <w:color w:val="000000"/>
          <w:kern w:val="0"/>
          <w:sz w:val="32"/>
          <w:szCs w:val="32"/>
        </w:rPr>
        <w:t>对我院落实司法为民，提升质量，完善便民服务提供了有力的保障。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《法官、检察官工资制度改革试点方案》</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《法官、检察官和司法辅助人员工资制度改革试点实施办法》</w:t>
      </w:r>
    </w:p>
    <w:p>
      <w:pPr>
        <w:spacing w:line="560" w:lineRule="exact"/>
        <w:ind w:firstLine="640" w:firstLineChars="200"/>
        <w:rPr>
          <w:rFonts w:ascii="仿宋_GB2312" w:hAnsi="仿宋" w:eastAsia="仿宋_GB2312" w:cs="宋体"/>
          <w:sz w:val="32"/>
          <w:szCs w:val="32"/>
        </w:rPr>
      </w:pPr>
      <w:r>
        <w:rPr>
          <w:rFonts w:hint="eastAsia" w:ascii="仿宋_GB2312" w:hAnsi="仿宋_GB2312" w:eastAsia="仿宋_GB2312" w:cs="仿宋_GB2312"/>
          <w:sz w:val="32"/>
          <w:szCs w:val="32"/>
        </w:rPr>
        <w:t></w:t>
      </w:r>
      <w:r>
        <w:rPr>
          <w:rFonts w:hint="eastAsia" w:ascii="仿宋_GB2312" w:hAnsi="仿宋" w:eastAsia="仿宋_GB2312" w:cs="宋体"/>
          <w:sz w:val="32"/>
          <w:szCs w:val="32"/>
        </w:rPr>
        <w:t>《关于印发</w:t>
      </w:r>
      <w:r>
        <w:rPr>
          <w:rFonts w:ascii="仿宋_GB2312" w:hAnsi="仿宋" w:eastAsia="仿宋_GB2312" w:cs="宋体"/>
          <w:sz w:val="32"/>
          <w:szCs w:val="32"/>
        </w:rPr>
        <w:t>&lt;</w:t>
      </w:r>
      <w:r>
        <w:rPr>
          <w:rFonts w:hint="eastAsia" w:ascii="仿宋_GB2312" w:hAnsi="仿宋" w:eastAsia="仿宋_GB2312" w:cs="宋体"/>
          <w:sz w:val="32"/>
          <w:szCs w:val="32"/>
        </w:rPr>
        <w:t>法官、检察官单独职务序列改革试点方案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w:t>
      </w:r>
    </w:p>
    <w:p>
      <w:pPr>
        <w:spacing w:line="560" w:lineRule="exact"/>
        <w:ind w:firstLine="640" w:firstLineChars="200"/>
        <w:rPr>
          <w:rFonts w:ascii="仿宋_GB2312" w:hAnsi="仿宋" w:eastAsia="仿宋_GB2312" w:cs="宋体"/>
          <w:sz w:val="32"/>
          <w:szCs w:val="32"/>
        </w:rPr>
      </w:pPr>
      <w:r>
        <w:rPr>
          <w:rFonts w:hint="eastAsia" w:ascii="仿宋_GB2312" w:hAnsi="仿宋_GB2312" w:eastAsia="仿宋_GB2312" w:cs="仿宋_GB2312"/>
          <w:sz w:val="32"/>
          <w:szCs w:val="32"/>
        </w:rPr>
        <w:t></w:t>
      </w:r>
      <w:r>
        <w:rPr>
          <w:rFonts w:hint="eastAsia" w:ascii="仿宋_GB2312" w:hAnsi="仿宋" w:eastAsia="仿宋_GB2312" w:cs="宋体"/>
          <w:sz w:val="32"/>
          <w:szCs w:val="32"/>
        </w:rPr>
        <w:t>《关于印发</w:t>
      </w:r>
      <w:r>
        <w:rPr>
          <w:rFonts w:ascii="仿宋_GB2312" w:hAnsi="仿宋" w:eastAsia="仿宋_GB2312" w:cs="宋体"/>
          <w:sz w:val="32"/>
          <w:szCs w:val="32"/>
        </w:rPr>
        <w:t>&lt;</w:t>
      </w:r>
      <w:r>
        <w:rPr>
          <w:rFonts w:hint="eastAsia" w:ascii="仿宋_GB2312" w:hAnsi="仿宋" w:eastAsia="仿宋_GB2312" w:cs="宋体"/>
          <w:sz w:val="32"/>
          <w:szCs w:val="32"/>
        </w:rPr>
        <w:t>法官助理、检察官助理和书记员职务序列改革试点方案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的通知》（组通字）</w:t>
      </w:r>
      <w:r>
        <w:rPr>
          <w:rFonts w:ascii="仿宋_GB2312" w:hAnsi="仿宋" w:eastAsia="仿宋_GB2312" w:cs="宋体"/>
          <w:sz w:val="32"/>
          <w:szCs w:val="32"/>
        </w:rPr>
        <w:t>{2016}36</w:t>
      </w:r>
      <w:r>
        <w:rPr>
          <w:rFonts w:hint="eastAsia" w:ascii="仿宋_GB2312" w:hAnsi="仿宋" w:eastAsia="仿宋_GB2312" w:cs="宋体"/>
          <w:sz w:val="32"/>
          <w:szCs w:val="32"/>
        </w:rPr>
        <w:t>号</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项目负责人及职责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项目负责人为副检察长陈昆鸿，主要职责为在项目前期进行可行性研究，指导并监督部门工作安排，制定方案并严格按照该方案指导财务人员进行工作，确保该项目目标实现。</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项目主要内容及实施情况</w:t>
      </w:r>
    </w:p>
    <w:p>
      <w:pPr>
        <w:autoSpaceDE w:val="0"/>
        <w:autoSpaceDN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该项目实施主体为叶城县人民检察院。</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机构设置情况：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叶城县人民检察院共</w:t>
      </w:r>
      <w:r>
        <w:rPr>
          <w:rFonts w:ascii="仿宋_GB2312" w:hAnsi="仿宋" w:eastAsia="仿宋_GB2312" w:cs="宋体"/>
          <w:sz w:val="32"/>
          <w:szCs w:val="32"/>
        </w:rPr>
        <w:t>7</w:t>
      </w:r>
      <w:r>
        <w:rPr>
          <w:rFonts w:hint="eastAsia" w:ascii="仿宋_GB2312" w:hAnsi="仿宋" w:eastAsia="仿宋_GB2312" w:cs="宋体"/>
          <w:sz w:val="32"/>
          <w:szCs w:val="32"/>
        </w:rPr>
        <w:t>部一室：检察一部，检察二部，检察三部，检察四部，检察五部，综合检察业务部，办公室。编制数：在职人员编制</w:t>
      </w:r>
      <w:r>
        <w:rPr>
          <w:rFonts w:ascii="仿宋_GB2312" w:hAnsi="仿宋" w:eastAsia="仿宋_GB2312" w:cs="宋体"/>
          <w:sz w:val="32"/>
          <w:szCs w:val="32"/>
        </w:rPr>
        <w:t>54</w:t>
      </w:r>
      <w:r>
        <w:rPr>
          <w:rFonts w:hint="eastAsia" w:ascii="仿宋_GB2312" w:hAnsi="仿宋" w:eastAsia="仿宋_GB2312" w:cs="宋体"/>
          <w:sz w:val="32"/>
          <w:szCs w:val="32"/>
        </w:rPr>
        <w:t>人，实有</w:t>
      </w:r>
      <w:r>
        <w:rPr>
          <w:rFonts w:ascii="仿宋_GB2312" w:hAnsi="仿宋" w:eastAsia="仿宋_GB2312" w:cs="宋体"/>
          <w:sz w:val="32"/>
          <w:szCs w:val="32"/>
        </w:rPr>
        <w:t>65</w:t>
      </w:r>
      <w:r>
        <w:rPr>
          <w:rFonts w:hint="eastAsia" w:ascii="仿宋_GB2312" w:hAnsi="仿宋" w:eastAsia="仿宋_GB2312" w:cs="宋体"/>
          <w:sz w:val="32"/>
          <w:szCs w:val="32"/>
        </w:rPr>
        <w:t>人，退休</w:t>
      </w:r>
      <w:r>
        <w:rPr>
          <w:rFonts w:ascii="仿宋_GB2312" w:hAnsi="仿宋" w:eastAsia="仿宋_GB2312" w:cs="宋体"/>
          <w:sz w:val="32"/>
          <w:szCs w:val="32"/>
        </w:rPr>
        <w:t>17</w:t>
      </w:r>
      <w:r>
        <w:rPr>
          <w:rFonts w:hint="eastAsia" w:ascii="仿宋_GB2312" w:hAnsi="仿宋" w:eastAsia="仿宋_GB2312" w:cs="宋体"/>
          <w:sz w:val="32"/>
          <w:szCs w:val="32"/>
        </w:rPr>
        <w:t>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主要职能：</w:t>
      </w:r>
    </w:p>
    <w:p>
      <w:pPr>
        <w:spacing w:line="560" w:lineRule="exact"/>
        <w:ind w:firstLine="640" w:firstLineChars="200"/>
        <w:jc w:val="left"/>
        <w:rPr>
          <w:rFonts w:ascii="仿宋_GB2312" w:eastAsia="仿宋_GB2312"/>
          <w:color w:val="000000"/>
          <w:sz w:val="32"/>
          <w:szCs w:val="32"/>
        </w:rPr>
      </w:pPr>
      <w:r>
        <w:rPr>
          <w:rFonts w:hint="eastAsia" w:ascii="仿宋_GB2312" w:hAnsi="宋体" w:eastAsia="仿宋_GB2312"/>
          <w:color w:val="000000"/>
          <w:sz w:val="32"/>
          <w:szCs w:val="32"/>
        </w:rPr>
        <w:t>叶城县人民检察院是国家的法律监督机关，主要任务是依照宪法和法律，履行法律监督职能，保证国家法律的统一和正确实施，自觉接受上级业务主管部门和当地党委的领导。主要职责是：</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、领导全院检察工作，贯彻执行检察工作方针，安排部署各项检察工作任务。</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、对县人民代表大会及其常委会和喀什地区检察分院负责并报告工作，接受县人民代表大会及其常委会的监督。</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、依法向人民代表大会及其常委会提出方案。</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、对于机关等侦查机关侦查的案件，依法审查批准逮捕、决定逮捕、提起公诉。</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5</w:t>
      </w:r>
      <w:r>
        <w:rPr>
          <w:rFonts w:hint="eastAsia" w:ascii="仿宋_GB2312" w:hAnsi="仿宋" w:eastAsia="仿宋_GB2312" w:cs="宋体"/>
          <w:sz w:val="32"/>
          <w:szCs w:val="32"/>
        </w:rPr>
        <w:t>、依法对侦查机关的侦查活动是否合法实行监督。</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6</w:t>
      </w:r>
      <w:r>
        <w:rPr>
          <w:rFonts w:hint="eastAsia" w:ascii="仿宋_GB2312" w:hAnsi="仿宋" w:eastAsia="仿宋_GB2312" w:cs="宋体"/>
          <w:sz w:val="32"/>
          <w:szCs w:val="32"/>
        </w:rPr>
        <w:t>、对于人民法院的刑事判决、裁定是否正确和审判活动是否合法进行监督。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、对于人民法院的民事审判活动实行法律监督。对人民法院已经发生效力的判决、裁定，发现违反法律、法规、规定的依法提请抗诉。</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lang w:val="en-US" w:eastAsia="zh-CN"/>
        </w:rPr>
        <w:t>8</w:t>
      </w:r>
      <w:r>
        <w:rPr>
          <w:rFonts w:hint="eastAsia" w:ascii="仿宋_GB2312" w:hAnsi="仿宋" w:eastAsia="仿宋_GB2312" w:cs="宋体"/>
          <w:sz w:val="32"/>
          <w:szCs w:val="32"/>
        </w:rPr>
        <w:t>、对于人民法院的行政诉讼活动，实行法律监督。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、受理单位和个人的报案、控告、申诉、举报及犯罪嫌疑人自首。</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lang w:val="en-US" w:eastAsia="zh-CN"/>
        </w:rPr>
        <w:t>10</w:t>
      </w:r>
      <w:r>
        <w:rPr>
          <w:rFonts w:hint="eastAsia" w:ascii="仿宋_GB2312" w:hAnsi="仿宋" w:eastAsia="仿宋_GB2312" w:cs="宋体"/>
          <w:sz w:val="32"/>
          <w:szCs w:val="32"/>
        </w:rPr>
        <w:t>、对检察工作中，具体应用法律问题进行研究。向立法机关和上级检察机关提出立法和司法解释建议。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lang w:val="en-US" w:eastAsia="zh-CN"/>
        </w:rPr>
        <w:t>11</w:t>
      </w:r>
      <w:r>
        <w:rPr>
          <w:rFonts w:hint="eastAsia" w:ascii="仿宋_GB2312" w:hAnsi="仿宋" w:eastAsia="仿宋_GB2312" w:cs="宋体"/>
          <w:sz w:val="32"/>
          <w:szCs w:val="32"/>
        </w:rPr>
        <w:t>、负责全院队伍建设、思想工作和党建工作。协同组织部门、人事部门管理和考核干部。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lang w:val="en-US" w:eastAsia="zh-CN"/>
        </w:rPr>
        <w:t>12</w:t>
      </w:r>
      <w:r>
        <w:rPr>
          <w:rFonts w:hint="eastAsia" w:ascii="仿宋_GB2312" w:hAnsi="仿宋" w:eastAsia="仿宋_GB2312" w:cs="宋体"/>
          <w:sz w:val="32"/>
          <w:szCs w:val="32"/>
        </w:rPr>
        <w:t>、组织指导全院检察干部教育培训工作。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lang w:val="en-US" w:eastAsia="zh-CN"/>
        </w:rPr>
        <w:t>3</w:t>
      </w:r>
      <w:bookmarkStart w:id="5" w:name="_GoBack"/>
      <w:bookmarkEnd w:id="5"/>
      <w:r>
        <w:rPr>
          <w:rFonts w:hint="eastAsia" w:ascii="仿宋_GB2312" w:hAnsi="仿宋" w:eastAsia="仿宋_GB2312" w:cs="宋体"/>
          <w:sz w:val="32"/>
          <w:szCs w:val="32"/>
        </w:rPr>
        <w:t>、负责其他应当由检察院承办的事项。</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项目主要内容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年检察官绩效工资项目，旨在奖励</w:t>
      </w:r>
      <w:r>
        <w:rPr>
          <w:rFonts w:ascii="仿宋_GB2312" w:hAnsi="仿宋" w:eastAsia="仿宋_GB2312" w:cs="宋体"/>
          <w:sz w:val="32"/>
          <w:szCs w:val="32"/>
        </w:rPr>
        <w:t>2019</w:t>
      </w:r>
      <w:r>
        <w:rPr>
          <w:rFonts w:hint="eastAsia" w:ascii="仿宋_GB2312" w:hAnsi="仿宋" w:eastAsia="仿宋_GB2312" w:cs="宋体"/>
          <w:sz w:val="32"/>
          <w:szCs w:val="32"/>
        </w:rPr>
        <w:t>年度在工作中表现优秀，业绩突出的</w:t>
      </w:r>
      <w:r>
        <w:rPr>
          <w:rFonts w:ascii="仿宋_GB2312" w:hAnsi="仿宋" w:eastAsia="仿宋_GB2312" w:cs="宋体"/>
          <w:sz w:val="32"/>
          <w:szCs w:val="32"/>
        </w:rPr>
        <w:t>47</w:t>
      </w:r>
      <w:r>
        <w:rPr>
          <w:rFonts w:hint="eastAsia" w:ascii="仿宋_GB2312" w:hAnsi="仿宋" w:eastAsia="仿宋_GB2312" w:cs="宋体"/>
          <w:sz w:val="32"/>
          <w:szCs w:val="32"/>
        </w:rPr>
        <w:t>名工作人员（除法警及工勤人员）进行绩效奖励，以文件要求标准：每人每年</w:t>
      </w:r>
      <w:r>
        <w:rPr>
          <w:rFonts w:ascii="仿宋_GB2312" w:eastAsia="仿宋_GB2312"/>
          <w:sz w:val="32"/>
          <w:szCs w:val="32"/>
        </w:rPr>
        <w:t>27446.8</w:t>
      </w:r>
      <w:r>
        <w:rPr>
          <w:rFonts w:hint="eastAsia" w:ascii="仿宋_GB2312" w:hAnsi="仿宋" w:eastAsia="仿宋_GB2312" w:cs="宋体"/>
          <w:sz w:val="32"/>
          <w:szCs w:val="32"/>
        </w:rPr>
        <w:t>元，更好地提升服务水平，提高工作人员工作积极性。</w:t>
      </w:r>
    </w:p>
    <w:p>
      <w:pPr>
        <w:pStyle w:val="28"/>
        <w:spacing w:before="0" w:after="0" w:line="560" w:lineRule="exact"/>
        <w:ind w:left="0" w:firstLine="643" w:firstLineChars="200"/>
      </w:pPr>
      <w:bookmarkStart w:id="1" w:name="_Toc26401550"/>
      <w:r>
        <w:rPr>
          <w:rFonts w:hint="eastAsia"/>
        </w:rPr>
        <w:t>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bookmarkStart w:id="2" w:name="_Toc26401551"/>
      <w:r>
        <w:rPr>
          <w:rFonts w:ascii="仿宋_GB2312" w:hAnsi="仿宋" w:eastAsia="仿宋_GB2312" w:cs="宋体"/>
          <w:sz w:val="32"/>
          <w:szCs w:val="32"/>
        </w:rPr>
        <w:t>1.</w:t>
      </w:r>
      <w:r>
        <w:rPr>
          <w:rFonts w:hint="eastAsia" w:ascii="仿宋_GB2312" w:hAnsi="仿宋" w:eastAsia="仿宋_GB2312" w:cs="宋体"/>
          <w:sz w:val="32"/>
          <w:szCs w:val="32"/>
        </w:rPr>
        <w:t>预算金额</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该项目年初预算批复金额为</w:t>
      </w:r>
      <w:r>
        <w:rPr>
          <w:rFonts w:ascii="仿宋_GB2312" w:hAnsi="仿宋" w:eastAsia="仿宋_GB2312" w:cs="宋体"/>
          <w:sz w:val="32"/>
          <w:szCs w:val="32"/>
        </w:rPr>
        <w:t>129</w:t>
      </w:r>
      <w:r>
        <w:rPr>
          <w:rFonts w:hint="eastAsia" w:ascii="仿宋_GB2312" w:hAnsi="仿宋" w:eastAsia="仿宋_GB2312" w:cs="宋体"/>
          <w:sz w:val="32"/>
          <w:szCs w:val="32"/>
        </w:rPr>
        <w:t>万元。</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预算来源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该项目预算来源为一般公共预算资金，</w:t>
      </w:r>
      <w:r>
        <w:rPr>
          <w:rFonts w:ascii="仿宋_GB2312" w:hAnsi="仿宋" w:eastAsia="仿宋_GB2312" w:cs="宋体"/>
          <w:sz w:val="32"/>
          <w:szCs w:val="32"/>
        </w:rPr>
        <w:t>2019</w:t>
      </w:r>
      <w:r>
        <w:rPr>
          <w:rFonts w:hint="eastAsia" w:ascii="仿宋_GB2312" w:hAnsi="仿宋" w:eastAsia="仿宋_GB2312" w:cs="宋体"/>
          <w:sz w:val="32"/>
          <w:szCs w:val="32"/>
        </w:rPr>
        <w:t>年实际到位资金</w:t>
      </w:r>
      <w:r>
        <w:rPr>
          <w:rFonts w:ascii="仿宋_GB2312" w:hAnsi="仿宋" w:eastAsia="仿宋_GB2312" w:cs="宋体"/>
          <w:sz w:val="32"/>
          <w:szCs w:val="32"/>
        </w:rPr>
        <w:t>129</w:t>
      </w:r>
      <w:r>
        <w:rPr>
          <w:rFonts w:hint="eastAsia" w:ascii="仿宋_GB2312" w:hAnsi="仿宋" w:eastAsia="仿宋_GB2312" w:cs="宋体"/>
          <w:sz w:val="32"/>
          <w:szCs w:val="32"/>
        </w:rPr>
        <w:t>万元，资金到位率</w:t>
      </w:r>
      <w:r>
        <w:rPr>
          <w:rFonts w:ascii="仿宋_GB2312" w:hAnsi="仿宋" w:eastAsia="仿宋_GB2312" w:cs="宋体"/>
          <w:sz w:val="32"/>
          <w:szCs w:val="32"/>
        </w:rPr>
        <w:t xml:space="preserve"> 100.00%</w:t>
      </w:r>
      <w:r>
        <w:rPr>
          <w:rFonts w:hint="eastAsia"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项目实施起止时间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本项目计划实施起止时间</w:t>
      </w:r>
      <w:r>
        <w:rPr>
          <w:rFonts w:ascii="仿宋_GB2312" w:hAnsi="仿宋" w:eastAsia="仿宋_GB2312" w:cs="宋体"/>
          <w:sz w:val="32"/>
          <w:szCs w:val="32"/>
        </w:rPr>
        <w:t xml:space="preserve"> 2019 </w:t>
      </w:r>
      <w:r>
        <w:rPr>
          <w:rFonts w:hint="eastAsia" w:ascii="仿宋_GB2312" w:hAnsi="仿宋" w:eastAsia="仿宋_GB2312" w:cs="宋体"/>
          <w:sz w:val="32"/>
          <w:szCs w:val="32"/>
        </w:rPr>
        <w:t>年</w:t>
      </w:r>
      <w:r>
        <w:rPr>
          <w:rFonts w:ascii="仿宋_GB2312" w:hAnsi="仿宋" w:eastAsia="仿宋_GB2312" w:cs="宋体"/>
          <w:sz w:val="32"/>
          <w:szCs w:val="32"/>
        </w:rPr>
        <w:t xml:space="preserve"> 1 </w:t>
      </w:r>
      <w:r>
        <w:rPr>
          <w:rFonts w:hint="eastAsia" w:ascii="仿宋_GB2312" w:hAnsi="仿宋" w:eastAsia="仿宋_GB2312" w:cs="宋体"/>
          <w:sz w:val="32"/>
          <w:szCs w:val="32"/>
        </w:rPr>
        <w:t>月</w:t>
      </w:r>
      <w:r>
        <w:rPr>
          <w:rFonts w:ascii="仿宋_GB2312" w:hAnsi="仿宋" w:eastAsia="仿宋_GB2312" w:cs="宋体"/>
          <w:sz w:val="32"/>
          <w:szCs w:val="32"/>
        </w:rPr>
        <w:t xml:space="preserve">-2019 </w:t>
      </w:r>
      <w:r>
        <w:rPr>
          <w:rFonts w:hint="eastAsia" w:ascii="仿宋_GB2312" w:hAnsi="仿宋" w:eastAsia="仿宋_GB2312" w:cs="宋体"/>
          <w:sz w:val="32"/>
          <w:szCs w:val="32"/>
        </w:rPr>
        <w:t>年</w:t>
      </w:r>
      <w:r>
        <w:rPr>
          <w:rFonts w:ascii="仿宋_GB2312" w:hAnsi="仿宋" w:eastAsia="仿宋_GB2312" w:cs="宋体"/>
          <w:sz w:val="32"/>
          <w:szCs w:val="32"/>
        </w:rPr>
        <w:t xml:space="preserve"> 12 </w:t>
      </w:r>
      <w:r>
        <w:rPr>
          <w:rFonts w:hint="eastAsia" w:ascii="仿宋_GB2312" w:hAnsi="仿宋" w:eastAsia="仿宋_GB2312" w:cs="宋体"/>
          <w:sz w:val="32"/>
          <w:szCs w:val="32"/>
        </w:rPr>
        <w:t>月。</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实际实施起止时间为</w:t>
      </w:r>
      <w:r>
        <w:rPr>
          <w:rFonts w:ascii="仿宋_GB2312" w:hAnsi="仿宋" w:eastAsia="仿宋_GB2312" w:cs="宋体"/>
          <w:sz w:val="32"/>
          <w:szCs w:val="32"/>
        </w:rPr>
        <w:t xml:space="preserve"> 2019</w:t>
      </w:r>
      <w:r>
        <w:rPr>
          <w:rFonts w:hint="eastAsia" w:ascii="仿宋_GB2312" w:hAnsi="仿宋" w:eastAsia="仿宋_GB2312" w:cs="宋体"/>
          <w:sz w:val="32"/>
          <w:szCs w:val="32"/>
        </w:rPr>
        <w:t>年</w:t>
      </w:r>
      <w:r>
        <w:rPr>
          <w:rFonts w:ascii="仿宋_GB2312" w:hAnsi="仿宋" w:eastAsia="仿宋_GB2312" w:cs="宋体"/>
          <w:sz w:val="32"/>
          <w:szCs w:val="32"/>
        </w:rPr>
        <w:t xml:space="preserve"> 1 </w:t>
      </w:r>
      <w:r>
        <w:rPr>
          <w:rFonts w:hint="eastAsia" w:ascii="仿宋_GB2312" w:hAnsi="仿宋" w:eastAsia="仿宋_GB2312" w:cs="宋体"/>
          <w:sz w:val="32"/>
          <w:szCs w:val="32"/>
        </w:rPr>
        <w:t>月</w:t>
      </w:r>
      <w:r>
        <w:rPr>
          <w:rFonts w:ascii="仿宋_GB2312" w:hAnsi="仿宋" w:eastAsia="仿宋_GB2312" w:cs="宋体"/>
          <w:sz w:val="32"/>
          <w:szCs w:val="32"/>
        </w:rPr>
        <w:t xml:space="preserve">—2019 </w:t>
      </w:r>
      <w:r>
        <w:rPr>
          <w:rFonts w:hint="eastAsia" w:ascii="仿宋_GB2312" w:hAnsi="仿宋" w:eastAsia="仿宋_GB2312" w:cs="宋体"/>
          <w:sz w:val="32"/>
          <w:szCs w:val="32"/>
        </w:rPr>
        <w:t>年</w:t>
      </w:r>
      <w:r>
        <w:rPr>
          <w:rFonts w:ascii="仿宋_GB2312" w:hAnsi="仿宋" w:eastAsia="仿宋_GB2312" w:cs="宋体"/>
          <w:sz w:val="32"/>
          <w:szCs w:val="32"/>
        </w:rPr>
        <w:t xml:space="preserve">12 </w:t>
      </w:r>
      <w:r>
        <w:rPr>
          <w:rFonts w:hint="eastAsia" w:ascii="仿宋_GB2312" w:hAnsi="仿宋" w:eastAsia="仿宋_GB2312" w:cs="宋体"/>
          <w:sz w:val="32"/>
          <w:szCs w:val="32"/>
        </w:rPr>
        <w:t>月。</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预算执行情况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该项目采取按年度打卡拨付形式执行，项目实际支出</w:t>
      </w:r>
      <w:r>
        <w:rPr>
          <w:rFonts w:ascii="仿宋_GB2312" w:hAnsi="仿宋" w:eastAsia="仿宋_GB2312" w:cs="宋体"/>
          <w:sz w:val="32"/>
          <w:szCs w:val="32"/>
        </w:rPr>
        <w:t xml:space="preserve"> 129 </w:t>
      </w:r>
      <w:r>
        <w:rPr>
          <w:rFonts w:hint="eastAsia" w:ascii="仿宋_GB2312" w:hAnsi="仿宋" w:eastAsia="仿宋_GB2312" w:cs="宋体"/>
          <w:sz w:val="32"/>
          <w:szCs w:val="32"/>
        </w:rPr>
        <w:t>万元，预算执行率为</w:t>
      </w:r>
      <w:r>
        <w:rPr>
          <w:rFonts w:ascii="仿宋_GB2312" w:hAnsi="仿宋" w:eastAsia="仿宋_GB2312" w:cs="宋体"/>
          <w:sz w:val="32"/>
          <w:szCs w:val="32"/>
        </w:rPr>
        <w:t>100%</w:t>
      </w:r>
      <w:r>
        <w:rPr>
          <w:rFonts w:hint="eastAsia" w:ascii="仿宋_GB2312" w:hAnsi="仿宋" w:eastAsia="仿宋_GB2312" w:cs="宋体"/>
          <w:sz w:val="32"/>
          <w:szCs w:val="32"/>
        </w:rPr>
        <w:t>，主要用于奖励</w:t>
      </w:r>
      <w:r>
        <w:rPr>
          <w:rFonts w:ascii="仿宋_GB2312" w:hAnsi="仿宋" w:eastAsia="仿宋_GB2312" w:cs="宋体"/>
          <w:sz w:val="32"/>
          <w:szCs w:val="32"/>
        </w:rPr>
        <w:t>2019</w:t>
      </w:r>
      <w:r>
        <w:rPr>
          <w:rFonts w:hint="eastAsia" w:ascii="仿宋_GB2312" w:hAnsi="仿宋" w:eastAsia="仿宋_GB2312" w:cs="宋体"/>
          <w:sz w:val="32"/>
          <w:szCs w:val="32"/>
        </w:rPr>
        <w:t>年度在工作中表现优秀，业绩突出的</w:t>
      </w:r>
      <w:r>
        <w:rPr>
          <w:rFonts w:ascii="仿宋_GB2312" w:hAnsi="仿宋" w:eastAsia="仿宋_GB2312" w:cs="宋体"/>
          <w:sz w:val="32"/>
          <w:szCs w:val="32"/>
        </w:rPr>
        <w:t>47</w:t>
      </w:r>
      <w:r>
        <w:rPr>
          <w:rFonts w:hint="eastAsia" w:ascii="仿宋_GB2312" w:hAnsi="仿宋" w:eastAsia="仿宋_GB2312" w:cs="宋体"/>
          <w:sz w:val="32"/>
          <w:szCs w:val="32"/>
        </w:rPr>
        <w:t>名工作人员（除法警及工勤人员）进行绩效奖励。</w:t>
      </w:r>
    </w:p>
    <w:p>
      <w:pPr>
        <w:numPr>
          <w:ilvl w:val="0"/>
          <w:numId w:val="4"/>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资金的使用制度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院项目前期做好可行性研究报告，更加细化实施方案，严格执行资金管理办法和财政资金管理制度《叶城县人民检察院检察官、检察辅助人员、行政人员绩效考核及奖金分配办法》《叶城县人民检察院专项资金管理制度》，严格按照项目实施方案稳步推进工作，保证项目高质量、高标准完成。</w:t>
      </w:r>
    </w:p>
    <w:p>
      <w:pPr>
        <w:spacing w:line="560" w:lineRule="exact"/>
        <w:ind w:firstLine="643" w:firstLineChars="200"/>
        <w:rPr>
          <w:rFonts w:ascii="仿宋_GB2312" w:hAnsi="等线 Light" w:eastAsia="仿宋_GB2312"/>
          <w:b/>
          <w:bCs/>
          <w:sz w:val="32"/>
          <w:szCs w:val="32"/>
        </w:rPr>
      </w:pPr>
      <w:r>
        <w:rPr>
          <w:rFonts w:hint="eastAsia" w:ascii="仿宋_GB2312" w:hAnsi="等线 Light" w:eastAsia="仿宋_GB2312"/>
          <w:b/>
          <w:bCs/>
          <w:sz w:val="32"/>
          <w:szCs w:val="32"/>
        </w:rPr>
        <w:t>（三）绩效目标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本项目根据《法官、检察官工资制度改革试点方案》、《法官、检察官和司法辅助人员工资制度改革试点实施办法》、《关于印发</w:t>
      </w:r>
      <w:r>
        <w:rPr>
          <w:rFonts w:ascii="仿宋_GB2312" w:hAnsi="仿宋" w:eastAsia="仿宋_GB2312" w:cs="宋体"/>
          <w:sz w:val="32"/>
          <w:szCs w:val="32"/>
        </w:rPr>
        <w:t>&lt;</w:t>
      </w:r>
      <w:r>
        <w:rPr>
          <w:rFonts w:hint="eastAsia" w:ascii="仿宋_GB2312" w:hAnsi="仿宋" w:eastAsia="仿宋_GB2312" w:cs="宋体"/>
          <w:sz w:val="32"/>
          <w:szCs w:val="32"/>
        </w:rPr>
        <w:t>法官、检察官单独职务序列改革试点方案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w:t>
      </w:r>
      <w:r>
        <w:rPr>
          <w:rFonts w:ascii="仿宋_GB2312" w:hAnsi="仿宋" w:eastAsia="仿宋_GB2312" w:cs="宋体"/>
          <w:sz w:val="32"/>
          <w:szCs w:val="32"/>
        </w:rPr>
        <w:t>(</w:t>
      </w:r>
      <w:r>
        <w:rPr>
          <w:rFonts w:hint="eastAsia" w:ascii="仿宋_GB2312" w:hAnsi="仿宋" w:eastAsia="仿宋_GB2312" w:cs="宋体"/>
          <w:sz w:val="32"/>
          <w:szCs w:val="32"/>
        </w:rPr>
        <w:t>中组发</w:t>
      </w:r>
      <w:r>
        <w:rPr>
          <w:rFonts w:ascii="仿宋_GB2312" w:hAnsi="仿宋" w:eastAsia="仿宋_GB2312" w:cs="宋体"/>
          <w:sz w:val="32"/>
          <w:szCs w:val="32"/>
        </w:rPr>
        <w:t>{2015}19</w:t>
      </w:r>
      <w:r>
        <w:rPr>
          <w:rFonts w:hint="eastAsia" w:ascii="仿宋_GB2312" w:hAnsi="仿宋" w:eastAsia="仿宋_GB2312" w:cs="宋体"/>
          <w:sz w:val="32"/>
          <w:szCs w:val="32"/>
        </w:rPr>
        <w:t>号和《关于印发</w:t>
      </w:r>
      <w:r>
        <w:rPr>
          <w:rFonts w:ascii="仿宋_GB2312" w:hAnsi="仿宋" w:eastAsia="仿宋_GB2312" w:cs="宋体"/>
          <w:sz w:val="32"/>
          <w:szCs w:val="32"/>
        </w:rPr>
        <w:t>&lt;</w:t>
      </w:r>
      <w:r>
        <w:rPr>
          <w:rFonts w:hint="eastAsia" w:ascii="仿宋_GB2312" w:hAnsi="仿宋" w:eastAsia="仿宋_GB2312" w:cs="宋体"/>
          <w:sz w:val="32"/>
          <w:szCs w:val="32"/>
        </w:rPr>
        <w:t>法官助理、检察官助理和书记员职务序列改革试点方案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的通知》（组通字）</w:t>
      </w:r>
      <w:r>
        <w:rPr>
          <w:rFonts w:ascii="仿宋_GB2312" w:hAnsi="仿宋" w:eastAsia="仿宋_GB2312" w:cs="宋体"/>
          <w:sz w:val="32"/>
          <w:szCs w:val="32"/>
        </w:rPr>
        <w:t>{2016}36</w:t>
      </w:r>
      <w:r>
        <w:rPr>
          <w:rFonts w:hint="eastAsia" w:ascii="仿宋_GB2312" w:hAnsi="仿宋" w:eastAsia="仿宋_GB2312" w:cs="宋体"/>
          <w:sz w:val="32"/>
          <w:szCs w:val="32"/>
        </w:rPr>
        <w:t>号等有关规定立项，旨在促进我院法官队伍专业化、职业化，激励我院干警提高工作能力、改进工作方法，提升服务水平工作积极性。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年检察官绩效工资项目，旨在奖励</w:t>
      </w:r>
      <w:r>
        <w:rPr>
          <w:rFonts w:ascii="仿宋_GB2312" w:hAnsi="仿宋" w:eastAsia="仿宋_GB2312" w:cs="宋体"/>
          <w:sz w:val="32"/>
          <w:szCs w:val="32"/>
        </w:rPr>
        <w:t>2019</w:t>
      </w:r>
      <w:r>
        <w:rPr>
          <w:rFonts w:hint="eastAsia" w:ascii="仿宋_GB2312" w:hAnsi="仿宋" w:eastAsia="仿宋_GB2312" w:cs="宋体"/>
          <w:sz w:val="32"/>
          <w:szCs w:val="32"/>
        </w:rPr>
        <w:t>年度在工作中表现优秀，业绩突出的</w:t>
      </w:r>
      <w:r>
        <w:rPr>
          <w:rFonts w:ascii="仿宋_GB2312" w:hAnsi="仿宋" w:eastAsia="仿宋_GB2312" w:cs="宋体"/>
          <w:sz w:val="32"/>
          <w:szCs w:val="32"/>
        </w:rPr>
        <w:t>47</w:t>
      </w:r>
      <w:r>
        <w:rPr>
          <w:rFonts w:hint="eastAsia" w:ascii="仿宋_GB2312" w:hAnsi="仿宋" w:eastAsia="仿宋_GB2312" w:cs="宋体"/>
          <w:sz w:val="32"/>
          <w:szCs w:val="32"/>
        </w:rPr>
        <w:t>名工作人员（除法警及工勤人员）进行绩效奖励，以文件要求标准：每人</w:t>
      </w:r>
      <w:r>
        <w:rPr>
          <w:rFonts w:ascii="仿宋_GB2312" w:eastAsia="仿宋_GB2312"/>
          <w:sz w:val="32"/>
          <w:szCs w:val="32"/>
        </w:rPr>
        <w:t>27446.8</w:t>
      </w:r>
      <w:r>
        <w:rPr>
          <w:rFonts w:hint="eastAsia" w:ascii="仿宋_GB2312" w:hAnsi="仿宋" w:eastAsia="仿宋_GB2312" w:cs="宋体"/>
          <w:sz w:val="32"/>
          <w:szCs w:val="32"/>
        </w:rPr>
        <w:t>元，更好地提升服务水平，提高工作人员工作积极性。更能</w:t>
      </w:r>
      <w:r>
        <w:rPr>
          <w:rFonts w:hint="eastAsia" w:ascii="仿宋_GB2312" w:hAnsi="仿宋" w:eastAsia="仿宋_GB2312" w:cs="宋体"/>
          <w:color w:val="000000"/>
          <w:kern w:val="0"/>
          <w:sz w:val="32"/>
          <w:szCs w:val="32"/>
        </w:rPr>
        <w:t>有效补充了我院的财务缺口，对我院落实司法为民，提升质量，完善便民服务提供了有力的保障。</w:t>
      </w:r>
    </w:p>
    <w:p>
      <w:pPr>
        <w:pStyle w:val="27"/>
        <w:numPr>
          <w:ilvl w:val="0"/>
          <w:numId w:val="2"/>
        </w:numPr>
        <w:spacing w:before="0" w:after="0" w:line="560" w:lineRule="exact"/>
        <w:ind w:left="0" w:firstLine="31680"/>
      </w:pPr>
      <w:bookmarkStart w:id="3" w:name="_Toc26401552"/>
      <w:r>
        <w:rPr>
          <w:rFonts w:hint="eastAsia"/>
        </w:rPr>
        <w:t>评价工作简述</w:t>
      </w:r>
      <w:bookmarkEnd w:id="3"/>
    </w:p>
    <w:p>
      <w:pPr>
        <w:pStyle w:val="28"/>
        <w:numPr>
          <w:ilvl w:val="0"/>
          <w:numId w:val="5"/>
        </w:numPr>
        <w:spacing w:before="0" w:after="0" w:line="560" w:lineRule="exact"/>
        <w:ind w:left="0" w:firstLine="643" w:firstLineChars="200"/>
      </w:pPr>
      <w:bookmarkStart w:id="4" w:name="_Toc26401553"/>
      <w:r>
        <w:rPr>
          <w:rFonts w:hint="eastAsia"/>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本次绩效评价遵循财政部《叶城县人民检察院检察官、检察辅助人员、行政人员绩效考核及奖金分配办法》等相关政策文件与规定，本项目为财政支出绩效评价</w:t>
      </w:r>
      <w:r>
        <w:rPr>
          <w:rFonts w:ascii="仿宋_GB2312" w:hAnsi="仿宋" w:eastAsia="仿宋_GB2312" w:cs="宋体"/>
          <w:sz w:val="32"/>
          <w:szCs w:val="32"/>
        </w:rPr>
        <w:t>,</w:t>
      </w:r>
      <w:r>
        <w:rPr>
          <w:rFonts w:hint="eastAsia" w:ascii="仿宋_GB2312" w:hAnsi="仿宋" w:eastAsia="仿宋_GB2312" w:cs="宋体"/>
          <w:sz w:val="32"/>
          <w:szCs w:val="32"/>
        </w:rPr>
        <w:t>是通过对该项目决策、项目管理和项目绩效作出评定</w:t>
      </w:r>
      <w:r>
        <w:rPr>
          <w:rFonts w:ascii="仿宋_GB2312" w:hAnsi="仿宋" w:eastAsia="仿宋_GB2312" w:cs="宋体"/>
          <w:sz w:val="32"/>
          <w:szCs w:val="32"/>
        </w:rPr>
        <w:t>,</w:t>
      </w:r>
      <w:r>
        <w:rPr>
          <w:rFonts w:hint="eastAsia" w:ascii="仿宋_GB2312" w:hAnsi="仿宋" w:eastAsia="仿宋_GB2312" w:cs="宋体"/>
          <w:sz w:val="32"/>
          <w:szCs w:val="32"/>
        </w:rPr>
        <w:t>全面了解财政预算资金支出安排情况、资金实际使用状况和项目的绩效</w:t>
      </w:r>
      <w:r>
        <w:rPr>
          <w:rFonts w:ascii="仿宋_GB2312" w:hAnsi="仿宋" w:eastAsia="仿宋_GB2312" w:cs="宋体"/>
          <w:sz w:val="32"/>
          <w:szCs w:val="32"/>
        </w:rPr>
        <w:t>,</w:t>
      </w:r>
      <w:r>
        <w:rPr>
          <w:rFonts w:hint="eastAsia" w:ascii="仿宋_GB2312" w:hAnsi="仿宋" w:eastAsia="仿宋_GB2312" w:cs="宋体"/>
          <w:sz w:val="32"/>
          <w:szCs w:val="32"/>
        </w:rPr>
        <w:t>帮助健全和完善科学的、符合实际情况的项目绩效目标</w:t>
      </w:r>
      <w:r>
        <w:rPr>
          <w:rFonts w:ascii="仿宋_GB2312" w:hAnsi="仿宋" w:eastAsia="仿宋_GB2312" w:cs="宋体"/>
          <w:sz w:val="32"/>
          <w:szCs w:val="32"/>
        </w:rPr>
        <w:t>,</w:t>
      </w:r>
      <w:r>
        <w:rPr>
          <w:rFonts w:hint="eastAsia" w:ascii="仿宋_GB2312" w:hAnsi="仿宋" w:eastAsia="仿宋_GB2312" w:cs="宋体"/>
          <w:sz w:val="32"/>
          <w:szCs w:val="32"/>
        </w:rPr>
        <w:t>肯定取得的成绩</w:t>
      </w:r>
      <w:r>
        <w:rPr>
          <w:rFonts w:ascii="仿宋_GB2312" w:hAnsi="仿宋" w:eastAsia="仿宋_GB2312" w:cs="宋体"/>
          <w:sz w:val="32"/>
          <w:szCs w:val="32"/>
        </w:rPr>
        <w:t>,</w:t>
      </w:r>
      <w:r>
        <w:rPr>
          <w:rFonts w:hint="eastAsia" w:ascii="仿宋_GB2312" w:hAnsi="仿宋" w:eastAsia="仿宋_GB2312" w:cs="宋体"/>
          <w:sz w:val="32"/>
          <w:szCs w:val="32"/>
        </w:rPr>
        <w:t>提出存在的问题</w:t>
      </w:r>
      <w:r>
        <w:rPr>
          <w:rFonts w:ascii="仿宋_GB2312" w:hAnsi="仿宋" w:eastAsia="仿宋_GB2312" w:cs="宋体"/>
          <w:sz w:val="32"/>
          <w:szCs w:val="32"/>
        </w:rPr>
        <w:t>,</w:t>
      </w:r>
      <w:r>
        <w:rPr>
          <w:rFonts w:hint="eastAsia" w:ascii="仿宋_GB2312" w:hAnsi="仿宋" w:eastAsia="仿宋_GB2312" w:cs="宋体"/>
          <w:sz w:val="32"/>
          <w:szCs w:val="32"/>
        </w:rPr>
        <w:t>给出相应的建议</w:t>
      </w:r>
      <w:r>
        <w:rPr>
          <w:rFonts w:ascii="仿宋_GB2312" w:hAnsi="仿宋" w:eastAsia="仿宋_GB2312" w:cs="宋体"/>
          <w:sz w:val="32"/>
          <w:szCs w:val="32"/>
        </w:rPr>
        <w:t>,</w:t>
      </w:r>
      <w:r>
        <w:rPr>
          <w:rFonts w:hint="eastAsia" w:ascii="仿宋_GB2312" w:hAnsi="仿宋" w:eastAsia="仿宋_GB2312" w:cs="宋体"/>
          <w:sz w:val="32"/>
          <w:szCs w:val="32"/>
        </w:rPr>
        <w:t>以而保证项目的持续开展</w:t>
      </w:r>
      <w:r>
        <w:rPr>
          <w:rFonts w:ascii="仿宋_GB2312" w:hAnsi="仿宋" w:eastAsia="仿宋_GB2312" w:cs="宋体"/>
          <w:sz w:val="32"/>
          <w:szCs w:val="32"/>
        </w:rPr>
        <w:t>,</w:t>
      </w:r>
      <w:r>
        <w:rPr>
          <w:rFonts w:hint="eastAsia" w:ascii="仿宋_GB2312" w:hAnsi="仿宋" w:eastAsia="仿宋_GB2312" w:cs="宋体"/>
          <w:sz w:val="32"/>
          <w:szCs w:val="32"/>
        </w:rPr>
        <w:t>推进财政绩效预算工作的顺利实施。</w:t>
      </w:r>
    </w:p>
    <w:p>
      <w:pPr>
        <w:pStyle w:val="28"/>
        <w:numPr>
          <w:ilvl w:val="0"/>
          <w:numId w:val="5"/>
        </w:numPr>
        <w:spacing w:before="0" w:after="0" w:line="560" w:lineRule="exact"/>
        <w:ind w:left="0" w:firstLine="643" w:firstLineChars="200"/>
      </w:pPr>
      <w:r>
        <w:rPr>
          <w:rFonts w:hint="eastAsia"/>
        </w:rPr>
        <w:t>本次绩效评价的对象及范围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根据新财行（</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376</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9</w:t>
      </w:r>
      <w:r>
        <w:rPr>
          <w:rFonts w:hint="eastAsia" w:ascii="仿宋_GB2312" w:hAnsi="仿宋" w:eastAsia="仿宋_GB2312" w:cs="宋体"/>
          <w:sz w:val="32"/>
          <w:szCs w:val="32"/>
        </w:rPr>
        <w:t>号，于</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w:t>
      </w:r>
      <w:r>
        <w:rPr>
          <w:rFonts w:hint="eastAsia" w:ascii="仿宋_GB2312" w:hAnsi="仿宋" w:eastAsia="仿宋_GB2312" w:cs="宋体"/>
          <w:sz w:val="32"/>
          <w:szCs w:val="32"/>
        </w:rPr>
        <w:t>月</w:t>
      </w:r>
      <w:r>
        <w:rPr>
          <w:rFonts w:ascii="仿宋_GB2312" w:hAnsi="仿宋" w:eastAsia="仿宋_GB2312" w:cs="宋体"/>
          <w:sz w:val="32"/>
          <w:szCs w:val="32"/>
        </w:rPr>
        <w:t>31</w:t>
      </w:r>
      <w:r>
        <w:rPr>
          <w:rFonts w:hint="eastAsia" w:ascii="仿宋_GB2312" w:hAnsi="仿宋" w:eastAsia="仿宋_GB2312" w:cs="宋体"/>
          <w:sz w:val="32"/>
          <w:szCs w:val="32"/>
        </w:rPr>
        <w:t>日收到项目资金</w:t>
      </w:r>
      <w:r>
        <w:rPr>
          <w:rFonts w:ascii="仿宋_GB2312" w:hAnsi="仿宋" w:eastAsia="仿宋_GB2312" w:cs="宋体"/>
          <w:sz w:val="32"/>
          <w:szCs w:val="32"/>
        </w:rPr>
        <w:t>129</w:t>
      </w:r>
      <w:r>
        <w:rPr>
          <w:rFonts w:hint="eastAsia" w:ascii="仿宋_GB2312" w:hAnsi="仿宋" w:eastAsia="仿宋_GB2312" w:cs="宋体"/>
          <w:sz w:val="32"/>
          <w:szCs w:val="32"/>
        </w:rPr>
        <w:t>万元，资金到位率为</w:t>
      </w:r>
      <w:r>
        <w:rPr>
          <w:rFonts w:ascii="仿宋_GB2312" w:hAnsi="仿宋" w:eastAsia="仿宋_GB2312" w:cs="宋体"/>
          <w:sz w:val="32"/>
          <w:szCs w:val="32"/>
        </w:rPr>
        <w:t>100%</w:t>
      </w:r>
      <w:r>
        <w:rPr>
          <w:rFonts w:hint="eastAsia" w:ascii="仿宋_GB2312" w:hAnsi="仿宋" w:eastAsia="仿宋_GB2312" w:cs="宋体"/>
          <w:sz w:val="32"/>
          <w:szCs w:val="32"/>
        </w:rPr>
        <w:t>。资金来源为一般公共预算资金。根据叶城县决算审计内容，该项目实际完成投资额</w:t>
      </w:r>
      <w:r>
        <w:rPr>
          <w:rFonts w:ascii="仿宋_GB2312" w:hAnsi="仿宋" w:eastAsia="仿宋_GB2312" w:cs="宋体"/>
          <w:sz w:val="32"/>
          <w:szCs w:val="32"/>
        </w:rPr>
        <w:t>129</w:t>
      </w:r>
      <w:r>
        <w:rPr>
          <w:rFonts w:hint="eastAsia" w:ascii="仿宋_GB2312" w:hAnsi="仿宋" w:eastAsia="仿宋_GB2312" w:cs="宋体"/>
          <w:sz w:val="32"/>
          <w:szCs w:val="32"/>
        </w:rPr>
        <w:t>万元，项目资金共支付</w:t>
      </w:r>
      <w:r>
        <w:rPr>
          <w:rFonts w:ascii="仿宋_GB2312" w:hAnsi="仿宋" w:eastAsia="仿宋_GB2312" w:cs="宋体"/>
          <w:sz w:val="32"/>
          <w:szCs w:val="32"/>
        </w:rPr>
        <w:t>129</w:t>
      </w:r>
      <w:r>
        <w:rPr>
          <w:rFonts w:hint="eastAsia" w:ascii="仿宋_GB2312" w:hAnsi="仿宋" w:eastAsia="仿宋_GB2312" w:cs="宋体"/>
          <w:sz w:val="32"/>
          <w:szCs w:val="32"/>
        </w:rPr>
        <w:t>万元。进一步激励了优秀检察干警的积极性，通过发放该笔奖励资金，有效加强基层人员的荣誉感，使他们觉得劳有所得，更有归属感。</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资金使用范围：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人民检察院根据《叶城县人民检察院检察官、检察辅助人员、行政人员绩效考核及奖金分配办法》《叶城县人民检察院专项资金管理制度》进行支付，实行实施一个项目，支付一笔资金、报账一笔资金，资金跟着项目走，项目跟着需求走。</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项目实施及管理情况：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项目经立项后。由叶城县人民检察院组织实施，制定实施方案，实施过程均按照上级管理制度和实施方案执行。</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本项目严格遵守相关法律法规和业务管理规定，对项目各项资料整理并及时归档。已建立《日常检查监督检查机制》，不定期对项目进行督导检查，对检查过程中发现的问题及时督促整改。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8"/>
        <w:numPr>
          <w:ilvl w:val="0"/>
          <w:numId w:val="5"/>
        </w:numPr>
        <w:spacing w:before="0" w:after="0" w:line="560" w:lineRule="exact"/>
        <w:ind w:left="0" w:firstLine="643" w:firstLineChars="200"/>
      </w:pPr>
      <w:r>
        <w:rPr>
          <w:rFonts w:hint="eastAsia"/>
        </w:rPr>
        <w:t>绩效评价原则</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科学公正。绩效评价应当运用科学合理的方法，按照规范的程序，对项目绩效进行客观、公正的反映。</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公开透明。绩效评价结果应依法依规公开，并自觉接受社会监督。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根据以上原则</w:t>
      </w:r>
      <w:r>
        <w:rPr>
          <w:rFonts w:ascii="仿宋_GB2312" w:hAnsi="仿宋" w:eastAsia="仿宋_GB2312" w:cs="宋体"/>
          <w:sz w:val="32"/>
          <w:szCs w:val="32"/>
        </w:rPr>
        <w:t>,</w:t>
      </w:r>
      <w:r>
        <w:rPr>
          <w:rFonts w:hint="eastAsia" w:ascii="仿宋_GB2312" w:hAnsi="仿宋" w:eastAsia="仿宋_GB2312" w:cs="宋体"/>
          <w:sz w:val="32"/>
          <w:szCs w:val="32"/>
        </w:rPr>
        <w:t>绩效评价应遵循如下要求</w:t>
      </w:r>
      <w:r>
        <w:rPr>
          <w:rFonts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在数据采集时</w:t>
      </w:r>
      <w:r>
        <w:rPr>
          <w:rFonts w:ascii="仿宋_GB2312" w:hAnsi="仿宋" w:eastAsia="仿宋_GB2312" w:cs="宋体"/>
          <w:sz w:val="32"/>
          <w:szCs w:val="32"/>
        </w:rPr>
        <w:t>,</w:t>
      </w:r>
      <w:r>
        <w:rPr>
          <w:rFonts w:hint="eastAsia" w:ascii="仿宋_GB2312" w:hAnsi="仿宋" w:eastAsia="仿宋_GB2312" w:cs="宋体"/>
          <w:sz w:val="32"/>
          <w:szCs w:val="32"/>
        </w:rPr>
        <w:t>采取客观数据</w:t>
      </w:r>
      <w:r>
        <w:rPr>
          <w:rFonts w:ascii="仿宋_GB2312" w:hAnsi="仿宋" w:eastAsia="仿宋_GB2312" w:cs="宋体"/>
          <w:sz w:val="32"/>
          <w:szCs w:val="32"/>
        </w:rPr>
        <w:t>,</w:t>
      </w:r>
      <w:r>
        <w:rPr>
          <w:rFonts w:hint="eastAsia" w:ascii="仿宋_GB2312" w:hAnsi="仿宋" w:eastAsia="仿宋_GB2312" w:cs="宋体"/>
          <w:sz w:val="32"/>
          <w:szCs w:val="32"/>
        </w:rPr>
        <w:t>主管部门审查、社会中介组织复查</w:t>
      </w:r>
      <w:r>
        <w:rPr>
          <w:rFonts w:ascii="仿宋_GB2312" w:hAnsi="仿宋" w:eastAsia="仿宋_GB2312" w:cs="宋体"/>
          <w:sz w:val="32"/>
          <w:szCs w:val="32"/>
        </w:rPr>
        <w:t>,</w:t>
      </w:r>
      <w:r>
        <w:rPr>
          <w:rFonts w:hint="eastAsia" w:ascii="仿宋_GB2312" w:hAnsi="仿宋" w:eastAsia="仿宋_GB2312" w:cs="宋体"/>
          <w:sz w:val="32"/>
          <w:szCs w:val="32"/>
        </w:rPr>
        <w:t>与问卷调查相结合的形式</w:t>
      </w:r>
      <w:r>
        <w:rPr>
          <w:rFonts w:ascii="仿宋_GB2312" w:hAnsi="仿宋" w:eastAsia="仿宋_GB2312" w:cs="宋体"/>
          <w:sz w:val="32"/>
          <w:szCs w:val="32"/>
        </w:rPr>
        <w:t>,</w:t>
      </w:r>
      <w:r>
        <w:rPr>
          <w:rFonts w:hint="eastAsia" w:ascii="仿宋_GB2312" w:hAnsi="仿宋" w:eastAsia="仿宋_GB2312" w:cs="宋体"/>
          <w:sz w:val="32"/>
          <w:szCs w:val="32"/>
        </w:rPr>
        <w:t>以保证各项指标的真实性。</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保证评价结果的真实性、公正性</w:t>
      </w:r>
      <w:r>
        <w:rPr>
          <w:rFonts w:ascii="仿宋_GB2312" w:hAnsi="仿宋" w:eastAsia="仿宋_GB2312" w:cs="宋体"/>
          <w:sz w:val="32"/>
          <w:szCs w:val="32"/>
        </w:rPr>
        <w:t>,</w:t>
      </w:r>
      <w:r>
        <w:rPr>
          <w:rFonts w:hint="eastAsia" w:ascii="仿宋_GB2312" w:hAnsi="仿宋" w:eastAsia="仿宋_GB2312" w:cs="宋体"/>
          <w:sz w:val="32"/>
          <w:szCs w:val="32"/>
        </w:rPr>
        <w:t>提高评价报告的公信力。</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绩教评价报告应当简明扼要</w:t>
      </w:r>
      <w:r>
        <w:rPr>
          <w:rFonts w:ascii="仿宋_GB2312" w:hAnsi="仿宋" w:eastAsia="仿宋_GB2312" w:cs="宋体"/>
          <w:sz w:val="32"/>
          <w:szCs w:val="32"/>
        </w:rPr>
        <w:t>,</w:t>
      </w:r>
      <w:r>
        <w:rPr>
          <w:rFonts w:hint="eastAsia" w:ascii="仿宋_GB2312" w:hAnsi="仿宋" w:eastAsia="仿宋_GB2312" w:cs="宋体"/>
          <w:sz w:val="32"/>
          <w:szCs w:val="32"/>
        </w:rPr>
        <w:t>除了对绩效评价的过程、结果描述外</w:t>
      </w:r>
      <w:r>
        <w:rPr>
          <w:rFonts w:ascii="仿宋_GB2312" w:hAnsi="仿宋" w:eastAsia="仿宋_GB2312" w:cs="宋体"/>
          <w:sz w:val="32"/>
          <w:szCs w:val="32"/>
        </w:rPr>
        <w:t>,</w:t>
      </w:r>
      <w:r>
        <w:rPr>
          <w:rFonts w:hint="eastAsia" w:ascii="仿宋_GB2312" w:hAnsi="仿宋" w:eastAsia="仿宋_GB2312" w:cs="宋体"/>
          <w:sz w:val="32"/>
          <w:szCs w:val="32"/>
        </w:rPr>
        <w:t>还应总结经验</w:t>
      </w:r>
      <w:r>
        <w:rPr>
          <w:rFonts w:ascii="仿宋_GB2312" w:hAnsi="仿宋" w:eastAsia="仿宋_GB2312" w:cs="宋体"/>
          <w:sz w:val="32"/>
          <w:szCs w:val="32"/>
        </w:rPr>
        <w:t>,</w:t>
      </w:r>
      <w:r>
        <w:rPr>
          <w:rFonts w:hint="eastAsia" w:ascii="仿宋_GB2312" w:hAnsi="仿宋" w:eastAsia="仿宋_GB2312" w:cs="宋体"/>
          <w:sz w:val="32"/>
          <w:szCs w:val="32"/>
        </w:rPr>
        <w:t>指出问题</w:t>
      </w:r>
      <w:r>
        <w:rPr>
          <w:rFonts w:ascii="仿宋_GB2312" w:hAnsi="仿宋" w:eastAsia="仿宋_GB2312" w:cs="宋体"/>
          <w:sz w:val="32"/>
          <w:szCs w:val="32"/>
        </w:rPr>
        <w:t>,</w:t>
      </w:r>
      <w:r>
        <w:rPr>
          <w:rFonts w:hint="eastAsia" w:ascii="仿宋_GB2312" w:hAnsi="仿宋" w:eastAsia="仿宋_GB2312" w:cs="宋体"/>
          <w:sz w:val="32"/>
          <w:szCs w:val="32"/>
        </w:rPr>
        <w:t>并就共性问题提出可操作性改进建议。</w:t>
      </w:r>
    </w:p>
    <w:p>
      <w:pPr>
        <w:pStyle w:val="28"/>
        <w:numPr>
          <w:ilvl w:val="0"/>
          <w:numId w:val="5"/>
        </w:numPr>
        <w:spacing w:before="0" w:after="0" w:line="560" w:lineRule="exact"/>
        <w:ind w:left="0" w:firstLine="643" w:firstLineChars="200"/>
      </w:pPr>
      <w:r>
        <w:rPr>
          <w:rFonts w:hint="eastAsia"/>
        </w:rPr>
        <w:t>本项目绩效评价体系</w:t>
      </w:r>
    </w:p>
    <w:p>
      <w:pPr>
        <w:pStyle w:val="28"/>
        <w:numPr>
          <w:ilvl w:val="0"/>
          <w:numId w:val="0"/>
        </w:numPr>
        <w:spacing w:before="0" w:after="0" w:line="560" w:lineRule="exact"/>
        <w:ind w:firstLine="640" w:firstLineChars="200"/>
        <w:rPr>
          <w:b w:val="0"/>
        </w:rPr>
      </w:pPr>
      <w:r>
        <w:rPr>
          <w:rFonts w:hint="eastAsia"/>
          <w:b w:val="0"/>
        </w:rPr>
        <w:t>本项目绩效评价体系为根据财预</w:t>
      </w:r>
      <w:r>
        <w:rPr>
          <w:rFonts w:hint="eastAsia" w:ascii="仿宋" w:hAnsi="仿宋" w:eastAsia="仿宋"/>
          <w:b w:val="0"/>
        </w:rPr>
        <w:t>﹝</w:t>
      </w:r>
      <w:r>
        <w:rPr>
          <w:b w:val="0"/>
        </w:rPr>
        <w:t>2020</w:t>
      </w:r>
      <w:r>
        <w:rPr>
          <w:rFonts w:hint="eastAsia" w:ascii="仿宋" w:hAnsi="仿宋" w:eastAsia="仿宋"/>
          <w:b w:val="0"/>
        </w:rPr>
        <w:t>﹞</w:t>
      </w:r>
      <w:r>
        <w:rPr>
          <w:b w:val="0"/>
        </w:rPr>
        <w:t>10</w:t>
      </w:r>
      <w:r>
        <w:rPr>
          <w:rFonts w:hint="eastAsia"/>
          <w:b w:val="0"/>
        </w:rPr>
        <w:t>号共性指标及个性化指标设置，详见附件</w:t>
      </w:r>
      <w:r>
        <w:rPr>
          <w:b w:val="0"/>
        </w:rPr>
        <w:t>2</w:t>
      </w:r>
      <w:r>
        <w:rPr>
          <w:rFonts w:hint="eastAsia"/>
          <w:b w:val="0"/>
        </w:rPr>
        <w:t>。</w:t>
      </w:r>
    </w:p>
    <w:p>
      <w:pPr>
        <w:pStyle w:val="28"/>
        <w:keepNext w:val="0"/>
        <w:keepLines w:val="0"/>
        <w:numPr>
          <w:ilvl w:val="0"/>
          <w:numId w:val="5"/>
        </w:numPr>
        <w:spacing w:before="0" w:after="0" w:line="560" w:lineRule="exact"/>
        <w:ind w:left="0" w:firstLine="643" w:firstLineChars="200"/>
      </w:pPr>
      <w:r>
        <w:rPr>
          <w:rFonts w:hint="eastAsia"/>
        </w:rPr>
        <w:t>绩效评价方法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）数据采集方法及过程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）资金使用情况检查方法及过程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）实地调研的方法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项目评价组根据项目实施过程及指标评价需求判断，针对项目进行实地调研考察，对受到奖励的工作人员进行问卷调查法，通过设计不同形式的调查问卷</w:t>
      </w:r>
      <w:r>
        <w:rPr>
          <w:rFonts w:ascii="仿宋_GB2312" w:hAnsi="仿宋" w:eastAsia="仿宋_GB2312" w:cs="宋体"/>
          <w:sz w:val="32"/>
          <w:szCs w:val="32"/>
        </w:rPr>
        <w:t>,</w:t>
      </w:r>
      <w:r>
        <w:rPr>
          <w:rFonts w:hint="eastAsia" w:ascii="仿宋_GB2312" w:hAnsi="仿宋" w:eastAsia="仿宋_GB2312" w:cs="宋体"/>
          <w:sz w:val="32"/>
          <w:szCs w:val="32"/>
        </w:rPr>
        <w:t>在受奖励的工作人员内发放</w:t>
      </w:r>
      <w:r>
        <w:rPr>
          <w:rFonts w:ascii="仿宋_GB2312" w:hAnsi="仿宋" w:eastAsia="仿宋_GB2312" w:cs="宋体"/>
          <w:sz w:val="32"/>
          <w:szCs w:val="32"/>
        </w:rPr>
        <w:t>,</w:t>
      </w:r>
      <w:r>
        <w:rPr>
          <w:rFonts w:hint="eastAsia" w:ascii="仿宋_GB2312" w:hAnsi="仿宋" w:eastAsia="仿宋_GB2312" w:cs="宋体"/>
          <w:sz w:val="32"/>
          <w:szCs w:val="32"/>
        </w:rPr>
        <w:t>在限期内收集、分析调查问卷</w:t>
      </w:r>
      <w:r>
        <w:rPr>
          <w:rFonts w:ascii="仿宋_GB2312" w:hAnsi="仿宋" w:eastAsia="仿宋_GB2312" w:cs="宋体"/>
          <w:sz w:val="32"/>
          <w:szCs w:val="32"/>
        </w:rPr>
        <w:t>,</w:t>
      </w:r>
      <w:r>
        <w:rPr>
          <w:rFonts w:hint="eastAsia" w:ascii="仿宋_GB2312" w:hAnsi="仿宋" w:eastAsia="仿宋_GB2312" w:cs="宋体"/>
          <w:sz w:val="32"/>
          <w:szCs w:val="32"/>
        </w:rPr>
        <w:t>进行评价和判断的方法。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4</w:t>
      </w:r>
      <w:r>
        <w:rPr>
          <w:rFonts w:hint="eastAsia" w:ascii="仿宋_GB2312" w:hAnsi="仿宋" w:eastAsia="仿宋_GB2312" w:cs="宋体"/>
          <w:sz w:val="32"/>
          <w:szCs w:val="32"/>
        </w:rPr>
        <w:t>）撰写报告情况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28"/>
        <w:keepNext w:val="0"/>
        <w:keepLines w:val="0"/>
        <w:numPr>
          <w:ilvl w:val="0"/>
          <w:numId w:val="5"/>
        </w:numPr>
        <w:spacing w:before="0" w:after="0" w:line="560" w:lineRule="exact"/>
        <w:ind w:left="0" w:firstLine="643" w:firstLineChars="200"/>
      </w:pPr>
      <w:r>
        <w:rPr>
          <w:rFonts w:hint="eastAsia"/>
        </w:rPr>
        <w:t>评价标准</w:t>
      </w:r>
    </w:p>
    <w:p>
      <w:pPr>
        <w:spacing w:line="560" w:lineRule="exact"/>
        <w:ind w:firstLine="420" w:firstLineChars="200"/>
        <w:rPr>
          <w:rFonts w:ascii="仿宋_GB2312" w:hAnsi="仿宋" w:eastAsia="仿宋_GB2312" w:cs="宋体"/>
          <w:sz w:val="32"/>
          <w:szCs w:val="32"/>
        </w:rPr>
      </w:pPr>
      <w:r>
        <w:t xml:space="preserve"> </w:t>
      </w:r>
      <w:r>
        <w:rPr>
          <w:rFonts w:hint="eastAsia" w:ascii="仿宋_GB2312" w:hAnsi="仿宋" w:eastAsia="仿宋_GB2312" w:cs="宋体"/>
          <w:sz w:val="32"/>
          <w:szCs w:val="32"/>
        </w:rPr>
        <w:t>计划标准</w:t>
      </w:r>
      <w:r>
        <w:rPr>
          <w:rFonts w:ascii="仿宋_GB2312" w:hAnsi="仿宋" w:eastAsia="仿宋_GB2312" w:cs="宋体"/>
          <w:sz w:val="32"/>
          <w:szCs w:val="32"/>
        </w:rPr>
        <w:t>:</w:t>
      </w:r>
      <w:r>
        <w:rPr>
          <w:rFonts w:hint="eastAsia" w:ascii="仿宋_GB2312" w:hAnsi="仿宋" w:eastAsia="仿宋_GB2312" w:cs="宋体"/>
          <w:sz w:val="32"/>
          <w:szCs w:val="32"/>
        </w:rPr>
        <w:t>检察官绩效工资项目计划标准为年度预期目标实施绩效工资人员除法警及工勤人员</w:t>
      </w:r>
      <w:r>
        <w:rPr>
          <w:rFonts w:ascii="仿宋_GB2312" w:hAnsi="仿宋" w:eastAsia="仿宋_GB2312" w:cs="宋体"/>
          <w:sz w:val="32"/>
          <w:szCs w:val="32"/>
        </w:rPr>
        <w:t>47</w:t>
      </w:r>
      <w:r>
        <w:rPr>
          <w:rFonts w:hint="eastAsia" w:ascii="仿宋_GB2312" w:hAnsi="仿宋" w:eastAsia="仿宋_GB2312" w:cs="宋体"/>
          <w:sz w:val="32"/>
          <w:szCs w:val="32"/>
        </w:rPr>
        <w:t>人，每人每年</w:t>
      </w:r>
      <w:r>
        <w:rPr>
          <w:rFonts w:ascii="仿宋_GB2312" w:eastAsia="仿宋_GB2312"/>
          <w:sz w:val="32"/>
          <w:szCs w:val="32"/>
        </w:rPr>
        <w:t>27446.8</w:t>
      </w:r>
      <w:r>
        <w:rPr>
          <w:rFonts w:hint="eastAsia" w:ascii="仿宋_GB2312" w:hAnsi="仿宋" w:eastAsia="仿宋_GB2312" w:cs="宋体"/>
          <w:sz w:val="32"/>
          <w:szCs w:val="32"/>
        </w:rPr>
        <w:t>元，实施该项目能够提升服务水平工作积极性，项目资金预算数</w:t>
      </w:r>
      <w:r>
        <w:rPr>
          <w:rFonts w:ascii="仿宋_GB2312" w:hAnsi="仿宋" w:eastAsia="仿宋_GB2312" w:cs="宋体"/>
          <w:sz w:val="32"/>
          <w:szCs w:val="32"/>
        </w:rPr>
        <w:t>129</w:t>
      </w:r>
      <w:r>
        <w:rPr>
          <w:rFonts w:hint="eastAsia" w:ascii="仿宋_GB2312" w:hAnsi="仿宋" w:eastAsia="仿宋_GB2312" w:cs="宋体"/>
          <w:sz w:val="32"/>
          <w:szCs w:val="32"/>
        </w:rPr>
        <w:t>万元。已达到该标准。</w:t>
      </w:r>
    </w:p>
    <w:p>
      <w:pPr>
        <w:spacing w:line="560" w:lineRule="exact"/>
        <w:ind w:firstLine="640" w:firstLineChars="200"/>
      </w:pPr>
      <w:r>
        <w:rPr>
          <w:rFonts w:hint="eastAsia" w:ascii="仿宋_GB2312" w:hAnsi="仿宋" w:eastAsia="仿宋_GB2312" w:cs="宋体"/>
          <w:sz w:val="32"/>
          <w:szCs w:val="32"/>
        </w:rPr>
        <w:t>历史标准</w:t>
      </w:r>
      <w:r>
        <w:rPr>
          <w:rFonts w:ascii="仿宋_GB2312" w:hAnsi="仿宋" w:eastAsia="仿宋_GB2312" w:cs="宋体"/>
          <w:sz w:val="32"/>
          <w:szCs w:val="32"/>
        </w:rPr>
        <w:t>:</w:t>
      </w:r>
      <w:r>
        <w:rPr>
          <w:rFonts w:hint="eastAsia" w:ascii="仿宋_GB2312" w:hAnsi="仿宋" w:eastAsia="仿宋_GB2312" w:cs="宋体"/>
          <w:sz w:val="32"/>
          <w:szCs w:val="32"/>
        </w:rPr>
        <w:t>是以本地区、本部门、本单位或同类部门、单位、项目的绩效评价指标的历史数据作为样本</w:t>
      </w:r>
      <w:r>
        <w:rPr>
          <w:rFonts w:ascii="仿宋_GB2312" w:hAnsi="仿宋" w:eastAsia="仿宋_GB2312" w:cs="宋体"/>
          <w:sz w:val="32"/>
          <w:szCs w:val="32"/>
        </w:rPr>
        <w:t>,</w:t>
      </w:r>
      <w:r>
        <w:rPr>
          <w:rFonts w:hint="eastAsia" w:ascii="仿宋_GB2312" w:hAnsi="仿宋" w:eastAsia="仿宋_GB2312" w:cs="宋体"/>
          <w:sz w:val="32"/>
          <w:szCs w:val="32"/>
        </w:rPr>
        <w:t>运用一定的统计学方法计算出各类指标的平均历史水平作为评价的标准。也可以是上年实际数、上年同期数、历史最好水平等。由于历史标准有较强的客观性</w:t>
      </w:r>
      <w:r>
        <w:rPr>
          <w:rFonts w:ascii="仿宋_GB2312" w:hAnsi="仿宋" w:eastAsia="仿宋_GB2312" w:cs="宋体"/>
          <w:sz w:val="32"/>
          <w:szCs w:val="32"/>
        </w:rPr>
        <w:t>,</w:t>
      </w:r>
      <w:r>
        <w:rPr>
          <w:rFonts w:hint="eastAsia" w:ascii="仿宋_GB2312" w:hAnsi="仿宋" w:eastAsia="仿宋_GB2312" w:cs="宋体"/>
          <w:sz w:val="32"/>
          <w:szCs w:val="32"/>
        </w:rPr>
        <w:t>在实际操作中广泛应用。</w:t>
      </w:r>
    </w:p>
    <w:p>
      <w:pPr>
        <w:pStyle w:val="28"/>
        <w:keepNext w:val="0"/>
        <w:keepLines w:val="0"/>
        <w:numPr>
          <w:ilvl w:val="0"/>
          <w:numId w:val="5"/>
        </w:numPr>
        <w:spacing w:before="0" w:after="0" w:line="560" w:lineRule="exact"/>
        <w:ind w:left="0" w:firstLine="643" w:firstLineChars="200"/>
      </w:pPr>
      <w:r>
        <w:rPr>
          <w:rFonts w:hint="eastAsia"/>
        </w:rPr>
        <w:t>绩效评价工作过程</w:t>
      </w:r>
    </w:p>
    <w:p>
      <w:pPr>
        <w:pStyle w:val="28"/>
        <w:keepNext w:val="0"/>
        <w:keepLines w:val="0"/>
        <w:numPr>
          <w:ilvl w:val="0"/>
          <w:numId w:val="0"/>
        </w:numPr>
        <w:spacing w:before="0" w:after="0" w:line="560" w:lineRule="exact"/>
        <w:ind w:firstLine="640" w:firstLineChars="200"/>
        <w:outlineLvl w:val="9"/>
        <w:rPr>
          <w:b w:val="0"/>
          <w:bCs w:val="0"/>
        </w:rPr>
      </w:pPr>
      <w:r>
        <w:rPr>
          <w:b w:val="0"/>
          <w:bCs w:val="0"/>
        </w:rPr>
        <w:t>1.</w:t>
      </w:r>
      <w:r>
        <w:rPr>
          <w:rFonts w:hint="eastAsia"/>
          <w:b w:val="0"/>
          <w:bCs w:val="0"/>
        </w:rPr>
        <w:t>本次评价成立了评价工作组，成员如下：</w:t>
      </w:r>
    </w:p>
    <w:tbl>
      <w:tblPr>
        <w:tblStyle w:val="17"/>
        <w:tblW w:w="8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2"/>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评价人</w:t>
            </w:r>
          </w:p>
        </w:tc>
        <w:tc>
          <w:tcPr>
            <w:tcW w:w="2842"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职责</w:t>
            </w:r>
          </w:p>
        </w:tc>
        <w:tc>
          <w:tcPr>
            <w:tcW w:w="2843"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陈昆鸿</w:t>
            </w:r>
          </w:p>
        </w:tc>
        <w:tc>
          <w:tcPr>
            <w:tcW w:w="2842"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评价组组长</w:t>
            </w:r>
          </w:p>
        </w:tc>
        <w:tc>
          <w:tcPr>
            <w:tcW w:w="2843"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副检察长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张辉</w:t>
            </w:r>
          </w:p>
        </w:tc>
        <w:tc>
          <w:tcPr>
            <w:tcW w:w="2842"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评价组成员</w:t>
            </w:r>
          </w:p>
        </w:tc>
        <w:tc>
          <w:tcPr>
            <w:tcW w:w="2843"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党组成员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帅付兵</w:t>
            </w:r>
          </w:p>
        </w:tc>
        <w:tc>
          <w:tcPr>
            <w:tcW w:w="2842"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评价组成员</w:t>
            </w:r>
          </w:p>
        </w:tc>
        <w:tc>
          <w:tcPr>
            <w:tcW w:w="2843" w:type="dxa"/>
            <w:vAlign w:val="center"/>
          </w:tcPr>
          <w:p>
            <w:pPr>
              <w:pStyle w:val="28"/>
              <w:keepNext w:val="0"/>
              <w:keepLines w:val="0"/>
              <w:numPr>
                <w:ilvl w:val="0"/>
                <w:numId w:val="0"/>
              </w:numPr>
              <w:spacing w:before="0" w:after="0" w:line="560" w:lineRule="exact"/>
              <w:ind w:firstLine="640" w:firstLineChars="200"/>
              <w:rPr>
                <w:b w:val="0"/>
                <w:bCs w:val="0"/>
              </w:rPr>
            </w:pPr>
            <w:r>
              <w:rPr>
                <w:rFonts w:hint="eastAsia"/>
                <w:b w:val="0"/>
                <w:bCs w:val="0"/>
              </w:rPr>
              <w:t>财务人员</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本项目绩效评价工作共分五个步骤。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第二阶段，评价设计。主要完成形成评价实施方案、检察官绩效工资项目支出的预评价等工作。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数据分析及撰写报告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2020</w:t>
      </w:r>
      <w:r>
        <w:rPr>
          <w:rFonts w:hint="eastAsia" w:ascii="仿宋_GB2312" w:hAnsi="仿宋" w:eastAsia="仿宋_GB2312" w:cs="宋体"/>
          <w:sz w:val="32"/>
          <w:szCs w:val="32"/>
        </w:rPr>
        <w:t>年</w:t>
      </w:r>
      <w:r>
        <w:rPr>
          <w:rFonts w:ascii="仿宋_GB2312" w:hAnsi="仿宋" w:eastAsia="仿宋_GB2312" w:cs="宋体"/>
          <w:sz w:val="32"/>
          <w:szCs w:val="32"/>
        </w:rPr>
        <w:t>3</w:t>
      </w:r>
      <w:r>
        <w:rPr>
          <w:rFonts w:hint="eastAsia" w:ascii="仿宋_GB2312" w:hAnsi="仿宋" w:eastAsia="仿宋_GB2312" w:cs="宋体"/>
          <w:sz w:val="32"/>
          <w:szCs w:val="32"/>
        </w:rPr>
        <w:t>月</w:t>
      </w:r>
      <w:r>
        <w:rPr>
          <w:rFonts w:ascii="仿宋_GB2312" w:hAnsi="仿宋" w:eastAsia="仿宋_GB2312" w:cs="宋体"/>
          <w:sz w:val="32"/>
          <w:szCs w:val="32"/>
        </w:rPr>
        <w:t>30</w:t>
      </w:r>
      <w:r>
        <w:rPr>
          <w:rFonts w:hint="eastAsia" w:ascii="仿宋_GB2312" w:hAnsi="仿宋" w:eastAsia="仿宋_GB2312" w:cs="宋体"/>
          <w:sz w:val="32"/>
          <w:szCs w:val="32"/>
        </w:rPr>
        <w:t>日，项目组根据绩效评价的原理和规范，对采集的数据进行处理、分析和评分，并提炼结论撰写报告。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第四阶段，报告结果。在完成绩效评价报告编制的基础上，与相关利益者沟通后形成绩效评价终稿的工作。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第五阶段，将绩效评价的经验总结与管理建议推广到相关行业或部门</w:t>
      </w:r>
    </w:p>
    <w:p>
      <w:pPr>
        <w:pStyle w:val="27"/>
        <w:numPr>
          <w:ilvl w:val="0"/>
          <w:numId w:val="2"/>
        </w:numPr>
        <w:spacing w:before="0" w:after="0" w:line="560" w:lineRule="exact"/>
        <w:ind w:left="0" w:firstLine="31680"/>
      </w:pPr>
      <w:r>
        <w:rPr>
          <w:rFonts w:hint="eastAsia" w:ascii="黑体" w:hAnsi="黑体"/>
        </w:rPr>
        <w:t>综合评价情况及评价结论</w:t>
      </w:r>
    </w:p>
    <w:p>
      <w:pPr>
        <w:pStyle w:val="27"/>
        <w:spacing w:before="0" w:after="0" w:line="560" w:lineRule="exact"/>
        <w:ind w:firstLine="31680"/>
        <w:rPr>
          <w:rFonts w:ascii="仿宋_GB2312" w:hAnsi="等线 Light" w:eastAsia="仿宋_GB2312"/>
          <w:b w:val="0"/>
          <w:bCs w:val="0"/>
          <w:kern w:val="2"/>
        </w:rPr>
      </w:pPr>
      <w:r>
        <w:rPr>
          <w:rFonts w:hint="eastAsia" w:ascii="仿宋_GB2312" w:hAnsi="等线 Light" w:eastAsia="仿宋_GB2312"/>
          <w:b w:val="0"/>
          <w:bCs w:val="0"/>
          <w:kern w:val="2"/>
        </w:rPr>
        <w:t>经评价组通过实地调研、资料分析等方式，采用综合分析法、成本效益分析法、问卷调查法等对项目的决策、管理、绩效进行的综合评价分析。项目得分为</w:t>
      </w:r>
      <w:r>
        <w:rPr>
          <w:rFonts w:ascii="仿宋_GB2312" w:hAnsi="等线 Light" w:eastAsia="仿宋_GB2312"/>
          <w:b w:val="0"/>
          <w:bCs w:val="0"/>
          <w:kern w:val="2"/>
        </w:rPr>
        <w:t>93</w:t>
      </w:r>
      <w:r>
        <w:rPr>
          <w:rFonts w:hint="eastAsia" w:ascii="仿宋_GB2312" w:hAnsi="等线 Light" w:eastAsia="仿宋_GB2312"/>
          <w:b w:val="0"/>
          <w:bCs w:val="0"/>
          <w:kern w:val="2"/>
        </w:rPr>
        <w:t>分，评价结果为优。</w:t>
      </w:r>
    </w:p>
    <w:p>
      <w:pPr>
        <w:pStyle w:val="27"/>
        <w:numPr>
          <w:ilvl w:val="0"/>
          <w:numId w:val="2"/>
        </w:numPr>
        <w:spacing w:before="0" w:after="0" w:line="560" w:lineRule="exact"/>
        <w:ind w:left="0" w:firstLine="31680"/>
      </w:pPr>
      <w:r>
        <w:rPr>
          <w:rFonts w:hint="eastAsia"/>
        </w:rPr>
        <w:t>绩效评价指标分析</w:t>
      </w:r>
    </w:p>
    <w:p>
      <w:pPr>
        <w:pStyle w:val="26"/>
        <w:numPr>
          <w:ilvl w:val="0"/>
          <w:numId w:val="6"/>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31"/>
        <w:numPr>
          <w:ilvl w:val="0"/>
          <w:numId w:val="7"/>
        </w:numPr>
        <w:spacing w:line="560" w:lineRule="exact"/>
        <w:ind w:firstLine="31680"/>
        <w:rPr>
          <w:rFonts w:ascii="仿宋_GB2312" w:hAnsi="仿宋" w:cs="宋体"/>
          <w:sz w:val="32"/>
          <w:szCs w:val="32"/>
        </w:rPr>
      </w:pPr>
      <w:r>
        <w:rPr>
          <w:rFonts w:hint="eastAsia" w:ascii="仿宋_GB2312" w:hAnsi="仿宋" w:cs="宋体"/>
          <w:sz w:val="32"/>
          <w:szCs w:val="32"/>
        </w:rPr>
        <w:t>决策依据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本项目根据《法官、检察官工资制度改革试点方案》、《法官、检察官和司法辅助人员工资制度改革试点实施办法》、《关于印发</w:t>
      </w:r>
      <w:r>
        <w:rPr>
          <w:rFonts w:ascii="仿宋_GB2312" w:hAnsi="仿宋" w:eastAsia="仿宋_GB2312" w:cs="宋体"/>
          <w:sz w:val="32"/>
          <w:szCs w:val="32"/>
        </w:rPr>
        <w:t>&lt;</w:t>
      </w:r>
      <w:r>
        <w:rPr>
          <w:rFonts w:hint="eastAsia" w:ascii="仿宋_GB2312" w:hAnsi="仿宋" w:eastAsia="仿宋_GB2312" w:cs="宋体"/>
          <w:sz w:val="32"/>
          <w:szCs w:val="32"/>
        </w:rPr>
        <w:t>法官、检察官单独职务序列改革试点方案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w:t>
      </w:r>
      <w:r>
        <w:rPr>
          <w:rFonts w:ascii="仿宋_GB2312" w:hAnsi="仿宋" w:eastAsia="仿宋_GB2312" w:cs="宋体"/>
          <w:sz w:val="32"/>
          <w:szCs w:val="32"/>
        </w:rPr>
        <w:t>(</w:t>
      </w:r>
      <w:r>
        <w:rPr>
          <w:rFonts w:hint="eastAsia" w:ascii="仿宋_GB2312" w:hAnsi="仿宋" w:eastAsia="仿宋_GB2312" w:cs="宋体"/>
          <w:sz w:val="32"/>
          <w:szCs w:val="32"/>
        </w:rPr>
        <w:t>中组发</w:t>
      </w:r>
      <w:r>
        <w:rPr>
          <w:rFonts w:ascii="仿宋_GB2312" w:hAnsi="仿宋" w:eastAsia="仿宋_GB2312" w:cs="宋体"/>
          <w:sz w:val="32"/>
          <w:szCs w:val="32"/>
        </w:rPr>
        <w:t>{2015}19</w:t>
      </w:r>
      <w:r>
        <w:rPr>
          <w:rFonts w:hint="eastAsia" w:ascii="仿宋_GB2312" w:hAnsi="仿宋" w:eastAsia="仿宋_GB2312" w:cs="宋体"/>
          <w:sz w:val="32"/>
          <w:szCs w:val="32"/>
        </w:rPr>
        <w:t>号和《关于印发</w:t>
      </w:r>
      <w:r>
        <w:rPr>
          <w:rFonts w:ascii="仿宋_GB2312" w:hAnsi="仿宋" w:eastAsia="仿宋_GB2312" w:cs="宋体"/>
          <w:sz w:val="32"/>
          <w:szCs w:val="32"/>
        </w:rPr>
        <w:t>&lt;</w:t>
      </w:r>
      <w:r>
        <w:rPr>
          <w:rFonts w:hint="eastAsia" w:ascii="仿宋_GB2312" w:hAnsi="仿宋" w:eastAsia="仿宋_GB2312" w:cs="宋体"/>
          <w:sz w:val="32"/>
          <w:szCs w:val="32"/>
        </w:rPr>
        <w:t>法官助理、检察官助理和书记员职务序列改革试点方案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的通知》（组通字）</w:t>
      </w:r>
      <w:r>
        <w:rPr>
          <w:rFonts w:ascii="仿宋_GB2312" w:hAnsi="仿宋" w:eastAsia="仿宋_GB2312" w:cs="宋体"/>
          <w:sz w:val="32"/>
          <w:szCs w:val="32"/>
        </w:rPr>
        <w:t>{2016}36</w:t>
      </w:r>
      <w:r>
        <w:rPr>
          <w:rFonts w:hint="eastAsia" w:ascii="仿宋_GB2312" w:hAnsi="仿宋" w:eastAsia="仿宋_GB2312" w:cs="宋体"/>
          <w:sz w:val="32"/>
          <w:szCs w:val="32"/>
        </w:rPr>
        <w:t>号等有关规定立项，结合促进我院法官队伍专业化、职业化，激励我院干警提高工作能力、改进工作方法，提升服务水平工作积极性。项目设立与国家政策和部门职能相符。</w:t>
      </w:r>
    </w:p>
    <w:p>
      <w:pPr>
        <w:numPr>
          <w:ilvl w:val="0"/>
          <w:numId w:val="7"/>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人民检察院申请，经过多次讨论，确定工作人员名单，并按要求将相关算申请材料报送喀什检察分院、县政府、财政局对申报项目进行研讨、分析。故该项目预算前期编制进行了实地调查论证及充分研究，预算编制谨慎。</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2018 </w:t>
      </w:r>
      <w:r>
        <w:rPr>
          <w:rFonts w:hint="eastAsia" w:ascii="仿宋_GB2312" w:hAnsi="仿宋" w:eastAsia="仿宋_GB2312" w:cs="宋体"/>
          <w:sz w:val="32"/>
          <w:szCs w:val="32"/>
        </w:rPr>
        <w:t>年</w:t>
      </w:r>
      <w:r>
        <w:rPr>
          <w:rFonts w:ascii="仿宋_GB2312" w:hAnsi="仿宋" w:eastAsia="仿宋_GB2312" w:cs="宋体"/>
          <w:sz w:val="32"/>
          <w:szCs w:val="32"/>
        </w:rPr>
        <w:t xml:space="preserve"> 12</w:t>
      </w:r>
      <w:r>
        <w:rPr>
          <w:rFonts w:hint="eastAsia" w:ascii="仿宋_GB2312" w:hAnsi="仿宋" w:eastAsia="仿宋_GB2312" w:cs="宋体"/>
          <w:sz w:val="32"/>
          <w:szCs w:val="32"/>
        </w:rPr>
        <w:t>月经喀什检察分院、财政局审核批准逐级下达预算批复后，项目开始实施。该项目决策程序合规合法。</w:t>
      </w:r>
    </w:p>
    <w:p>
      <w:pPr>
        <w:numPr>
          <w:ilvl w:val="0"/>
          <w:numId w:val="7"/>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line="560" w:lineRule="exact"/>
        <w:ind w:firstLine="640" w:firstLineChars="200"/>
      </w:pPr>
      <w:r>
        <w:rPr>
          <w:rFonts w:hint="eastAsia" w:ascii="仿宋_GB2312" w:hAnsi="仿宋" w:eastAsia="仿宋_GB2312" w:cs="宋体"/>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w:t>
      </w:r>
      <w:r>
        <w:rPr>
          <w:rFonts w:ascii="仿宋_GB2312" w:hAnsi="仿宋" w:eastAsia="仿宋_GB2312" w:cs="宋体"/>
          <w:sz w:val="32"/>
          <w:szCs w:val="32"/>
        </w:rPr>
        <w:t xml:space="preserve"> </w:t>
      </w:r>
      <w:r>
        <w:rPr>
          <w:rFonts w:hint="eastAsia" w:ascii="仿宋_GB2312" w:hAnsi="仿宋" w:eastAsia="仿宋_GB2312" w:cs="宋体"/>
          <w:sz w:val="32"/>
          <w:szCs w:val="32"/>
        </w:rPr>
        <w:t>目绩效评价指标体系分为</w:t>
      </w:r>
      <w:r>
        <w:rPr>
          <w:rFonts w:ascii="仿宋_GB2312" w:hAnsi="仿宋" w:eastAsia="仿宋_GB2312" w:cs="宋体"/>
          <w:sz w:val="32"/>
          <w:szCs w:val="32"/>
        </w:rPr>
        <w:t xml:space="preserve"> 2 </w:t>
      </w:r>
      <w:r>
        <w:rPr>
          <w:rFonts w:hint="eastAsia" w:ascii="仿宋_GB2312" w:hAnsi="仿宋" w:eastAsia="仿宋_GB2312" w:cs="宋体"/>
          <w:sz w:val="32"/>
          <w:szCs w:val="32"/>
        </w:rPr>
        <w:t>类指标，其中：共性指标数量为</w:t>
      </w:r>
      <w:r>
        <w:rPr>
          <w:rFonts w:ascii="仿宋_GB2312" w:hAnsi="仿宋" w:eastAsia="仿宋_GB2312" w:cs="宋体"/>
          <w:sz w:val="32"/>
          <w:szCs w:val="32"/>
        </w:rPr>
        <w:t xml:space="preserve">6 </w:t>
      </w:r>
      <w:r>
        <w:rPr>
          <w:rFonts w:hint="eastAsia" w:ascii="仿宋_GB2312" w:hAnsi="仿宋" w:eastAsia="仿宋_GB2312" w:cs="宋体"/>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hAnsi="仿宋" w:eastAsia="仿宋_GB2312" w:cs="宋体"/>
          <w:sz w:val="32"/>
          <w:szCs w:val="32"/>
        </w:rPr>
        <w:t>8</w:t>
      </w:r>
      <w:r>
        <w:rPr>
          <w:rFonts w:hint="eastAsia" w:ascii="仿宋_GB2312" w:hAnsi="仿宋" w:eastAsia="仿宋_GB2312" w:cs="宋体"/>
          <w:sz w:val="32"/>
          <w:szCs w:val="32"/>
        </w:rPr>
        <w:t>个。</w:t>
      </w:r>
    </w:p>
    <w:p>
      <w:pPr>
        <w:pStyle w:val="26"/>
        <w:numPr>
          <w:ilvl w:val="0"/>
          <w:numId w:val="6"/>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numPr>
          <w:ilvl w:val="0"/>
          <w:numId w:val="8"/>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资金管理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人民检察院根据《叶城县人民检察院检察官、检察辅助人员、行政人员绩效考核及奖金分配办法》《叶城县人民检察检察院专项资金管理制度》进行支付，实行实施一个项目，支付一笔资金、报账一笔资金，资金跟着项目走，项目跟着需求走。资金按时到位，到位率</w:t>
      </w:r>
      <w:r>
        <w:rPr>
          <w:rFonts w:ascii="仿宋_GB2312" w:hAnsi="仿宋" w:eastAsia="仿宋_GB2312" w:cs="宋体"/>
          <w:sz w:val="32"/>
          <w:szCs w:val="32"/>
        </w:rPr>
        <w:t>100%</w:t>
      </w:r>
      <w:r>
        <w:rPr>
          <w:rFonts w:hint="eastAsia" w:ascii="仿宋_GB2312" w:hAnsi="仿宋" w:eastAsia="仿宋_GB2312" w:cs="宋体"/>
          <w:sz w:val="32"/>
          <w:szCs w:val="32"/>
        </w:rPr>
        <w:t>。项目资金到位保证足额及时，及时支付，并制定相应的资金管理制度《叶城县人民检察院检察官、检察辅助人员、行政人员绩效考核及奖金分配办法》符合国家法规和财务管理制度；坚决保证资金拨付流程合理合规，有完整的审批程序和手续，不存在截留、挤占、挪用、虚列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）组织实施</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叶城县人民检察院在项目管理上总体情况较好。该项目预算资金安排</w:t>
      </w:r>
      <w:r>
        <w:rPr>
          <w:rFonts w:ascii="仿宋_GB2312" w:hAnsi="仿宋" w:eastAsia="仿宋_GB2312" w:cs="宋体"/>
          <w:sz w:val="32"/>
          <w:szCs w:val="32"/>
        </w:rPr>
        <w:t>129</w:t>
      </w:r>
      <w:r>
        <w:rPr>
          <w:rFonts w:hint="eastAsia" w:ascii="仿宋_GB2312" w:hAnsi="仿宋" w:eastAsia="仿宋_GB2312" w:cs="宋体"/>
          <w:sz w:val="32"/>
          <w:szCs w:val="32"/>
        </w:rPr>
        <w:t>万元，项目实际使用资金</w:t>
      </w:r>
      <w:r>
        <w:rPr>
          <w:rFonts w:ascii="仿宋_GB2312" w:hAnsi="仿宋" w:eastAsia="仿宋_GB2312" w:cs="宋体"/>
          <w:sz w:val="32"/>
          <w:szCs w:val="32"/>
        </w:rPr>
        <w:t>129</w:t>
      </w:r>
      <w:r>
        <w:rPr>
          <w:rFonts w:hint="eastAsia" w:ascii="仿宋_GB2312" w:hAnsi="仿宋" w:eastAsia="仿宋_GB2312" w:cs="宋体"/>
          <w:sz w:val="32"/>
          <w:szCs w:val="32"/>
        </w:rPr>
        <w:t>万元，资金按照规定制度及时支付到位。为保证资金的高效、合规使用，叶城县人民检察院制定并依据项目实施方案，有效促进了检察官绩效工资项目资金支出管理工作。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从制度建设看：制定了相应的管理制度。</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从过程控制部分看：严格按照资金支出的管理办法，对审批过程和流程进行了统一和规范，确保项目高质量完成。</w:t>
      </w:r>
    </w:p>
    <w:p>
      <w:pPr>
        <w:pStyle w:val="26"/>
        <w:numPr>
          <w:ilvl w:val="0"/>
          <w:numId w:val="6"/>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本项目根据《法官、检察官工资制度改革试点方案》、《法官、检察官和司法辅助人员工资制度改革试点实施办法》、《关于印发</w:t>
      </w:r>
      <w:r>
        <w:rPr>
          <w:rFonts w:ascii="仿宋_GB2312" w:hAnsi="仿宋" w:eastAsia="仿宋_GB2312" w:cs="宋体"/>
          <w:sz w:val="32"/>
          <w:szCs w:val="32"/>
        </w:rPr>
        <w:t>&lt;</w:t>
      </w:r>
      <w:r>
        <w:rPr>
          <w:rFonts w:hint="eastAsia" w:ascii="仿宋_GB2312" w:hAnsi="仿宋" w:eastAsia="仿宋_GB2312" w:cs="宋体"/>
          <w:sz w:val="32"/>
          <w:szCs w:val="32"/>
        </w:rPr>
        <w:t>法官、检察官单独职务序列改革试点方案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w:t>
      </w:r>
      <w:r>
        <w:rPr>
          <w:rFonts w:ascii="仿宋_GB2312" w:hAnsi="仿宋" w:eastAsia="仿宋_GB2312" w:cs="宋体"/>
          <w:sz w:val="32"/>
          <w:szCs w:val="32"/>
        </w:rPr>
        <w:t>(</w:t>
      </w:r>
      <w:r>
        <w:rPr>
          <w:rFonts w:hint="eastAsia" w:ascii="仿宋_GB2312" w:hAnsi="仿宋" w:eastAsia="仿宋_GB2312" w:cs="宋体"/>
          <w:sz w:val="32"/>
          <w:szCs w:val="32"/>
        </w:rPr>
        <w:t>中组发</w:t>
      </w:r>
      <w:r>
        <w:rPr>
          <w:rFonts w:ascii="仿宋_GB2312" w:hAnsi="仿宋" w:eastAsia="仿宋_GB2312" w:cs="宋体"/>
          <w:sz w:val="32"/>
          <w:szCs w:val="32"/>
        </w:rPr>
        <w:t>{2015}19</w:t>
      </w:r>
      <w:r>
        <w:rPr>
          <w:rFonts w:hint="eastAsia" w:ascii="仿宋_GB2312" w:hAnsi="仿宋" w:eastAsia="仿宋_GB2312" w:cs="宋体"/>
          <w:sz w:val="32"/>
          <w:szCs w:val="32"/>
        </w:rPr>
        <w:t>号和《关于印发</w:t>
      </w:r>
      <w:r>
        <w:rPr>
          <w:rFonts w:ascii="仿宋_GB2312" w:hAnsi="仿宋" w:eastAsia="仿宋_GB2312" w:cs="宋体"/>
          <w:sz w:val="32"/>
          <w:szCs w:val="32"/>
        </w:rPr>
        <w:t>&lt;</w:t>
      </w:r>
      <w:r>
        <w:rPr>
          <w:rFonts w:hint="eastAsia" w:ascii="仿宋_GB2312" w:hAnsi="仿宋" w:eastAsia="仿宋_GB2312" w:cs="宋体"/>
          <w:sz w:val="32"/>
          <w:szCs w:val="32"/>
        </w:rPr>
        <w:t>法官助理、检察官助理和书记员职务序列改革试点方案</w:t>
      </w:r>
      <w:r>
        <w:rPr>
          <w:rFonts w:ascii="仿宋_GB2312" w:hAnsi="仿宋" w:eastAsia="仿宋_GB2312" w:cs="宋体"/>
          <w:sz w:val="32"/>
          <w:szCs w:val="32"/>
        </w:rPr>
        <w:t>&gt;</w:t>
      </w:r>
      <w:r>
        <w:rPr>
          <w:rFonts w:hint="eastAsia" w:ascii="仿宋_GB2312" w:hAnsi="仿宋" w:eastAsia="仿宋_GB2312" w:cs="宋体"/>
          <w:sz w:val="32"/>
          <w:szCs w:val="32"/>
        </w:rPr>
        <w:t>的通知》（组通字）</w:t>
      </w:r>
      <w:r>
        <w:rPr>
          <w:rFonts w:ascii="仿宋_GB2312" w:hAnsi="仿宋" w:eastAsia="仿宋_GB2312" w:cs="宋体"/>
          <w:sz w:val="32"/>
          <w:szCs w:val="32"/>
        </w:rPr>
        <w:t>{2016}36</w:t>
      </w:r>
      <w:r>
        <w:rPr>
          <w:rFonts w:hint="eastAsia" w:ascii="仿宋_GB2312" w:hAnsi="仿宋" w:eastAsia="仿宋_GB2312" w:cs="宋体"/>
          <w:sz w:val="32"/>
          <w:szCs w:val="32"/>
        </w:rPr>
        <w:t>号等有关规定立项，旨在促进我院检察队伍专业化、职业化，激励我院干警提高工作能力、改进工作方法，提升服务水平工作积极性。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年检察官绩效工资项目，旨在奖励</w:t>
      </w:r>
      <w:r>
        <w:rPr>
          <w:rFonts w:ascii="仿宋_GB2312" w:hAnsi="仿宋" w:eastAsia="仿宋_GB2312" w:cs="宋体"/>
          <w:sz w:val="32"/>
          <w:szCs w:val="32"/>
        </w:rPr>
        <w:t>2019</w:t>
      </w:r>
      <w:r>
        <w:rPr>
          <w:rFonts w:hint="eastAsia" w:ascii="仿宋_GB2312" w:hAnsi="仿宋" w:eastAsia="仿宋_GB2312" w:cs="宋体"/>
          <w:sz w:val="32"/>
          <w:szCs w:val="32"/>
        </w:rPr>
        <w:t>年度在工作中表现优秀，业绩突出的</w:t>
      </w:r>
      <w:r>
        <w:rPr>
          <w:rFonts w:ascii="仿宋_GB2312" w:hAnsi="仿宋" w:eastAsia="仿宋_GB2312" w:cs="宋体"/>
          <w:sz w:val="32"/>
          <w:szCs w:val="32"/>
        </w:rPr>
        <w:t>47</w:t>
      </w:r>
      <w:r>
        <w:rPr>
          <w:rFonts w:hint="eastAsia" w:ascii="仿宋_GB2312" w:hAnsi="仿宋" w:eastAsia="仿宋_GB2312" w:cs="宋体"/>
          <w:sz w:val="32"/>
          <w:szCs w:val="32"/>
        </w:rPr>
        <w:t>名工作人员（除法警及工勤人员）进行绩效奖励，以文件要求标准：每人</w:t>
      </w:r>
      <w:r>
        <w:rPr>
          <w:rFonts w:ascii="仿宋_GB2312" w:eastAsia="仿宋_GB2312"/>
          <w:sz w:val="32"/>
          <w:szCs w:val="32"/>
        </w:rPr>
        <w:t>27446.8</w:t>
      </w:r>
      <w:r>
        <w:rPr>
          <w:rFonts w:hint="eastAsia" w:ascii="仿宋_GB2312" w:hAnsi="仿宋" w:eastAsia="仿宋_GB2312" w:cs="宋体"/>
          <w:sz w:val="32"/>
          <w:szCs w:val="32"/>
        </w:rPr>
        <w:t>元，在人员考核中制定审核标准进行相应优秀工作人员选拔，确定工作人员，保证劳有所得，按时支付绩效奖励资金，确保每人每卡，按时打款进账。根据年初设定绩效指标严格执行，完成良好。指标完成率</w:t>
      </w:r>
      <w:r>
        <w:rPr>
          <w:rFonts w:ascii="仿宋_GB2312" w:hAnsi="仿宋" w:eastAsia="仿宋_GB2312" w:cs="宋体"/>
          <w:sz w:val="32"/>
          <w:szCs w:val="32"/>
        </w:rPr>
        <w:t>100%</w:t>
      </w:r>
      <w:r>
        <w:rPr>
          <w:rFonts w:hint="eastAsia" w:ascii="仿宋_GB2312" w:hAnsi="仿宋" w:eastAsia="仿宋_GB2312" w:cs="宋体"/>
          <w:sz w:val="32"/>
          <w:szCs w:val="32"/>
        </w:rPr>
        <w:t>。</w:t>
      </w:r>
    </w:p>
    <w:tbl>
      <w:tblPr>
        <w:tblStyle w:val="17"/>
        <w:tblW w:w="8310" w:type="dxa"/>
        <w:tblInd w:w="0" w:type="dxa"/>
        <w:tblLayout w:type="fixed"/>
        <w:tblCellMar>
          <w:top w:w="0" w:type="dxa"/>
          <w:left w:w="0" w:type="dxa"/>
          <w:bottom w:w="0" w:type="dxa"/>
          <w:right w:w="0" w:type="dxa"/>
        </w:tblCellMar>
      </w:tblPr>
      <w:tblGrid>
        <w:gridCol w:w="1155"/>
        <w:gridCol w:w="1155"/>
        <w:gridCol w:w="3810"/>
        <w:gridCol w:w="1215"/>
        <w:gridCol w:w="975"/>
      </w:tblGrid>
      <w:tr>
        <w:tblPrEx>
          <w:tblLayout w:type="fixed"/>
          <w:tblCellMar>
            <w:top w:w="0" w:type="dxa"/>
            <w:left w:w="0" w:type="dxa"/>
            <w:bottom w:w="0" w:type="dxa"/>
            <w:right w:w="0" w:type="dxa"/>
          </w:tblCellMar>
        </w:tblPrEx>
        <w:trPr>
          <w:trHeight w:val="559" w:hRule="atLeast"/>
        </w:trPr>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Layout w:type="fixed"/>
          <w:tblCellMar>
            <w:top w:w="0" w:type="dxa"/>
            <w:left w:w="0" w:type="dxa"/>
            <w:bottom w:w="0" w:type="dxa"/>
            <w:right w:w="0" w:type="dxa"/>
          </w:tblCellMar>
        </w:tblPrEx>
        <w:trPr>
          <w:trHeight w:val="500" w:hRule="atLeast"/>
        </w:trPr>
        <w:tc>
          <w:tcPr>
            <w:tcW w:w="11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实施绩效工资人员除法警及工勤人员（人</w:t>
            </w:r>
            <w:r>
              <w:rPr>
                <w:rFonts w:ascii="宋体" w:hAnsi="宋体" w:eastAsia="宋体" w:cs="宋体"/>
                <w:color w:val="000000"/>
                <w:kern w:val="0"/>
                <w:sz w:val="18"/>
                <w:szCs w:val="18"/>
              </w:rPr>
              <w:t>)</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47</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47</w:t>
            </w:r>
          </w:p>
        </w:tc>
      </w:tr>
      <w:tr>
        <w:tblPrEx>
          <w:tblLayout w:type="fixed"/>
          <w:tblCellMar>
            <w:top w:w="0" w:type="dxa"/>
            <w:left w:w="0" w:type="dxa"/>
            <w:bottom w:w="0" w:type="dxa"/>
            <w:right w:w="0" w:type="dxa"/>
          </w:tblCellMar>
        </w:tblPrEx>
        <w:trPr>
          <w:trHeight w:val="500" w:hRule="atLeast"/>
        </w:trPr>
        <w:tc>
          <w:tcPr>
            <w:tcW w:w="11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奖励金发放准确率（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Layout w:type="fixed"/>
          <w:tblCellMar>
            <w:top w:w="0" w:type="dxa"/>
            <w:left w:w="0" w:type="dxa"/>
            <w:bottom w:w="0" w:type="dxa"/>
            <w:right w:w="0" w:type="dxa"/>
          </w:tblCellMar>
        </w:tblPrEx>
        <w:trPr>
          <w:trHeight w:val="500" w:hRule="atLeast"/>
        </w:trPr>
        <w:tc>
          <w:tcPr>
            <w:tcW w:w="11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资金拨付及时率（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Layout w:type="fixed"/>
          <w:tblCellMar>
            <w:top w:w="0" w:type="dxa"/>
            <w:left w:w="0" w:type="dxa"/>
            <w:bottom w:w="0" w:type="dxa"/>
            <w:right w:w="0" w:type="dxa"/>
          </w:tblCellMar>
        </w:tblPrEx>
        <w:trPr>
          <w:trHeight w:val="500" w:hRule="atLeast"/>
        </w:trPr>
        <w:tc>
          <w:tcPr>
            <w:tcW w:w="11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人均工资标准（元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人</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27446.8</w:t>
            </w:r>
          </w:p>
        </w:tc>
        <w:tc>
          <w:tcPr>
            <w:tcW w:w="9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27446.8</w:t>
            </w:r>
          </w:p>
        </w:tc>
      </w:tr>
    </w:tbl>
    <w:p>
      <w:pPr>
        <w:pStyle w:val="26"/>
        <w:spacing w:line="560" w:lineRule="exact"/>
        <w:ind w:firstLine="3168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sz w:val="32"/>
          <w:szCs w:val="32"/>
        </w:rPr>
        <w:t>项目的建设周期为</w:t>
      </w:r>
      <w:r>
        <w:rPr>
          <w:rFonts w:ascii="仿宋_GB2312" w:hAnsi="仿宋" w:eastAsia="仿宋_GB2312" w:cs="宋体"/>
          <w:sz w:val="32"/>
          <w:szCs w:val="32"/>
        </w:rPr>
        <w:t>12</w:t>
      </w:r>
      <w:r>
        <w:rPr>
          <w:rFonts w:hint="eastAsia" w:ascii="仿宋_GB2312" w:hAnsi="仿宋" w:eastAsia="仿宋_GB2312" w:cs="宋体"/>
          <w:sz w:val="32"/>
          <w:szCs w:val="32"/>
        </w:rPr>
        <w:t>个月，持续影响范围广大且深远，增加了劳动力的需求</w:t>
      </w:r>
      <w:r>
        <w:rPr>
          <w:rFonts w:ascii="仿宋_GB2312" w:hAnsi="仿宋" w:eastAsia="仿宋_GB2312" w:cs="宋体"/>
          <w:sz w:val="32"/>
          <w:szCs w:val="32"/>
        </w:rPr>
        <w:t>,</w:t>
      </w:r>
      <w:r>
        <w:rPr>
          <w:rFonts w:hint="eastAsia" w:ascii="仿宋_GB2312" w:hAnsi="仿宋" w:eastAsia="仿宋_GB2312" w:cs="宋体"/>
          <w:sz w:val="32"/>
          <w:szCs w:val="32"/>
        </w:rPr>
        <w:t>带动了优秀工作人员的工作积极性，间接的增加了干部收入。项目建设将更加大</w:t>
      </w:r>
      <w:r>
        <w:rPr>
          <w:rFonts w:hint="eastAsia" w:ascii="仿宋_GB2312" w:hAnsi="仿宋" w:eastAsia="仿宋_GB2312" w:cs="宋体"/>
          <w:color w:val="000000"/>
          <w:kern w:val="0"/>
          <w:sz w:val="32"/>
          <w:szCs w:val="32"/>
        </w:rPr>
        <w:t>落实司法为民，提升质量，完善便民服务提供了有力的保障。提高了我院干警的工作积极性，</w:t>
      </w:r>
      <w:r>
        <w:rPr>
          <w:rFonts w:ascii="仿宋_GB2312" w:hAnsi="仿宋" w:eastAsia="仿宋_GB2312" w:cs="宋体"/>
          <w:color w:val="000000"/>
          <w:kern w:val="0"/>
          <w:sz w:val="32"/>
          <w:szCs w:val="32"/>
        </w:rPr>
        <w:t>2019</w:t>
      </w:r>
      <w:r>
        <w:rPr>
          <w:rFonts w:hint="eastAsia" w:ascii="仿宋_GB2312" w:hAnsi="仿宋" w:eastAsia="仿宋_GB2312" w:cs="宋体"/>
          <w:color w:val="000000"/>
          <w:kern w:val="0"/>
          <w:sz w:val="32"/>
          <w:szCs w:val="32"/>
        </w:rPr>
        <w:t>年县人民检察院在压力中前行，办理审结案件等主要绩效指标位居地区前列。</w:t>
      </w:r>
    </w:p>
    <w:tbl>
      <w:tblPr>
        <w:tblStyle w:val="17"/>
        <w:tblW w:w="8310" w:type="dxa"/>
        <w:tblInd w:w="0" w:type="dxa"/>
        <w:tblLayout w:type="fixed"/>
        <w:tblCellMar>
          <w:top w:w="0" w:type="dxa"/>
          <w:left w:w="0" w:type="dxa"/>
          <w:bottom w:w="0" w:type="dxa"/>
          <w:right w:w="0" w:type="dxa"/>
        </w:tblCellMar>
      </w:tblPr>
      <w:tblGrid>
        <w:gridCol w:w="1155"/>
        <w:gridCol w:w="1155"/>
        <w:gridCol w:w="3810"/>
        <w:gridCol w:w="1215"/>
        <w:gridCol w:w="975"/>
      </w:tblGrid>
      <w:tr>
        <w:tblPrEx>
          <w:tblLayout w:type="fixed"/>
          <w:tblCellMar>
            <w:top w:w="0" w:type="dxa"/>
            <w:left w:w="0" w:type="dxa"/>
            <w:bottom w:w="0" w:type="dxa"/>
            <w:right w:w="0" w:type="dxa"/>
          </w:tblCellMar>
        </w:tblPrEx>
        <w:trPr>
          <w:trHeight w:val="559" w:hRule="atLeast"/>
        </w:trPr>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Layout w:type="fixed"/>
          <w:tblCellMar>
            <w:top w:w="0" w:type="dxa"/>
            <w:left w:w="0" w:type="dxa"/>
            <w:bottom w:w="0" w:type="dxa"/>
            <w:right w:w="0" w:type="dxa"/>
          </w:tblCellMar>
        </w:tblPrEx>
        <w:trPr>
          <w:trHeight w:val="500" w:hRule="atLeast"/>
        </w:trPr>
        <w:tc>
          <w:tcPr>
            <w:tcW w:w="11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115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9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500" w:hRule="atLeast"/>
        </w:trPr>
        <w:tc>
          <w:tcPr>
            <w:tcW w:w="11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5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提升服务水平工作积极性</w:t>
            </w: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有效提升</w:t>
            </w:r>
          </w:p>
        </w:tc>
        <w:tc>
          <w:tcPr>
            <w:tcW w:w="9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80%</w:t>
            </w:r>
          </w:p>
        </w:tc>
      </w:tr>
      <w:tr>
        <w:tblPrEx>
          <w:tblLayout w:type="fixed"/>
          <w:tblCellMar>
            <w:top w:w="0" w:type="dxa"/>
            <w:left w:w="0" w:type="dxa"/>
            <w:bottom w:w="0" w:type="dxa"/>
            <w:right w:w="0" w:type="dxa"/>
          </w:tblCellMar>
        </w:tblPrEx>
        <w:trPr>
          <w:trHeight w:val="500" w:hRule="atLeast"/>
        </w:trPr>
        <w:tc>
          <w:tcPr>
            <w:tcW w:w="11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5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9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hAnsi="宋体" w:eastAsia="宋体" w:cs="宋体"/>
                <w:color w:val="FF0000"/>
                <w:sz w:val="18"/>
                <w:szCs w:val="18"/>
              </w:rPr>
            </w:pPr>
          </w:p>
        </w:tc>
      </w:tr>
      <w:tr>
        <w:tblPrEx>
          <w:tblLayout w:type="fixed"/>
          <w:tblCellMar>
            <w:top w:w="0" w:type="dxa"/>
            <w:left w:w="0" w:type="dxa"/>
            <w:bottom w:w="0" w:type="dxa"/>
            <w:right w:w="0" w:type="dxa"/>
          </w:tblCellMar>
        </w:tblPrEx>
        <w:trPr>
          <w:trHeight w:val="500" w:hRule="atLeast"/>
        </w:trPr>
        <w:tc>
          <w:tcPr>
            <w:tcW w:w="11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项目可持续时限（月）</w:t>
            </w: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c>
          <w:tcPr>
            <w:tcW w:w="9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r>
      <w:tr>
        <w:tblPrEx>
          <w:tblLayout w:type="fixed"/>
          <w:tblCellMar>
            <w:top w:w="0" w:type="dxa"/>
            <w:left w:w="0" w:type="dxa"/>
            <w:bottom w:w="0" w:type="dxa"/>
            <w:right w:w="0" w:type="dxa"/>
          </w:tblCellMar>
        </w:tblPrEx>
        <w:trPr>
          <w:trHeight w:val="500" w:hRule="atLeast"/>
        </w:trPr>
        <w:tc>
          <w:tcPr>
            <w:tcW w:w="115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1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干警满意度（</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2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99%</w:t>
            </w:r>
          </w:p>
        </w:tc>
        <w:tc>
          <w:tcPr>
            <w:tcW w:w="9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99%</w:t>
            </w:r>
          </w:p>
        </w:tc>
      </w:tr>
    </w:tbl>
    <w:p>
      <w:pPr>
        <w:pStyle w:val="27"/>
        <w:spacing w:before="0" w:after="0" w:line="560" w:lineRule="exact"/>
        <w:ind w:firstLine="31680"/>
      </w:pPr>
      <w:r>
        <w:rPr>
          <w:rFonts w:hint="eastAsia" w:ascii="黑体" w:hAnsi="黑体"/>
        </w:rPr>
        <w:t>五、主要经验及做法、存在的问题及原因分析</w:t>
      </w:r>
    </w:p>
    <w:p>
      <w:pPr>
        <w:pStyle w:val="28"/>
        <w:numPr>
          <w:ilvl w:val="0"/>
          <w:numId w:val="9"/>
        </w:numPr>
        <w:spacing w:before="0" w:after="0" w:line="560" w:lineRule="exact"/>
        <w:ind w:left="0" w:firstLine="643" w:firstLineChars="200"/>
      </w:pPr>
      <w:r>
        <w:rPr>
          <w:rFonts w:hint="eastAsia"/>
        </w:rPr>
        <w:t>主要经验及做法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项目的实施进一步激励了优秀检察工作人员的积极性，通过发放该笔奖励资金，有效加强基层人员的荣誉感，使他们觉得劳有所得，更有归属感。</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（二）存在的问题</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项目的前期准备工作不严谨，本项目的缺乏立项批复、立项依据相关资料，对项目实施未进行深入分析，没有合理的项目管理计划或方案。</w:t>
      </w:r>
    </w:p>
    <w:p>
      <w:pPr>
        <w:spacing w:line="560" w:lineRule="exact"/>
        <w:ind w:firstLine="640" w:firstLineChars="200"/>
      </w:pPr>
      <w:r>
        <w:rPr>
          <w:rFonts w:ascii="仿宋_GB2312" w:hAnsi="仿宋" w:eastAsia="仿宋_GB2312" w:cs="宋体"/>
          <w:sz w:val="32"/>
          <w:szCs w:val="32"/>
        </w:rPr>
        <w:t>2.</w:t>
      </w:r>
      <w:r>
        <w:rPr>
          <w:rFonts w:hint="eastAsia" w:ascii="仿宋_GB2312" w:hAnsi="仿宋" w:eastAsia="仿宋_GB2312" w:cs="宋体"/>
          <w:sz w:val="32"/>
          <w:szCs w:val="32"/>
        </w:rPr>
        <w:t>项目预算绩效管理工作不健全，管理意识薄弱预算管理意识不强，管理较混乱，没有建立专门的制度。在项目进行过程中，影响项目的实施的效率及效益。</w:t>
      </w:r>
    </w:p>
    <w:p>
      <w:pPr>
        <w:pStyle w:val="27"/>
        <w:spacing w:before="0" w:after="0" w:line="560" w:lineRule="exact"/>
        <w:ind w:left="420" w:leftChars="200" w:firstLine="321" w:firstLineChars="100"/>
        <w:rPr>
          <w:rFonts w:ascii="黑体"/>
        </w:rPr>
      </w:pPr>
      <w:r>
        <w:rPr>
          <w:rFonts w:hint="eastAsia" w:ascii="黑体" w:hAnsi="黑体"/>
        </w:rPr>
        <w:t>六、有关建议</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1. </w:t>
      </w:r>
      <w:r>
        <w:rPr>
          <w:rFonts w:hint="eastAsia" w:ascii="仿宋_GB2312" w:hAnsi="仿宋" w:eastAsia="仿宋_GB2312" w:cs="宋体"/>
          <w:sz w:val="32"/>
          <w:szCs w:val="32"/>
        </w:rPr>
        <w:t>强化前期准备，加强项目管理力度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2. </w:t>
      </w:r>
      <w:r>
        <w:rPr>
          <w:rFonts w:hint="eastAsia" w:ascii="仿宋_GB2312" w:hAnsi="仿宋" w:eastAsia="仿宋_GB2312" w:cs="宋体"/>
          <w:sz w:val="32"/>
          <w:szCs w:val="32"/>
        </w:rPr>
        <w:t>健全项目管理机制，加强管理意识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pPr>
        <w:pStyle w:val="27"/>
        <w:spacing w:before="0" w:after="0" w:line="560" w:lineRule="exact"/>
        <w:ind w:left="420" w:leftChars="200" w:firstLine="321" w:firstLineChars="100"/>
        <w:rPr>
          <w:rFonts w:ascii="黑体"/>
        </w:rPr>
      </w:pPr>
      <w:r>
        <w:rPr>
          <w:rFonts w:hint="eastAsia" w:ascii="黑体" w:hAnsi="黑体"/>
        </w:rPr>
        <w:t>七、其他需要说明的问题</w:t>
      </w:r>
    </w:p>
    <w:p>
      <w:pPr>
        <w:pStyle w:val="2"/>
        <w:spacing w:before="0" w:after="0" w:line="560" w:lineRule="exact"/>
        <w:ind w:firstLine="640" w:firstLineChars="200"/>
        <w:rPr>
          <w:rFonts w:ascii="仿宋_GB2312" w:hAnsi="仿宋" w:eastAsia="仿宋_GB2312" w:cs="宋体"/>
          <w:b w:val="0"/>
          <w:bCs w:val="0"/>
          <w:kern w:val="2"/>
          <w:sz w:val="32"/>
          <w:szCs w:val="32"/>
        </w:rPr>
      </w:pPr>
      <w:r>
        <w:rPr>
          <w:rFonts w:hint="eastAsia" w:ascii="仿宋_GB2312" w:hAnsi="仿宋" w:eastAsia="仿宋_GB2312" w:cs="宋体"/>
          <w:b w:val="0"/>
          <w:bCs w:val="0"/>
          <w:kern w:val="2"/>
          <w:sz w:val="32"/>
          <w:szCs w:val="32"/>
        </w:rPr>
        <w:t>无其他需要说明的问题。</w:t>
      </w:r>
    </w:p>
    <w:p>
      <w:pPr>
        <w:rPr>
          <w:rFonts w:ascii="仿宋_GB2312" w:hAnsi="仿宋" w:eastAsia="仿宋_GB2312" w:cs="宋体"/>
          <w:sz w:val="32"/>
          <w:szCs w:val="32"/>
        </w:rPr>
      </w:pPr>
    </w:p>
    <w:p>
      <w:pPr>
        <w:pStyle w:val="2"/>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：喀什地区叶城县人民检察院检察官绩效工资项目支出绩效目标申报表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：喀什地区叶城县人民检察院检察官绩效工资项目支出绩效自评表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：喀什地区叶城县人民检察院检察官绩效工资项目支出绩效评价指标体系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：喀什地区部门支出绩效评价评分表</w:t>
      </w:r>
    </w:p>
    <w:p>
      <w:pPr>
        <w:pStyle w:val="2"/>
        <w:spacing w:before="0" w:after="0" w:line="560" w:lineRule="exact"/>
        <w:ind w:firstLine="640" w:firstLineChars="200"/>
        <w:rPr>
          <w:rFonts w:ascii="仿宋_GB2312" w:hAnsi="仿宋" w:eastAsia="仿宋_GB2312" w:cs="宋体"/>
          <w:b w:val="0"/>
          <w:bCs w:val="0"/>
          <w:kern w:val="2"/>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C46A58"/>
    <w:multiLevelType w:val="singleLevel"/>
    <w:tmpl w:val="8FC46A58"/>
    <w:lvl w:ilvl="0" w:tentative="0">
      <w:start w:val="5"/>
      <w:numFmt w:val="decimal"/>
      <w:lvlText w:val="%1."/>
      <w:lvlJc w:val="left"/>
      <w:pPr>
        <w:tabs>
          <w:tab w:val="left" w:pos="312"/>
        </w:tabs>
      </w:pPr>
      <w:rPr>
        <w:rFonts w:cs="Times New Roman"/>
      </w:rPr>
    </w:lvl>
  </w:abstractNum>
  <w:abstractNum w:abstractNumId="1">
    <w:nsid w:val="9A0F8EBA"/>
    <w:multiLevelType w:val="singleLevel"/>
    <w:tmpl w:val="9A0F8EBA"/>
    <w:lvl w:ilvl="0" w:tentative="0">
      <w:start w:val="1"/>
      <w:numFmt w:val="decimal"/>
      <w:suff w:val="nothing"/>
      <w:lvlText w:val="（%1）"/>
      <w:lvlJc w:val="left"/>
      <w:rPr>
        <w:rFonts w:cs="Times New Roman"/>
      </w:rPr>
    </w:lvl>
  </w:abstractNum>
  <w:abstractNum w:abstractNumId="2">
    <w:nsid w:val="F5D7B307"/>
    <w:multiLevelType w:val="singleLevel"/>
    <w:tmpl w:val="F5D7B307"/>
    <w:lvl w:ilvl="0" w:tentative="0">
      <w:start w:val="1"/>
      <w:numFmt w:val="decimal"/>
      <w:suff w:val="nothing"/>
      <w:lvlText w:val="（%1）"/>
      <w:lvlJc w:val="left"/>
      <w:rPr>
        <w:rFonts w:cs="Times New Roman"/>
      </w:rPr>
    </w:lvl>
  </w:abstractNum>
  <w:abstractNum w:abstractNumId="3">
    <w:nsid w:val="3A7260C0"/>
    <w:multiLevelType w:val="multilevel"/>
    <w:tmpl w:val="3A7260C0"/>
    <w:lvl w:ilvl="0" w:tentative="0">
      <w:start w:val="1"/>
      <w:numFmt w:val="chineseCountingThousand"/>
      <w:pStyle w:val="28"/>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3"/>
  </w:num>
  <w:num w:numId="2">
    <w:abstractNumId w:val="7"/>
  </w:num>
  <w:num w:numId="3">
    <w:abstractNumId w:val="5"/>
  </w:num>
  <w:num w:numId="4">
    <w:abstractNumId w:val="0"/>
  </w:num>
  <w:num w:numId="5">
    <w:abstractNumId w:val="4"/>
  </w:num>
  <w:num w:numId="6">
    <w:abstractNumId w:val="6"/>
  </w:num>
  <w:num w:numId="7">
    <w:abstractNumId w:val="1"/>
  </w:num>
  <w:num w:numId="8">
    <w:abstractNumId w:val="2"/>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1339B"/>
    <w:rsid w:val="00022413"/>
    <w:rsid w:val="00037F93"/>
    <w:rsid w:val="00042126"/>
    <w:rsid w:val="000562AD"/>
    <w:rsid w:val="000E0C7B"/>
    <w:rsid w:val="000F2007"/>
    <w:rsid w:val="00100A64"/>
    <w:rsid w:val="00100AA9"/>
    <w:rsid w:val="001143D6"/>
    <w:rsid w:val="0012798F"/>
    <w:rsid w:val="00132553"/>
    <w:rsid w:val="00151AF1"/>
    <w:rsid w:val="00174F3A"/>
    <w:rsid w:val="0018169D"/>
    <w:rsid w:val="00187964"/>
    <w:rsid w:val="00193649"/>
    <w:rsid w:val="0019720C"/>
    <w:rsid w:val="001A1902"/>
    <w:rsid w:val="001A4FFA"/>
    <w:rsid w:val="001B5B44"/>
    <w:rsid w:val="001D5FF2"/>
    <w:rsid w:val="001D6F2E"/>
    <w:rsid w:val="001E7E44"/>
    <w:rsid w:val="00203FB6"/>
    <w:rsid w:val="00225C5D"/>
    <w:rsid w:val="00233ECE"/>
    <w:rsid w:val="00266D86"/>
    <w:rsid w:val="002A1BF4"/>
    <w:rsid w:val="002B3A72"/>
    <w:rsid w:val="002C2340"/>
    <w:rsid w:val="002C6231"/>
    <w:rsid w:val="002F7CDC"/>
    <w:rsid w:val="00324E56"/>
    <w:rsid w:val="00331AF1"/>
    <w:rsid w:val="003368A5"/>
    <w:rsid w:val="003468D7"/>
    <w:rsid w:val="0036275F"/>
    <w:rsid w:val="00363E52"/>
    <w:rsid w:val="00382736"/>
    <w:rsid w:val="003A04D1"/>
    <w:rsid w:val="003A7547"/>
    <w:rsid w:val="003B03C2"/>
    <w:rsid w:val="003B321F"/>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660E6"/>
    <w:rsid w:val="0058554B"/>
    <w:rsid w:val="00596DDF"/>
    <w:rsid w:val="005A1F22"/>
    <w:rsid w:val="005B144F"/>
    <w:rsid w:val="005B6EAB"/>
    <w:rsid w:val="005C7E9C"/>
    <w:rsid w:val="005D7AC7"/>
    <w:rsid w:val="00630E69"/>
    <w:rsid w:val="006362B2"/>
    <w:rsid w:val="0065420A"/>
    <w:rsid w:val="0068245A"/>
    <w:rsid w:val="006869EC"/>
    <w:rsid w:val="00694A44"/>
    <w:rsid w:val="006A60BD"/>
    <w:rsid w:val="006C58F1"/>
    <w:rsid w:val="006D0AA4"/>
    <w:rsid w:val="006E0E68"/>
    <w:rsid w:val="006F2513"/>
    <w:rsid w:val="006F64CB"/>
    <w:rsid w:val="0071759F"/>
    <w:rsid w:val="007253B3"/>
    <w:rsid w:val="00731D46"/>
    <w:rsid w:val="00734BAD"/>
    <w:rsid w:val="007401AA"/>
    <w:rsid w:val="00752C57"/>
    <w:rsid w:val="00781733"/>
    <w:rsid w:val="007C5CF9"/>
    <w:rsid w:val="007D340B"/>
    <w:rsid w:val="007E6392"/>
    <w:rsid w:val="007F3C25"/>
    <w:rsid w:val="00811F2D"/>
    <w:rsid w:val="00815938"/>
    <w:rsid w:val="00822631"/>
    <w:rsid w:val="008226BA"/>
    <w:rsid w:val="00827DA6"/>
    <w:rsid w:val="00835103"/>
    <w:rsid w:val="00854416"/>
    <w:rsid w:val="00866F54"/>
    <w:rsid w:val="00883FF2"/>
    <w:rsid w:val="0089293E"/>
    <w:rsid w:val="00893E6C"/>
    <w:rsid w:val="008A239B"/>
    <w:rsid w:val="008D7BC7"/>
    <w:rsid w:val="008E3374"/>
    <w:rsid w:val="0090104C"/>
    <w:rsid w:val="00953010"/>
    <w:rsid w:val="00982B10"/>
    <w:rsid w:val="009B6041"/>
    <w:rsid w:val="009B7E99"/>
    <w:rsid w:val="009C0267"/>
    <w:rsid w:val="009E5354"/>
    <w:rsid w:val="00A10F1E"/>
    <w:rsid w:val="00A12A0C"/>
    <w:rsid w:val="00A24F26"/>
    <w:rsid w:val="00A365D5"/>
    <w:rsid w:val="00A41DB8"/>
    <w:rsid w:val="00A43094"/>
    <w:rsid w:val="00A53361"/>
    <w:rsid w:val="00A5786D"/>
    <w:rsid w:val="00A60191"/>
    <w:rsid w:val="00A75F3C"/>
    <w:rsid w:val="00A81609"/>
    <w:rsid w:val="00A85237"/>
    <w:rsid w:val="00A9248E"/>
    <w:rsid w:val="00AA208C"/>
    <w:rsid w:val="00AB07C5"/>
    <w:rsid w:val="00AE1FDF"/>
    <w:rsid w:val="00AE3042"/>
    <w:rsid w:val="00B03B29"/>
    <w:rsid w:val="00B16C8F"/>
    <w:rsid w:val="00B32FA4"/>
    <w:rsid w:val="00B36F46"/>
    <w:rsid w:val="00B47B13"/>
    <w:rsid w:val="00B53BE4"/>
    <w:rsid w:val="00B6063F"/>
    <w:rsid w:val="00B9042A"/>
    <w:rsid w:val="00BA0855"/>
    <w:rsid w:val="00BA65AD"/>
    <w:rsid w:val="00BC7696"/>
    <w:rsid w:val="00BD43D0"/>
    <w:rsid w:val="00BE1467"/>
    <w:rsid w:val="00C2671D"/>
    <w:rsid w:val="00C563AA"/>
    <w:rsid w:val="00C71FF0"/>
    <w:rsid w:val="00C77259"/>
    <w:rsid w:val="00C97E2D"/>
    <w:rsid w:val="00D043D7"/>
    <w:rsid w:val="00D117FB"/>
    <w:rsid w:val="00D12832"/>
    <w:rsid w:val="00D23C2E"/>
    <w:rsid w:val="00D45BB8"/>
    <w:rsid w:val="00D61EC8"/>
    <w:rsid w:val="00D82BB8"/>
    <w:rsid w:val="00D93516"/>
    <w:rsid w:val="00DA7F4C"/>
    <w:rsid w:val="00DC5B4B"/>
    <w:rsid w:val="00DC5F94"/>
    <w:rsid w:val="00DE152F"/>
    <w:rsid w:val="00DE293B"/>
    <w:rsid w:val="00DF2DFF"/>
    <w:rsid w:val="00E05626"/>
    <w:rsid w:val="00E168B7"/>
    <w:rsid w:val="00E25B2F"/>
    <w:rsid w:val="00E25FF0"/>
    <w:rsid w:val="00E272B5"/>
    <w:rsid w:val="00E373A5"/>
    <w:rsid w:val="00E66A4D"/>
    <w:rsid w:val="00E72B1C"/>
    <w:rsid w:val="00E96169"/>
    <w:rsid w:val="00EA24DD"/>
    <w:rsid w:val="00EA4710"/>
    <w:rsid w:val="00EE0FE6"/>
    <w:rsid w:val="00EE6B4C"/>
    <w:rsid w:val="00F0780F"/>
    <w:rsid w:val="00F16D54"/>
    <w:rsid w:val="00F20E34"/>
    <w:rsid w:val="00F276F2"/>
    <w:rsid w:val="00F34615"/>
    <w:rsid w:val="00F6015C"/>
    <w:rsid w:val="00F75715"/>
    <w:rsid w:val="00F82824"/>
    <w:rsid w:val="00FB2E2F"/>
    <w:rsid w:val="00FD300A"/>
    <w:rsid w:val="00FF137F"/>
    <w:rsid w:val="00FF6959"/>
    <w:rsid w:val="00FF6C14"/>
    <w:rsid w:val="01BE6316"/>
    <w:rsid w:val="07AE4845"/>
    <w:rsid w:val="0B854E66"/>
    <w:rsid w:val="120E53CD"/>
    <w:rsid w:val="142B062B"/>
    <w:rsid w:val="177E4C2D"/>
    <w:rsid w:val="1AA616D5"/>
    <w:rsid w:val="217F35A7"/>
    <w:rsid w:val="24E73B1F"/>
    <w:rsid w:val="26F03C06"/>
    <w:rsid w:val="2A547683"/>
    <w:rsid w:val="2F89512F"/>
    <w:rsid w:val="306A4501"/>
    <w:rsid w:val="31C366C0"/>
    <w:rsid w:val="33CA34B6"/>
    <w:rsid w:val="3A15734A"/>
    <w:rsid w:val="3BC01B4C"/>
    <w:rsid w:val="44503A13"/>
    <w:rsid w:val="46C16BC4"/>
    <w:rsid w:val="509F44DE"/>
    <w:rsid w:val="55945462"/>
    <w:rsid w:val="57964064"/>
    <w:rsid w:val="5A781A20"/>
    <w:rsid w:val="5EAC10A1"/>
    <w:rsid w:val="660268BD"/>
    <w:rsid w:val="667765BF"/>
    <w:rsid w:val="68AC0EA3"/>
    <w:rsid w:val="7775238E"/>
    <w:rsid w:val="79D52E8A"/>
    <w:rsid w:val="7A8638D9"/>
    <w:rsid w:val="7EE4114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qFormat="1"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1"/>
    <w:basedOn w:val="1"/>
    <w:next w:val="1"/>
    <w:link w:val="19"/>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0"/>
    <w:qFormat/>
    <w:uiPriority w:val="9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1"/>
    <w:qFormat/>
    <w:uiPriority w:val="99"/>
    <w:pPr>
      <w:keepNext/>
      <w:keepLines/>
      <w:spacing w:before="260" w:after="260" w:line="416" w:lineRule="auto"/>
      <w:outlineLvl w:val="2"/>
    </w:pPr>
    <w:rPr>
      <w:b/>
      <w:bCs/>
      <w:sz w:val="32"/>
      <w:szCs w:val="32"/>
    </w:rPr>
  </w:style>
  <w:style w:type="character" w:default="1" w:styleId="13">
    <w:name w:val="Default Paragraph Font"/>
    <w:semiHidden/>
    <w:uiPriority w:val="99"/>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22"/>
    <w:semiHidden/>
    <w:qFormat/>
    <w:uiPriority w:val="99"/>
    <w:pPr>
      <w:jc w:val="left"/>
    </w:pPr>
  </w:style>
  <w:style w:type="paragraph" w:styleId="6">
    <w:name w:val="toc 3"/>
    <w:basedOn w:val="1"/>
    <w:next w:val="1"/>
    <w:semiHidden/>
    <w:qFormat/>
    <w:uiPriority w:val="99"/>
    <w:rPr>
      <w:rFonts w:eastAsia="仿宋_GB2312"/>
      <w:sz w:val="28"/>
    </w:rPr>
  </w:style>
  <w:style w:type="paragraph" w:styleId="7">
    <w:name w:val="Balloon Text"/>
    <w:basedOn w:val="1"/>
    <w:link w:val="23"/>
    <w:semiHidden/>
    <w:qFormat/>
    <w:uiPriority w:val="99"/>
    <w:rPr>
      <w:sz w:val="18"/>
      <w:szCs w:val="18"/>
    </w:rPr>
  </w:style>
  <w:style w:type="paragraph" w:styleId="8">
    <w:name w:val="footer"/>
    <w:basedOn w:val="1"/>
    <w:link w:val="24"/>
    <w:uiPriority w:val="99"/>
    <w:pPr>
      <w:tabs>
        <w:tab w:val="center" w:pos="4153"/>
        <w:tab w:val="right" w:pos="8306"/>
      </w:tabs>
      <w:snapToGrid w:val="0"/>
      <w:jc w:val="left"/>
    </w:pPr>
    <w:rPr>
      <w:sz w:val="18"/>
      <w:szCs w:val="18"/>
    </w:rPr>
  </w:style>
  <w:style w:type="paragraph" w:styleId="9">
    <w:name w:val="header"/>
    <w:basedOn w:val="1"/>
    <w:link w:val="25"/>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99"/>
    <w:rPr>
      <w:rFonts w:eastAsia="仿宋_GB2312"/>
      <w:sz w:val="28"/>
    </w:rPr>
  </w:style>
  <w:style w:type="paragraph" w:styleId="11">
    <w:name w:val="toc 2"/>
    <w:basedOn w:val="1"/>
    <w:next w:val="1"/>
    <w:uiPriority w:val="99"/>
    <w:rPr>
      <w:rFonts w:eastAsia="仿宋_GB2312"/>
      <w:sz w:val="28"/>
    </w:rPr>
  </w:style>
  <w:style w:type="paragraph" w:styleId="12">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Strong"/>
    <w:basedOn w:val="13"/>
    <w:qFormat/>
    <w:uiPriority w:val="99"/>
    <w:rPr>
      <w:rFonts w:cs="Times New Roman"/>
      <w:b/>
      <w:bCs/>
    </w:rPr>
  </w:style>
  <w:style w:type="character" w:styleId="15">
    <w:name w:val="Hyperlink"/>
    <w:basedOn w:val="13"/>
    <w:uiPriority w:val="99"/>
    <w:rPr>
      <w:rFonts w:cs="Times New Roman"/>
      <w:color w:val="0563C1"/>
      <w:u w:val="single"/>
    </w:rPr>
  </w:style>
  <w:style w:type="character" w:styleId="16">
    <w:name w:val="annotation reference"/>
    <w:basedOn w:val="13"/>
    <w:semiHidden/>
    <w:uiPriority w:val="99"/>
    <w:rPr>
      <w:rFonts w:cs="Times New Roman"/>
      <w:sz w:val="21"/>
      <w:szCs w:val="21"/>
    </w:rPr>
  </w:style>
  <w:style w:type="table" w:styleId="18">
    <w:name w:val="Table Grid"/>
    <w:basedOn w:val="17"/>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Heading 1 Char"/>
    <w:basedOn w:val="13"/>
    <w:link w:val="2"/>
    <w:qFormat/>
    <w:locked/>
    <w:uiPriority w:val="99"/>
    <w:rPr>
      <w:rFonts w:ascii="Times New Roman" w:hAnsi="Times New Roman" w:eastAsia="黑体" w:cs="Arial"/>
      <w:b/>
      <w:bCs/>
      <w:kern w:val="44"/>
      <w:sz w:val="44"/>
      <w:szCs w:val="44"/>
    </w:rPr>
  </w:style>
  <w:style w:type="character" w:customStyle="1" w:styleId="20">
    <w:name w:val="Heading 2 Char"/>
    <w:basedOn w:val="13"/>
    <w:link w:val="3"/>
    <w:locked/>
    <w:uiPriority w:val="99"/>
    <w:rPr>
      <w:rFonts w:ascii="等线 Light" w:hAnsi="等线 Light" w:eastAsia="等线 Light" w:cs="Times New Roman"/>
      <w:b/>
      <w:bCs/>
      <w:sz w:val="32"/>
      <w:szCs w:val="32"/>
    </w:rPr>
  </w:style>
  <w:style w:type="character" w:customStyle="1" w:styleId="21">
    <w:name w:val="Heading 3 Char"/>
    <w:basedOn w:val="13"/>
    <w:link w:val="4"/>
    <w:semiHidden/>
    <w:qFormat/>
    <w:locked/>
    <w:uiPriority w:val="99"/>
    <w:rPr>
      <w:rFonts w:cs="Times New Roman"/>
      <w:b/>
      <w:bCs/>
      <w:sz w:val="32"/>
      <w:szCs w:val="32"/>
    </w:rPr>
  </w:style>
  <w:style w:type="character" w:customStyle="1" w:styleId="22">
    <w:name w:val="Comment Text Char"/>
    <w:basedOn w:val="13"/>
    <w:link w:val="5"/>
    <w:semiHidden/>
    <w:uiPriority w:val="99"/>
    <w:rPr>
      <w:rFonts w:ascii="等线" w:hAnsi="等线" w:eastAsia="等线"/>
      <w:szCs w:val="21"/>
    </w:rPr>
  </w:style>
  <w:style w:type="character" w:customStyle="1" w:styleId="23">
    <w:name w:val="Balloon Text Char"/>
    <w:basedOn w:val="13"/>
    <w:link w:val="7"/>
    <w:semiHidden/>
    <w:locked/>
    <w:uiPriority w:val="99"/>
    <w:rPr>
      <w:rFonts w:cs="Times New Roman"/>
      <w:sz w:val="18"/>
      <w:szCs w:val="18"/>
    </w:rPr>
  </w:style>
  <w:style w:type="character" w:customStyle="1" w:styleId="24">
    <w:name w:val="Footer Char"/>
    <w:basedOn w:val="13"/>
    <w:link w:val="8"/>
    <w:locked/>
    <w:uiPriority w:val="99"/>
    <w:rPr>
      <w:rFonts w:cs="Times New Roman"/>
      <w:sz w:val="18"/>
      <w:szCs w:val="18"/>
    </w:rPr>
  </w:style>
  <w:style w:type="character" w:customStyle="1" w:styleId="25">
    <w:name w:val="Header Char"/>
    <w:basedOn w:val="13"/>
    <w:link w:val="9"/>
    <w:locked/>
    <w:uiPriority w:val="99"/>
    <w:rPr>
      <w:rFonts w:cs="Times New Roman"/>
      <w:sz w:val="18"/>
      <w:szCs w:val="18"/>
    </w:rPr>
  </w:style>
  <w:style w:type="paragraph" w:styleId="26">
    <w:name w:val="List Paragraph"/>
    <w:basedOn w:val="1"/>
    <w:qFormat/>
    <w:uiPriority w:val="99"/>
    <w:pPr>
      <w:ind w:firstLine="420" w:firstLineChars="200"/>
    </w:pPr>
  </w:style>
  <w:style w:type="paragraph" w:customStyle="1" w:styleId="27">
    <w:name w:val="标题1"/>
    <w:basedOn w:val="2"/>
    <w:uiPriority w:val="99"/>
    <w:pPr>
      <w:spacing w:before="120" w:after="120" w:line="500" w:lineRule="exact"/>
      <w:ind w:firstLine="200" w:firstLineChars="200"/>
    </w:pPr>
    <w:rPr>
      <w:rFonts w:cs="Times New Roman"/>
      <w:sz w:val="32"/>
      <w:szCs w:val="32"/>
    </w:rPr>
  </w:style>
  <w:style w:type="paragraph" w:customStyle="1" w:styleId="28">
    <w:name w:val="标题2"/>
    <w:basedOn w:val="3"/>
    <w:uiPriority w:val="99"/>
    <w:pPr>
      <w:numPr>
        <w:ilvl w:val="0"/>
        <w:numId w:val="1"/>
      </w:numPr>
      <w:spacing w:before="120" w:after="120" w:line="500" w:lineRule="exact"/>
    </w:pPr>
    <w:rPr>
      <w:rFonts w:ascii="仿宋_GB2312" w:eastAsia="仿宋_GB2312"/>
    </w:rPr>
  </w:style>
  <w:style w:type="paragraph" w:customStyle="1" w:styleId="29">
    <w:name w:val="TOC 标题1"/>
    <w:basedOn w:val="2"/>
    <w:next w:val="1"/>
    <w:uiPriority w:val="99"/>
    <w:pPr>
      <w:widowControl/>
      <w:spacing w:before="240" w:after="0" w:line="259" w:lineRule="auto"/>
      <w:jc w:val="left"/>
      <w:outlineLvl w:val="9"/>
    </w:pPr>
    <w:rPr>
      <w:rFonts w:ascii="等线 Light" w:hAnsi="等线 Light" w:eastAsia="等线 Light" w:cs="Times New Roman"/>
      <w:b w:val="0"/>
      <w:bCs w:val="0"/>
      <w:color w:val="2F5496"/>
      <w:kern w:val="0"/>
      <w:sz w:val="32"/>
      <w:szCs w:val="32"/>
    </w:rPr>
  </w:style>
  <w:style w:type="character" w:customStyle="1" w:styleId="30">
    <w:name w:val="闻政正文 Char"/>
    <w:link w:val="31"/>
    <w:qFormat/>
    <w:locked/>
    <w:uiPriority w:val="99"/>
    <w:rPr>
      <w:rFonts w:ascii="Times New Roman" w:hAnsi="Times New Roman" w:eastAsia="仿宋_GB2312"/>
      <w:sz w:val="28"/>
    </w:rPr>
  </w:style>
  <w:style w:type="paragraph" w:customStyle="1" w:styleId="31">
    <w:name w:val="闻政正文"/>
    <w:basedOn w:val="1"/>
    <w:link w:val="30"/>
    <w:uiPriority w:val="99"/>
    <w:pPr>
      <w:spacing w:line="500" w:lineRule="exact"/>
      <w:ind w:firstLine="560" w:firstLineChars="200"/>
    </w:pPr>
    <w:rPr>
      <w:rFonts w:ascii="Times New Roman" w:hAnsi="Times New Roman" w:eastAsia="仿宋_GB2312"/>
      <w:kern w:val="0"/>
      <w:sz w:val="28"/>
      <w:szCs w:val="28"/>
    </w:rPr>
  </w:style>
  <w:style w:type="character" w:customStyle="1" w:styleId="32">
    <w:name w:val="闻政表 Char"/>
    <w:link w:val="33"/>
    <w:locked/>
    <w:uiPriority w:val="99"/>
    <w:rPr>
      <w:rFonts w:ascii="Times New Roman" w:hAnsi="Times New Roman" w:eastAsia="仿宋_GB2312"/>
      <w:b/>
      <w:sz w:val="28"/>
    </w:rPr>
  </w:style>
  <w:style w:type="paragraph" w:customStyle="1" w:styleId="33">
    <w:name w:val="闻政表"/>
    <w:basedOn w:val="1"/>
    <w:link w:val="32"/>
    <w:uiPriority w:val="99"/>
    <w:pPr>
      <w:spacing w:before="60" w:after="60"/>
      <w:jc w:val="center"/>
    </w:pPr>
    <w:rPr>
      <w:rFonts w:ascii="Times New Roman" w:hAnsi="Times New Roman" w:eastAsia="仿宋_GB2312"/>
      <w:b/>
      <w:kern w:val="0"/>
      <w:sz w:val="24"/>
      <w:szCs w:val="28"/>
    </w:rPr>
  </w:style>
  <w:style w:type="paragraph" w:customStyle="1" w:styleId="34">
    <w:name w:val="Char"/>
    <w:basedOn w:val="1"/>
    <w:uiPriority w:val="99"/>
    <w:pPr>
      <w:widowControl/>
      <w:spacing w:after="160" w:line="240" w:lineRule="exact"/>
      <w:jc w:val="left"/>
    </w:pPr>
    <w:rPr>
      <w:rFonts w:ascii="Times New Roman" w:hAnsi="Times New Roman" w:eastAsia="宋体"/>
      <w:szCs w:val="22"/>
    </w:rPr>
  </w:style>
  <w:style w:type="character" w:customStyle="1" w:styleId="35">
    <w:name w:val="闻政标题3 Char"/>
    <w:link w:val="36"/>
    <w:locked/>
    <w:uiPriority w:val="99"/>
    <w:rPr>
      <w:rFonts w:ascii="黑体" w:hAnsi="黑体" w:eastAsia="黑体"/>
      <w:sz w:val="32"/>
    </w:rPr>
  </w:style>
  <w:style w:type="paragraph" w:customStyle="1" w:styleId="36">
    <w:name w:val="闻政标题3"/>
    <w:basedOn w:val="4"/>
    <w:link w:val="35"/>
    <w:uiPriority w:val="99"/>
    <w:pPr>
      <w:spacing w:before="120" w:after="60" w:line="500" w:lineRule="exact"/>
      <w:jc w:val="left"/>
      <w:outlineLvl w:val="0"/>
    </w:pPr>
    <w:rPr>
      <w:rFonts w:ascii="黑体" w:hAnsi="黑体" w:eastAsia="黑体"/>
      <w:b w:val="0"/>
      <w:kern w:val="0"/>
    </w:rPr>
  </w:style>
  <w:style w:type="paragraph" w:customStyle="1" w:styleId="37">
    <w:name w:val="Body text|1"/>
    <w:basedOn w:val="1"/>
    <w:link w:val="38"/>
    <w:uiPriority w:val="99"/>
    <w:pPr>
      <w:spacing w:after="40" w:line="334" w:lineRule="auto"/>
    </w:pPr>
    <w:rPr>
      <w:rFonts w:ascii="MingLiU" w:hAnsi="MingLiU" w:eastAsia="MingLiU" w:cs="MingLiU"/>
      <w:sz w:val="20"/>
      <w:szCs w:val="20"/>
      <w:lang w:val="zh-TW" w:eastAsia="zh-TW"/>
    </w:rPr>
  </w:style>
  <w:style w:type="character" w:customStyle="1" w:styleId="38">
    <w:name w:val="Body text|1_"/>
    <w:basedOn w:val="13"/>
    <w:link w:val="37"/>
    <w:locked/>
    <w:uiPriority w:val="99"/>
    <w:rPr>
      <w:rFonts w:ascii="MingLiU" w:hAnsi="MingLiU" w:eastAsia="MingLiU" w:cs="MingLiU"/>
      <w:sz w:val="20"/>
      <w:szCs w:val="20"/>
      <w:lang w:val="zh-TW"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17</Pages>
  <Words>1166</Words>
  <Characters>6650</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2020-10-04T04:08:43Z</dcterms:modified>
  <dc:title>新疆普天鹏华商务信息咨询有限公司</dc:title>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