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eastAsia="方正仿宋_GBK" w:cs="方正仿宋_GBK"/>
          <w:bCs/>
          <w:color w:val="auto"/>
          <w:kern w:val="0"/>
          <w:sz w:val="32"/>
          <w:szCs w:val="32"/>
          <w:highlight w:val="none"/>
          <w:lang w:bidi="en-US"/>
        </w:rPr>
      </w:pPr>
      <w:r>
        <w:rPr>
          <w:rFonts w:hint="eastAsia" w:eastAsia="方正仿宋_GBK" w:cs="方正仿宋_GBK"/>
          <w:bCs/>
          <w:color w:val="auto"/>
          <w:kern w:val="0"/>
          <w:sz w:val="32"/>
          <w:szCs w:val="32"/>
          <w:highlight w:val="none"/>
          <w:lang w:bidi="en-US"/>
        </w:rPr>
        <w:t>附件4：</w:t>
      </w:r>
    </w:p>
    <w:p>
      <w:pPr>
        <w:pStyle w:val="2"/>
        <w:ind w:firstLine="560"/>
        <w:rPr>
          <w:color w:val="auto"/>
          <w:highlight w:val="none"/>
        </w:rPr>
      </w:pPr>
    </w:p>
    <w:p>
      <w:pPr>
        <w:ind w:firstLine="560"/>
        <w:rPr>
          <w:color w:val="auto"/>
          <w:highlight w:val="none"/>
        </w:rPr>
      </w:pPr>
    </w:p>
    <w:p>
      <w:pPr>
        <w:spacing w:line="560" w:lineRule="exact"/>
        <w:ind w:left="4762" w:leftChars="629" w:hanging="3001" w:hangingChars="750"/>
        <w:jc w:val="left"/>
        <w:rPr>
          <w:rFonts w:eastAsia="方正仿宋_GBK" w:cs="方正仿宋_GBK"/>
          <w:b/>
          <w:color w:val="auto"/>
          <w:sz w:val="40"/>
          <w:szCs w:val="40"/>
          <w:highlight w:val="none"/>
        </w:rPr>
      </w:pPr>
      <w:r>
        <w:rPr>
          <w:rFonts w:hint="eastAsia" w:eastAsia="方正仿宋_GBK" w:cs="方正仿宋_GBK"/>
          <w:b/>
          <w:color w:val="auto"/>
          <w:sz w:val="40"/>
          <w:szCs w:val="40"/>
          <w:highlight w:val="none"/>
        </w:rPr>
        <w:t>采购电子政务网相关设备项目支出绩效评价报告</w:t>
      </w:r>
    </w:p>
    <w:p>
      <w:pPr>
        <w:spacing w:line="560" w:lineRule="exact"/>
        <w:ind w:firstLine="0" w:firstLineChars="0"/>
        <w:jc w:val="center"/>
        <w:rPr>
          <w:rFonts w:eastAsia="方正仿宋_GBK" w:cs="方正仿宋_GBK"/>
          <w:b/>
          <w:color w:val="auto"/>
          <w:kern w:val="0"/>
          <w:sz w:val="32"/>
          <w:szCs w:val="32"/>
          <w:highlight w:val="none"/>
          <w:lang w:bidi="en-US"/>
        </w:rPr>
      </w:pPr>
    </w:p>
    <w:p>
      <w:pPr>
        <w:spacing w:line="560" w:lineRule="exact"/>
        <w:ind w:firstLine="0" w:firstLineChars="0"/>
        <w:jc w:val="center"/>
        <w:rPr>
          <w:rFonts w:eastAsia="方正仿宋_GBK" w:cs="方正仿宋_GBK"/>
          <w:b/>
          <w:color w:val="auto"/>
          <w:kern w:val="0"/>
          <w:sz w:val="32"/>
          <w:szCs w:val="32"/>
          <w:highlight w:val="none"/>
          <w:lang w:bidi="en-US"/>
        </w:rPr>
      </w:pPr>
    </w:p>
    <w:p>
      <w:pPr>
        <w:pStyle w:val="2"/>
        <w:spacing w:line="560" w:lineRule="exact"/>
        <w:ind w:firstLine="640"/>
        <w:rPr>
          <w:rFonts w:ascii="Times New Roman" w:hAnsi="Times New Roman" w:eastAsia="方正仿宋_GBK" w:cs="方正仿宋_GBK"/>
          <w:b/>
          <w:color w:val="auto"/>
          <w:sz w:val="32"/>
          <w:highlight w:val="none"/>
          <w:lang w:bidi="en-US"/>
        </w:rPr>
      </w:pPr>
    </w:p>
    <w:p>
      <w:pPr>
        <w:ind w:firstLine="560"/>
        <w:rPr>
          <w:color w:val="auto"/>
          <w:highlight w:val="none"/>
        </w:rPr>
      </w:pPr>
    </w:p>
    <w:p>
      <w:pPr>
        <w:spacing w:line="560" w:lineRule="exact"/>
        <w:ind w:firstLine="560"/>
        <w:rPr>
          <w:color w:val="auto"/>
          <w:highlight w:val="none"/>
        </w:rPr>
      </w:pPr>
    </w:p>
    <w:p>
      <w:pPr>
        <w:spacing w:line="560" w:lineRule="exact"/>
        <w:ind w:firstLine="0" w:firstLineChars="0"/>
        <w:rPr>
          <w:rFonts w:eastAsia="方正仿宋_GBK" w:cs="方正仿宋_GBK"/>
          <w:color w:val="auto"/>
          <w:kern w:val="0"/>
          <w:sz w:val="32"/>
          <w:szCs w:val="32"/>
          <w:highlight w:val="none"/>
          <w:lang w:bidi="en-US"/>
        </w:rPr>
      </w:pPr>
    </w:p>
    <w:p>
      <w:pPr>
        <w:spacing w:line="560" w:lineRule="exact"/>
        <w:ind w:firstLine="1411" w:firstLineChars="441"/>
        <w:jc w:val="left"/>
        <w:rPr>
          <w:rFonts w:eastAsia="方正仿宋_GBK" w:cs="方正仿宋_GBK"/>
          <w:color w:val="auto"/>
          <w:kern w:val="0"/>
          <w:sz w:val="32"/>
          <w:szCs w:val="32"/>
          <w:highlight w:val="none"/>
          <w:lang w:bidi="en-US"/>
        </w:rPr>
      </w:pPr>
      <w:r>
        <w:rPr>
          <w:rFonts w:hint="eastAsia" w:eastAsia="方正仿宋_GBK" w:cs="方正仿宋_GBK"/>
          <w:color w:val="auto"/>
          <w:kern w:val="0"/>
          <w:sz w:val="32"/>
          <w:szCs w:val="32"/>
          <w:highlight w:val="none"/>
          <w:lang w:bidi="en-US"/>
        </w:rPr>
        <w:t>项目名称：采购电子政务网相关设备项目</w:t>
      </w:r>
    </w:p>
    <w:p>
      <w:pPr>
        <w:spacing w:line="560" w:lineRule="exact"/>
        <w:ind w:firstLine="1411" w:firstLineChars="441"/>
        <w:jc w:val="left"/>
        <w:rPr>
          <w:rFonts w:eastAsia="方正仿宋_GBK" w:cs="方正仿宋_GBK"/>
          <w:color w:val="auto"/>
          <w:kern w:val="0"/>
          <w:sz w:val="32"/>
          <w:szCs w:val="32"/>
          <w:highlight w:val="none"/>
          <w:lang w:bidi="en-US"/>
        </w:rPr>
      </w:pPr>
      <w:r>
        <w:rPr>
          <w:rFonts w:hint="eastAsia" w:eastAsia="方正仿宋_GBK" w:cs="方正仿宋_GBK"/>
          <w:color w:val="auto"/>
          <w:kern w:val="0"/>
          <w:sz w:val="32"/>
          <w:szCs w:val="32"/>
          <w:highlight w:val="none"/>
          <w:lang w:bidi="en-US"/>
        </w:rPr>
        <w:t>项目单位：</w:t>
      </w:r>
      <w:r>
        <w:rPr>
          <w:rFonts w:hint="eastAsia" w:eastAsia="方正仿宋_GBK" w:cs="方正仿宋_GBK"/>
          <w:b/>
          <w:color w:val="auto"/>
          <w:kern w:val="0"/>
          <w:sz w:val="32"/>
          <w:szCs w:val="32"/>
          <w:highlight w:val="none"/>
          <w:lang w:bidi="en-US"/>
        </w:rPr>
        <w:t>中共</w:t>
      </w:r>
      <w:r>
        <w:rPr>
          <w:rFonts w:hint="eastAsia" w:eastAsia="方正仿宋_GBK" w:cs="方正仿宋_GBK"/>
          <w:color w:val="auto"/>
          <w:kern w:val="0"/>
          <w:sz w:val="32"/>
          <w:szCs w:val="32"/>
          <w:highlight w:val="none"/>
          <w:lang w:bidi="en-US"/>
        </w:rPr>
        <w:t>叶城县委办公室</w:t>
      </w:r>
    </w:p>
    <w:p>
      <w:pPr>
        <w:spacing w:line="560" w:lineRule="exact"/>
        <w:ind w:firstLine="1411" w:firstLineChars="441"/>
        <w:jc w:val="left"/>
        <w:rPr>
          <w:rFonts w:eastAsia="方正仿宋_GBK" w:cs="方正仿宋_GBK"/>
          <w:color w:val="auto"/>
          <w:kern w:val="0"/>
          <w:sz w:val="32"/>
          <w:szCs w:val="32"/>
          <w:highlight w:val="none"/>
          <w:lang w:bidi="en-US"/>
        </w:rPr>
      </w:pPr>
      <w:r>
        <w:rPr>
          <w:rFonts w:hint="eastAsia" w:eastAsia="方正仿宋_GBK" w:cs="方正仿宋_GBK"/>
          <w:color w:val="auto"/>
          <w:kern w:val="0"/>
          <w:sz w:val="32"/>
          <w:szCs w:val="32"/>
          <w:highlight w:val="none"/>
          <w:lang w:bidi="en-US"/>
        </w:rPr>
        <w:t>主管部门：中共叶城县委办公室（本级）</w:t>
      </w:r>
    </w:p>
    <w:p>
      <w:pPr>
        <w:spacing w:line="560" w:lineRule="exact"/>
        <w:ind w:firstLine="1411" w:firstLineChars="441"/>
        <w:jc w:val="left"/>
        <w:rPr>
          <w:rFonts w:eastAsia="方正仿宋_GBK" w:cs="方正仿宋_GBK"/>
          <w:color w:val="auto"/>
          <w:kern w:val="0"/>
          <w:sz w:val="32"/>
          <w:szCs w:val="32"/>
          <w:highlight w:val="none"/>
          <w:lang w:bidi="en-US"/>
        </w:rPr>
      </w:pPr>
      <w:r>
        <w:rPr>
          <w:rFonts w:hint="eastAsia" w:eastAsia="方正仿宋_GBK" w:cs="方正仿宋_GBK"/>
          <w:color w:val="auto"/>
          <w:kern w:val="0"/>
          <w:sz w:val="32"/>
          <w:szCs w:val="32"/>
          <w:highlight w:val="none"/>
          <w:lang w:bidi="en-US"/>
        </w:rPr>
        <w:t>项目负责人：谭钦利</w:t>
      </w:r>
    </w:p>
    <w:p>
      <w:pPr>
        <w:spacing w:line="560" w:lineRule="exact"/>
        <w:ind w:firstLine="1411" w:firstLineChars="441"/>
        <w:jc w:val="left"/>
        <w:rPr>
          <w:rFonts w:eastAsia="方正仿宋_GBK" w:cs="方正仿宋_GBK"/>
          <w:color w:val="auto"/>
          <w:kern w:val="0"/>
          <w:sz w:val="32"/>
          <w:szCs w:val="32"/>
          <w:highlight w:val="none"/>
          <w:lang w:bidi="en-US"/>
        </w:rPr>
      </w:pPr>
      <w:r>
        <w:rPr>
          <w:rFonts w:hint="eastAsia" w:eastAsia="方正仿宋_GBK" w:cs="方正仿宋_GBK"/>
          <w:color w:val="auto"/>
          <w:kern w:val="0"/>
          <w:sz w:val="32"/>
          <w:szCs w:val="32"/>
          <w:highlight w:val="none"/>
          <w:lang w:bidi="en-US"/>
        </w:rPr>
        <w:t>填报时间：202</w:t>
      </w:r>
      <w:r>
        <w:rPr>
          <w:rFonts w:hint="eastAsia" w:eastAsia="方正仿宋_GBK" w:cs="方正仿宋_GBK"/>
          <w:color w:val="auto"/>
          <w:kern w:val="0"/>
          <w:sz w:val="32"/>
          <w:szCs w:val="32"/>
          <w:highlight w:val="none"/>
          <w:lang w:val="en-US" w:eastAsia="zh-CN" w:bidi="en-US"/>
        </w:rPr>
        <w:t>3</w:t>
      </w:r>
      <w:r>
        <w:rPr>
          <w:rFonts w:hint="eastAsia" w:eastAsia="方正仿宋_GBK" w:cs="方正仿宋_GBK"/>
          <w:color w:val="auto"/>
          <w:kern w:val="0"/>
          <w:sz w:val="32"/>
          <w:szCs w:val="32"/>
          <w:highlight w:val="none"/>
          <w:lang w:bidi="en-US"/>
        </w:rPr>
        <w:t xml:space="preserve">年 1 月 </w:t>
      </w:r>
      <w:r>
        <w:rPr>
          <w:rFonts w:hint="eastAsia" w:eastAsia="方正仿宋_GBK" w:cs="方正仿宋_GBK"/>
          <w:color w:val="auto"/>
          <w:kern w:val="0"/>
          <w:sz w:val="32"/>
          <w:szCs w:val="32"/>
          <w:highlight w:val="none"/>
          <w:lang w:val="en-US" w:eastAsia="zh-CN" w:bidi="en-US"/>
        </w:rPr>
        <w:t>1</w:t>
      </w:r>
      <w:r>
        <w:rPr>
          <w:rFonts w:hint="eastAsia" w:eastAsia="方正仿宋_GBK" w:cs="方正仿宋_GBK"/>
          <w:color w:val="auto"/>
          <w:kern w:val="0"/>
          <w:sz w:val="32"/>
          <w:szCs w:val="32"/>
          <w:highlight w:val="none"/>
          <w:lang w:bidi="en-US"/>
        </w:rPr>
        <w:t>3 日</w:t>
      </w:r>
    </w:p>
    <w:p>
      <w:pPr>
        <w:pStyle w:val="11"/>
        <w:spacing w:line="560" w:lineRule="exact"/>
        <w:ind w:firstLine="880"/>
        <w:rPr>
          <w:rFonts w:eastAsia="方正仿宋_GBK" w:cs="方正仿宋_GBK"/>
          <w:color w:val="auto"/>
          <w:highlight w:val="none"/>
        </w:rPr>
      </w:pPr>
    </w:p>
    <w:p>
      <w:pPr>
        <w:spacing w:line="560" w:lineRule="exact"/>
        <w:ind w:firstLine="0" w:firstLineChars="0"/>
        <w:rPr>
          <w:rFonts w:eastAsia="方正仿宋_GBK" w:cs="方正仿宋_GBK"/>
          <w:b/>
          <w:color w:val="auto"/>
          <w:kern w:val="0"/>
          <w:sz w:val="32"/>
          <w:szCs w:val="32"/>
          <w:highlight w:val="none"/>
          <w:lang w:bidi="en-US"/>
        </w:rPr>
      </w:pPr>
    </w:p>
    <w:p>
      <w:pPr>
        <w:pStyle w:val="3"/>
        <w:spacing w:before="0" w:after="0" w:line="560" w:lineRule="exact"/>
        <w:ind w:firstLine="640"/>
        <w:rPr>
          <w:rFonts w:ascii="方正黑体_GBK" w:hAnsi="方正黑体_GBK" w:eastAsia="方正黑体_GBK" w:cs="方正黑体_GBK"/>
          <w:color w:val="auto"/>
          <w:highlight w:val="none"/>
        </w:rPr>
      </w:pPr>
      <w:bookmarkStart w:id="0" w:name="_Toc68364657"/>
      <w:r>
        <w:rPr>
          <w:rFonts w:hint="eastAsia" w:ascii="方正黑体_GBK" w:hAnsi="方正黑体_GBK" w:eastAsia="方正黑体_GBK" w:cs="方正黑体_GBK"/>
          <w:color w:val="auto"/>
          <w:highlight w:val="none"/>
        </w:rPr>
        <w:t>一、基本情况</w:t>
      </w:r>
      <w:bookmarkEnd w:id="0"/>
    </w:p>
    <w:p>
      <w:pPr>
        <w:pStyle w:val="51"/>
        <w:spacing w:line="560" w:lineRule="exact"/>
        <w:ind w:left="560"/>
        <w:rPr>
          <w:rFonts w:ascii="方正楷体_GBK" w:hAnsi="方正楷体_GBK" w:eastAsia="方正楷体_GBK" w:cs="方正楷体_GBK"/>
          <w:color w:val="auto"/>
          <w:sz w:val="32"/>
          <w:highlight w:val="none"/>
        </w:rPr>
      </w:pPr>
      <w:bookmarkStart w:id="1" w:name="_Toc68364658"/>
      <w:r>
        <w:rPr>
          <w:rFonts w:hint="eastAsia" w:ascii="方正楷体_GBK" w:hAnsi="方正楷体_GBK" w:eastAsia="方正楷体_GBK" w:cs="方正楷体_GBK"/>
          <w:color w:val="auto"/>
          <w:sz w:val="32"/>
          <w:highlight w:val="none"/>
        </w:rPr>
        <w:t>（一）项目概况</w:t>
      </w:r>
      <w:bookmarkEnd w:id="1"/>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1. 项目背景</w:t>
      </w:r>
    </w:p>
    <w:p>
      <w:pPr>
        <w:pStyle w:val="33"/>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本项目遵循财政部《项目支出绩效评价管理办法》（财预〔2020〕10号）和自治区财政厅《自治区财政支出绩效评价管理暂行办法》（新财预〔2018〕189号）等相关政策文件与规定，旨在进一步推进办公信息化进程，规范电子政务运行及管理，加强信息保密安全工作，保证上下信息渠道畅通，及时收发相关文件，了解地区下发文件精神，建立电子政务网并实行专人管理，维护</w:t>
      </w:r>
      <w:bookmarkStart w:id="22" w:name="_GoBack"/>
      <w:bookmarkEnd w:id="22"/>
      <w:r>
        <w:rPr>
          <w:rFonts w:hint="eastAsia" w:eastAsia="方正仿宋_GBK" w:cs="方正仿宋_GBK"/>
          <w:color w:val="auto"/>
          <w:sz w:val="32"/>
          <w:szCs w:val="32"/>
          <w:highlight w:val="none"/>
        </w:rPr>
        <w:t>网系统，确保电子政务网畅通。</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2. 主要内容及实施情况</w:t>
      </w:r>
    </w:p>
    <w:p>
      <w:pPr>
        <w:pStyle w:val="33"/>
        <w:spacing w:line="560" w:lineRule="exact"/>
        <w:ind w:firstLine="640"/>
        <w:outlineLvl w:val="2"/>
        <w:rPr>
          <w:rFonts w:hint="eastAsia" w:eastAsia="方正仿宋_GBK" w:cs="方正仿宋_GBK"/>
          <w:color w:val="auto"/>
          <w:sz w:val="32"/>
          <w:szCs w:val="32"/>
          <w:highlight w:val="none"/>
          <w:lang w:val="en-US" w:eastAsia="zh-CN"/>
        </w:rPr>
      </w:pPr>
      <w:r>
        <w:rPr>
          <w:rFonts w:hint="eastAsia" w:eastAsia="方正仿宋_GBK" w:cs="方正仿宋_GBK"/>
          <w:color w:val="auto"/>
          <w:sz w:val="32"/>
          <w:szCs w:val="32"/>
          <w:highlight w:val="none"/>
          <w:lang w:val="en-US" w:eastAsia="zh-CN"/>
        </w:rPr>
        <w:t>主要内容不予公开。</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3.项目实施主体</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lang w:bidi="en-US"/>
        </w:rPr>
        <w:t>中共叶城县委办公室</w:t>
      </w:r>
      <w:r>
        <w:rPr>
          <w:rFonts w:hint="eastAsia" w:eastAsia="方正仿宋_GBK" w:cs="方正仿宋_GBK"/>
          <w:color w:val="auto"/>
          <w:sz w:val="32"/>
          <w:szCs w:val="32"/>
          <w:highlight w:val="none"/>
        </w:rPr>
        <w:t>为行政单位，纳入202</w:t>
      </w:r>
      <w:r>
        <w:rPr>
          <w:rFonts w:hint="eastAsia" w:eastAsia="方正仿宋_GBK" w:cs="方正仿宋_GBK"/>
          <w:color w:val="auto"/>
          <w:sz w:val="32"/>
          <w:szCs w:val="32"/>
          <w:highlight w:val="none"/>
          <w:lang w:val="en-US" w:eastAsia="zh-CN"/>
        </w:rPr>
        <w:t>2</w:t>
      </w:r>
      <w:r>
        <w:rPr>
          <w:rFonts w:hint="eastAsia" w:eastAsia="方正仿宋_GBK" w:cs="方正仿宋_GBK"/>
          <w:color w:val="auto"/>
          <w:sz w:val="32"/>
          <w:szCs w:val="32"/>
          <w:highlight w:val="none"/>
        </w:rPr>
        <w:t>年部门决算编制范围的有4个办公室：办公室、翻译中心、信息化管理办公室、国安办。</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编制人数42人，其中：行政人员编制18人、工勤13人、参公6人、事业编制5人。实有在职人数44人，其中：行政在职12人、工勤9人、参公5人、事业在职5人。离退休人员13人，其中：行政退休人员13人、事业退休0人。</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4. 资金投入和使用情况</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lang w:bidi="en-US"/>
        </w:rPr>
        <w:t>中共叶城县委办公室</w:t>
      </w:r>
      <w:r>
        <w:rPr>
          <w:rFonts w:hint="eastAsia" w:eastAsia="方正仿宋_GBK" w:cs="方正仿宋_GBK"/>
          <w:color w:val="auto"/>
          <w:sz w:val="32"/>
          <w:szCs w:val="32"/>
          <w:highlight w:val="none"/>
        </w:rPr>
        <w:t>【2020】16号共安排下达资金680.53万元，为一般公共预算资金，最终确定项目资金总数为382.88万元。</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截至2022年12月31日，实际支出382.88万元，预算执行率100%。</w:t>
      </w:r>
    </w:p>
    <w:p>
      <w:pPr>
        <w:pStyle w:val="51"/>
        <w:spacing w:line="560" w:lineRule="exact"/>
        <w:ind w:left="560"/>
        <w:rPr>
          <w:rFonts w:ascii="方正楷体_GBK" w:hAnsi="方正楷体_GBK" w:eastAsia="方正楷体_GBK" w:cs="方正楷体_GBK"/>
          <w:color w:val="auto"/>
          <w:sz w:val="32"/>
          <w:highlight w:val="none"/>
        </w:rPr>
      </w:pPr>
      <w:bookmarkStart w:id="2" w:name="_Toc68364659"/>
      <w:r>
        <w:rPr>
          <w:rFonts w:hint="eastAsia" w:ascii="方正楷体_GBK" w:hAnsi="方正楷体_GBK" w:eastAsia="方正楷体_GBK" w:cs="方正楷体_GBK"/>
          <w:color w:val="auto"/>
          <w:sz w:val="32"/>
          <w:highlight w:val="none"/>
        </w:rPr>
        <w:t>（二）项目绩效目标</w:t>
      </w:r>
      <w:bookmarkEnd w:id="2"/>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项目绩效目标包括项目绩效总目标和阶段性目标。</w:t>
      </w:r>
    </w:p>
    <w:p>
      <w:pPr>
        <w:pStyle w:val="33"/>
        <w:spacing w:line="560" w:lineRule="exact"/>
        <w:ind w:firstLine="640"/>
        <w:outlineLvl w:val="2"/>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1.项目绩效总目标</w:t>
      </w:r>
    </w:p>
    <w:p>
      <w:pPr>
        <w:pStyle w:val="33"/>
        <w:spacing w:line="560" w:lineRule="exact"/>
        <w:ind w:firstLine="640"/>
        <w:rPr>
          <w:rFonts w:eastAsia="方正仿宋_GBK" w:cs="方正仿宋_GBK"/>
          <w:b/>
          <w:bCs/>
          <w:color w:val="auto"/>
          <w:sz w:val="32"/>
          <w:szCs w:val="32"/>
          <w:highlight w:val="none"/>
        </w:rPr>
      </w:pPr>
      <w:r>
        <w:rPr>
          <w:rFonts w:hint="eastAsia" w:eastAsia="方正仿宋_GBK" w:cs="方正仿宋_GBK"/>
          <w:color w:val="auto"/>
          <w:sz w:val="32"/>
          <w:szCs w:val="32"/>
          <w:highlight w:val="none"/>
        </w:rPr>
        <w:t>进一步推进办公信息化进程，规范电子政务运行及管理，加强信息保密安全工作，保证上下信息渠道畅通，及时收发相关文件，了解地区下发文件精神，建立电子政务网并实行专人管理，维护网系统，确保电子政务网畅通。</w:t>
      </w:r>
    </w:p>
    <w:p>
      <w:pPr>
        <w:pStyle w:val="33"/>
        <w:spacing w:line="560" w:lineRule="exact"/>
        <w:ind w:firstLine="640"/>
        <w:outlineLvl w:val="2"/>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2.阶段性目标</w:t>
      </w:r>
    </w:p>
    <w:p>
      <w:pPr>
        <w:pStyle w:val="10"/>
        <w:spacing w:line="560" w:lineRule="exact"/>
        <w:ind w:firstLine="640"/>
        <w:rPr>
          <w:rFonts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color w:val="auto"/>
          <w:sz w:val="32"/>
          <w:szCs w:val="32"/>
          <w:highlight w:val="none"/>
        </w:rPr>
        <w:t>项目前期本单位召开党委会议，会议研究决定张波同志负责，分管领导抓落实，办公室责任科室，负责承担政务网日常工作的运行机制，确立网络维护，应用操作人员完善电子政务网的链接，确保单位物理网络安全畅通，设备完好。</w:t>
      </w:r>
    </w:p>
    <w:p>
      <w:pPr>
        <w:pStyle w:val="3"/>
        <w:spacing w:before="0" w:after="0" w:line="560" w:lineRule="exact"/>
        <w:ind w:firstLine="640"/>
        <w:rPr>
          <w:rFonts w:ascii="方正黑体_GBK" w:hAnsi="方正黑体_GBK" w:eastAsia="方正黑体_GBK" w:cs="方正黑体_GBK"/>
          <w:color w:val="auto"/>
          <w:highlight w:val="none"/>
        </w:rPr>
      </w:pPr>
      <w:bookmarkStart w:id="3" w:name="_Toc68364660"/>
      <w:r>
        <w:rPr>
          <w:rFonts w:hint="eastAsia" w:ascii="方正黑体_GBK" w:hAnsi="方正黑体_GBK" w:eastAsia="方正黑体_GBK" w:cs="方正黑体_GBK"/>
          <w:color w:val="auto"/>
          <w:highlight w:val="none"/>
        </w:rPr>
        <w:t>二、绩效评价工作开展情况</w:t>
      </w:r>
      <w:bookmarkEnd w:id="3"/>
    </w:p>
    <w:p>
      <w:pPr>
        <w:pStyle w:val="51"/>
        <w:spacing w:line="560" w:lineRule="exact"/>
        <w:ind w:left="560"/>
        <w:rPr>
          <w:rFonts w:ascii="方正楷体_GBK" w:hAnsi="方正楷体_GBK" w:eastAsia="方正楷体_GBK" w:cs="方正楷体_GBK"/>
          <w:color w:val="auto"/>
          <w:sz w:val="32"/>
          <w:highlight w:val="none"/>
        </w:rPr>
      </w:pPr>
      <w:bookmarkStart w:id="4" w:name="_Toc68364661"/>
      <w:r>
        <w:rPr>
          <w:rFonts w:hint="eastAsia" w:ascii="方正楷体_GBK" w:hAnsi="方正楷体_GBK" w:eastAsia="方正楷体_GBK" w:cs="方正楷体_GBK"/>
          <w:color w:val="auto"/>
          <w:sz w:val="32"/>
          <w:highlight w:val="none"/>
        </w:rPr>
        <w:t>（一）绩效评价目的、对象和范围</w:t>
      </w:r>
      <w:bookmarkEnd w:id="4"/>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1. 绩效评价目的</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2. 绩效评价对象</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3. 绩效评价范围</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本次评价范围涵盖项目总体绩效目标、各项绩效指标完成情况以及预算执行情况。</w:t>
      </w:r>
      <w:bookmarkStart w:id="5" w:name="_Toc68364662"/>
      <w:r>
        <w:rPr>
          <w:rFonts w:hint="eastAsia" w:eastAsia="方正仿宋_GBK" w:cs="方正仿宋_GBK"/>
          <w:color w:val="auto"/>
          <w:sz w:val="32"/>
          <w:szCs w:val="32"/>
          <w:highlight w:val="none"/>
        </w:rPr>
        <w:t>覆盖项目预算资金支出的所有内容进行评价。包括项目决策、项目实施和项目成果验收流程等。</w:t>
      </w:r>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（二）绩效评价原则、评价指标体系、评价方法评价标准</w:t>
      </w:r>
      <w:bookmarkEnd w:id="5"/>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1. 绩效评价原则</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本次绩效评价遵循的原则包括：</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（1）科学公正。绩效评价应当运用科学合理的方法，按照规范的程序，对项目绩效进行客观、公正的反映。</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（3）激励约束。绩效评价结果应与预算安排、政策调整、改进管理实质性挂钩，体现奖优罚劣和激励相容导向，有效要安排、低效要压减、无效要问责。</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（4）公开透明。绩效评价结果应依法依规公开，并自觉接受社会监督。</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2. 绩效评价指标体系</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项目绩效评价体系为根据财预﹝2020﹞10号共性指标及个性化指标设置，主要分为共性指标和个性指标两大类。共性指标下设决策与过程3个一级指标，其中：项目决策下设项目立项、绩效目标、资金投入4个二级指标；过程下设资金管理和组织实施3个二级指标。个性指标下设产出和效益2个一级指标，其中产出下设产出数量、产出质量、产出时效、产出成本4个2级指标，效益下设项目效益2个二级指标。项目绩效评价体系详见附件1。</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3. 绩效评价方法</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本次绩效评价方法的选用坚持简便有效的原则采用综合分析法。</w:t>
      </w:r>
    </w:p>
    <w:p>
      <w:pPr>
        <w:pStyle w:val="33"/>
        <w:spacing w:line="560" w:lineRule="exact"/>
        <w:ind w:firstLine="640"/>
        <w:outlineLvl w:val="2"/>
        <w:rPr>
          <w:rFonts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4. 绩效评价标准</w:t>
      </w:r>
    </w:p>
    <w:p>
      <w:pPr>
        <w:spacing w:line="560" w:lineRule="exact"/>
        <w:ind w:firstLine="640"/>
        <w:rPr>
          <w:rFonts w:eastAsia="方正仿宋_GBK" w:cs="方正仿宋_GBK"/>
          <w:color w:val="auto"/>
          <w:sz w:val="32"/>
          <w:szCs w:val="32"/>
          <w:highlight w:val="none"/>
        </w:rPr>
      </w:pPr>
      <w:bookmarkStart w:id="6" w:name="_Toc68364663"/>
      <w:r>
        <w:rPr>
          <w:rFonts w:hint="eastAsia" w:eastAsia="方正仿宋_GBK" w:cs="方正仿宋_GBK"/>
          <w:color w:val="auto"/>
          <w:sz w:val="32"/>
          <w:szCs w:val="32"/>
          <w:highlight w:val="none"/>
        </w:rPr>
        <w:t>绩效评价标准通常包括计划标准、行业标准、历史标准等，用于对绩效指标完成情况进行比较、分析、评价。本次评价主要采用了</w:t>
      </w:r>
      <w:r>
        <w:rPr>
          <w:rFonts w:hint="eastAsia" w:eastAsia="方正仿宋_GBK" w:cs="方正仿宋_GBK"/>
          <w:color w:val="auto"/>
          <w:sz w:val="32"/>
          <w:szCs w:val="32"/>
          <w:highlight w:val="none"/>
          <w:lang w:val="en-US" w:eastAsia="zh-CN"/>
        </w:rPr>
        <w:t>计划</w:t>
      </w:r>
      <w:r>
        <w:rPr>
          <w:rFonts w:hint="eastAsia" w:eastAsia="方正仿宋_GBK" w:cs="方正仿宋_GBK"/>
          <w:color w:val="auto"/>
          <w:sz w:val="32"/>
          <w:szCs w:val="32"/>
          <w:highlight w:val="none"/>
        </w:rPr>
        <w:t>标准。</w:t>
      </w:r>
    </w:p>
    <w:p>
      <w:pPr>
        <w:spacing w:line="560" w:lineRule="exact"/>
        <w:ind w:firstLine="640"/>
        <w:rPr>
          <w:rFonts w:eastAsia="方正仿宋_GBK" w:cs="方正仿宋_GBK"/>
          <w:color w:val="auto"/>
          <w:sz w:val="32"/>
          <w:szCs w:val="32"/>
          <w:highlight w:val="none"/>
        </w:rPr>
      </w:pPr>
      <w:bookmarkStart w:id="7" w:name="_Toc31464"/>
      <w:bookmarkStart w:id="8" w:name="_Toc17882"/>
      <w:r>
        <w:rPr>
          <w:rFonts w:hint="eastAsia" w:eastAsia="方正仿宋_GBK" w:cs="方正仿宋_GBK"/>
          <w:b/>
          <w:bCs/>
          <w:color w:val="auto"/>
          <w:sz w:val="32"/>
          <w:szCs w:val="32"/>
          <w:highlight w:val="none"/>
        </w:rPr>
        <w:t>计划标准：</w:t>
      </w:r>
      <w:r>
        <w:rPr>
          <w:rFonts w:hint="eastAsia" w:eastAsia="方正仿宋_GBK" w:cs="方正仿宋_GBK"/>
          <w:color w:val="auto"/>
          <w:sz w:val="32"/>
          <w:szCs w:val="32"/>
          <w:highlight w:val="none"/>
        </w:rPr>
        <w:t>指以预先制定的目标、计划、预算、定额等作为评价标准。</w:t>
      </w:r>
      <w:bookmarkEnd w:id="7"/>
      <w:bookmarkEnd w:id="8"/>
    </w:p>
    <w:p>
      <w:pPr>
        <w:spacing w:line="560" w:lineRule="exact"/>
        <w:ind w:firstLine="640"/>
        <w:rPr>
          <w:rFonts w:eastAsia="方正仿宋_GBK" w:cs="方正仿宋_GBK"/>
          <w:color w:val="auto"/>
          <w:sz w:val="32"/>
          <w:szCs w:val="32"/>
          <w:highlight w:val="none"/>
        </w:rPr>
      </w:pPr>
      <w:bookmarkStart w:id="9" w:name="_Toc2318"/>
      <w:bookmarkStart w:id="10" w:name="_Toc5633"/>
      <w:r>
        <w:rPr>
          <w:rFonts w:hint="eastAsia" w:eastAsia="方正仿宋_GBK" w:cs="方正仿宋_GBK"/>
          <w:b/>
          <w:bCs/>
          <w:color w:val="auto"/>
          <w:sz w:val="32"/>
          <w:szCs w:val="32"/>
          <w:highlight w:val="none"/>
        </w:rPr>
        <w:t>行业标准：</w:t>
      </w:r>
      <w:r>
        <w:rPr>
          <w:rFonts w:hint="eastAsia" w:eastAsia="方正仿宋_GBK" w:cs="方正仿宋_GBK"/>
          <w:color w:val="auto"/>
          <w:sz w:val="32"/>
          <w:szCs w:val="32"/>
          <w:highlight w:val="none"/>
        </w:rPr>
        <w:t>指参照国家公布的行业指标数据制定的评价标准。</w:t>
      </w:r>
      <w:bookmarkEnd w:id="9"/>
      <w:bookmarkEnd w:id="10"/>
    </w:p>
    <w:p>
      <w:pPr>
        <w:spacing w:line="560" w:lineRule="exact"/>
        <w:ind w:firstLine="640"/>
        <w:rPr>
          <w:rFonts w:eastAsia="方正仿宋_GBK" w:cs="方正仿宋_GBK"/>
          <w:color w:val="auto"/>
          <w:sz w:val="32"/>
          <w:szCs w:val="32"/>
          <w:highlight w:val="none"/>
        </w:rPr>
      </w:pPr>
      <w:bookmarkStart w:id="11" w:name="_Toc16028"/>
      <w:bookmarkStart w:id="12" w:name="_Toc430"/>
      <w:r>
        <w:rPr>
          <w:rFonts w:hint="eastAsia" w:eastAsia="方正仿宋_GBK" w:cs="方正仿宋_GBK"/>
          <w:b/>
          <w:bCs/>
          <w:color w:val="auto"/>
          <w:sz w:val="32"/>
          <w:szCs w:val="32"/>
          <w:highlight w:val="none"/>
        </w:rPr>
        <w:t>历史标准：</w:t>
      </w:r>
      <w:r>
        <w:rPr>
          <w:rFonts w:hint="eastAsia" w:eastAsia="方正仿宋_GBK" w:cs="方正仿宋_GBK"/>
          <w:color w:val="auto"/>
          <w:sz w:val="32"/>
          <w:szCs w:val="32"/>
          <w:highlight w:val="none"/>
        </w:rPr>
        <w:t>指参照历史数据制定的评价标准，为体现绩效改进的原则，在可实现的条件下应当确定相对较高的评价标准。</w:t>
      </w:r>
      <w:bookmarkEnd w:id="11"/>
      <w:bookmarkEnd w:id="12"/>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（三）绩效评价工作过程</w:t>
      </w:r>
      <w:bookmarkEnd w:id="6"/>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本次评价成立了评价工作组，成员如下：</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第一阶段：前期准备。认真学习相关要求与规定，成立绩效评价工作组，作为绩效评价工作具体实施机构。成员构成如下：</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张波任评价组组长，绩效评价工作职责为负责全盘工作。</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谭钦利任评价组副组长，绩效评价工作职责为为对项目实施情况进行实地调查。</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马莉任评价组成员，绩效评价工作职责为负责资料审核等工作。</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第二阶段：组织实施。经评价组通过实地调研、查阅资料等方式，采用综合分析法对项目的决策、管理、绩效进行的综合评价分析。</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pStyle w:val="3"/>
        <w:spacing w:before="0" w:after="0" w:line="560" w:lineRule="exact"/>
        <w:ind w:firstLine="640"/>
        <w:rPr>
          <w:rFonts w:ascii="方正黑体_GBK" w:hAnsi="方正黑体_GBK" w:eastAsia="方正黑体_GBK" w:cs="方正黑体_GBK"/>
          <w:color w:val="auto"/>
          <w:highlight w:val="none"/>
        </w:rPr>
      </w:pPr>
      <w:bookmarkStart w:id="13" w:name="_Toc68364664"/>
      <w:r>
        <w:rPr>
          <w:rFonts w:hint="eastAsia" w:ascii="方正黑体_GBK" w:hAnsi="方正黑体_GBK" w:eastAsia="方正黑体_GBK" w:cs="方正黑体_GBK"/>
          <w:color w:val="auto"/>
          <w:highlight w:val="none"/>
        </w:rPr>
        <w:t>三、综合评价情况及评价结论</w:t>
      </w:r>
      <w:bookmarkEnd w:id="13"/>
    </w:p>
    <w:p>
      <w:pPr>
        <w:pStyle w:val="51"/>
        <w:spacing w:line="560" w:lineRule="exact"/>
        <w:ind w:left="560"/>
        <w:rPr>
          <w:rFonts w:ascii="方正楷体_GBK" w:hAnsi="方正楷体_GBK" w:eastAsia="方正楷体_GBK" w:cs="方正楷体_GBK"/>
          <w:color w:val="auto"/>
          <w:sz w:val="32"/>
          <w:highlight w:val="none"/>
        </w:rPr>
      </w:pPr>
      <w:bookmarkStart w:id="14" w:name="_Toc68364665"/>
      <w:r>
        <w:rPr>
          <w:rFonts w:hint="eastAsia" w:ascii="方正楷体_GBK" w:hAnsi="方正楷体_GBK" w:eastAsia="方正楷体_GBK" w:cs="方正楷体_GBK"/>
          <w:color w:val="auto"/>
          <w:sz w:val="32"/>
          <w:highlight w:val="none"/>
        </w:rPr>
        <w:t>（一）综合评价情况</w:t>
      </w:r>
      <w:bookmarkEnd w:id="14"/>
    </w:p>
    <w:p>
      <w:pPr>
        <w:spacing w:line="560" w:lineRule="exact"/>
        <w:ind w:firstLine="640"/>
        <w:rPr>
          <w:rFonts w:eastAsia="方正仿宋_GBK" w:cs="方正仿宋_GBK"/>
          <w:color w:val="auto"/>
          <w:sz w:val="32"/>
          <w:szCs w:val="32"/>
          <w:highlight w:val="none"/>
        </w:rPr>
      </w:pPr>
      <w:bookmarkStart w:id="15" w:name="_Toc68364666"/>
      <w:r>
        <w:rPr>
          <w:rFonts w:hint="eastAsia" w:eastAsia="方正仿宋_GBK" w:cs="方正仿宋_GBK"/>
          <w:color w:val="auto"/>
          <w:sz w:val="32"/>
          <w:szCs w:val="32"/>
          <w:highlight w:val="none"/>
        </w:rPr>
        <w:t>经评价组通过实地调研、综合分析法、</w:t>
      </w:r>
      <w:r>
        <w:rPr>
          <w:rFonts w:hint="eastAsia" w:ascii="仿宋_GB2312" w:hAnsi="仿宋" w:cs="宋体"/>
          <w:color w:val="auto"/>
          <w:sz w:val="32"/>
          <w:szCs w:val="32"/>
          <w:highlight w:val="none"/>
        </w:rPr>
        <w:t>问卷调查法</w:t>
      </w:r>
      <w:r>
        <w:rPr>
          <w:rFonts w:hint="eastAsia" w:eastAsia="方正仿宋_GBK" w:cs="方正仿宋_GBK"/>
          <w:color w:val="auto"/>
          <w:sz w:val="32"/>
          <w:szCs w:val="32"/>
          <w:highlight w:val="none"/>
        </w:rPr>
        <w:t>等方式，主要采用综合分析法对项目的决策、实施、产出、效益进行综合评价分析，最终评分100分。</w:t>
      </w:r>
    </w:p>
    <w:p>
      <w:pPr>
        <w:spacing w:line="560" w:lineRule="exact"/>
        <w:ind w:firstLine="640"/>
        <w:jc w:val="center"/>
        <w:rPr>
          <w:rFonts w:eastAsia="方正仿宋_GBK" w:cs="方正仿宋_GBK"/>
          <w:color w:val="auto"/>
          <w:sz w:val="32"/>
          <w:szCs w:val="32"/>
          <w:highlight w:val="none"/>
        </w:rPr>
      </w:pPr>
      <w:r>
        <w:rPr>
          <w:rFonts w:hint="eastAsia" w:eastAsia="方正仿宋_GBK" w:cs="方正仿宋_GBK"/>
          <w:color w:val="auto"/>
          <w:sz w:val="32"/>
          <w:szCs w:val="32"/>
          <w:highlight w:val="none"/>
        </w:rPr>
        <w:t>采购电子网相关设备项目得分情况表</w:t>
      </w:r>
    </w:p>
    <w:tbl>
      <w:tblPr>
        <w:tblStyle w:val="25"/>
        <w:tblW w:w="0" w:type="auto"/>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权重</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得分率</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项目决策</w:t>
            </w:r>
          </w:p>
        </w:tc>
        <w:tc>
          <w:tcPr>
            <w:tcW w:w="1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项目过程</w:t>
            </w:r>
          </w:p>
        </w:tc>
        <w:tc>
          <w:tcPr>
            <w:tcW w:w="1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项目产出</w:t>
            </w:r>
          </w:p>
        </w:tc>
        <w:tc>
          <w:tcPr>
            <w:tcW w:w="1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40</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40</w:t>
            </w:r>
          </w:p>
        </w:tc>
      </w:tr>
      <w:tr>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项目效益</w:t>
            </w:r>
          </w:p>
        </w:tc>
        <w:tc>
          <w:tcPr>
            <w:tcW w:w="1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合计</w:t>
            </w:r>
          </w:p>
        </w:tc>
        <w:tc>
          <w:tcPr>
            <w:tcW w:w="1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r>
    </w:tbl>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（二）综合评价结论</w:t>
      </w:r>
    </w:p>
    <w:p>
      <w:pPr>
        <w:adjustRightInd w:val="0"/>
        <w:snapToGrid w:val="0"/>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ind w:firstLine="640"/>
        <w:rPr>
          <w:color w:val="auto"/>
          <w:highlight w:val="none"/>
        </w:rPr>
      </w:pPr>
      <w:r>
        <w:rPr>
          <w:rFonts w:hint="eastAsia" w:eastAsia="方正仿宋_GBK" w:cs="方正仿宋_GBK"/>
          <w:color w:val="auto"/>
          <w:sz w:val="32"/>
          <w:szCs w:val="32"/>
          <w:highlight w:val="none"/>
        </w:rPr>
        <w:t>采购电子政务网项目于2022年6月</w:t>
      </w:r>
      <w:r>
        <w:rPr>
          <w:rFonts w:eastAsia="方正仿宋_GBK" w:cs="方正仿宋_GBK"/>
          <w:color w:val="auto"/>
          <w:sz w:val="32"/>
          <w:szCs w:val="32"/>
          <w:highlight w:val="none"/>
        </w:rPr>
        <w:t>已完成</w:t>
      </w:r>
      <w:r>
        <w:rPr>
          <w:rFonts w:hint="eastAsia" w:eastAsia="方正仿宋_GBK" w:cs="方正仿宋_GBK"/>
          <w:color w:val="auto"/>
          <w:sz w:val="32"/>
          <w:szCs w:val="32"/>
          <w:highlight w:val="none"/>
        </w:rPr>
        <w:t>预期目标，</w:t>
      </w:r>
      <w:bookmarkEnd w:id="15"/>
      <w:bookmarkStart w:id="16" w:name="_Toc68364667"/>
      <w:r>
        <w:rPr>
          <w:rFonts w:hint="eastAsia" w:eastAsia="方正仿宋_GBK" w:cs="方正仿宋_GBK"/>
          <w:color w:val="auto"/>
          <w:sz w:val="32"/>
          <w:szCs w:val="32"/>
          <w:highlight w:val="none"/>
        </w:rPr>
        <w:t>加强信息保密安全工作，保证上下信息渠道畅通，建立电子政务网并实行专人管理，维护系统，确保电子政务网畅通</w:t>
      </w:r>
      <w:r>
        <w:rPr>
          <w:rFonts w:hint="eastAsia" w:ascii="Times New Roman" w:hAnsi="Times New Roman" w:eastAsia="方正仿宋_GBK" w:cs="方正仿宋_GBK"/>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该项目最终评分</w:t>
      </w:r>
      <w:r>
        <w:rPr>
          <w:rFonts w:hint="eastAsia" w:ascii="Times New Roman" w:hAnsi="Times New Roman" w:eastAsia="方正仿宋_GBK" w:cs="方正仿宋_GBK"/>
          <w:color w:val="auto"/>
          <w:sz w:val="32"/>
          <w:szCs w:val="32"/>
          <w:highlight w:val="none"/>
          <w:lang w:val="en-US" w:eastAsia="zh-CN"/>
        </w:rPr>
        <w:t>100</w:t>
      </w:r>
      <w:r>
        <w:rPr>
          <w:rFonts w:hint="eastAsia" w:ascii="Times New Roman" w:hAnsi="Times New Roman" w:eastAsia="方正仿宋_GBK" w:cs="方正仿宋_GBK"/>
          <w:color w:val="auto"/>
          <w:sz w:val="32"/>
          <w:szCs w:val="32"/>
          <w:highlight w:val="none"/>
          <w:lang w:eastAsia="zh-CN"/>
        </w:rPr>
        <w:t>分，绩效评级为“优”。</w:t>
      </w:r>
    </w:p>
    <w:p>
      <w:pPr>
        <w:adjustRightInd w:val="0"/>
        <w:snapToGrid w:val="0"/>
        <w:spacing w:line="560" w:lineRule="exact"/>
        <w:ind w:firstLine="560"/>
        <w:rPr>
          <w:rFonts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四、绩效评价指标分析</w:t>
      </w:r>
      <w:bookmarkEnd w:id="16"/>
    </w:p>
    <w:p>
      <w:pPr>
        <w:pStyle w:val="51"/>
        <w:spacing w:line="560" w:lineRule="exact"/>
        <w:ind w:left="560"/>
        <w:rPr>
          <w:rFonts w:ascii="方正楷体_GBK" w:hAnsi="方正楷体_GBK" w:eastAsia="方正楷体_GBK" w:cs="方正楷体_GBK"/>
          <w:color w:val="auto"/>
          <w:sz w:val="32"/>
          <w:highlight w:val="none"/>
        </w:rPr>
      </w:pPr>
      <w:bookmarkStart w:id="17" w:name="_Toc68364668"/>
      <w:r>
        <w:rPr>
          <w:rFonts w:hint="eastAsia" w:ascii="方正楷体_GBK" w:hAnsi="方正楷体_GBK" w:eastAsia="方正楷体_GBK" w:cs="方正楷体_GBK"/>
          <w:color w:val="auto"/>
          <w:sz w:val="32"/>
          <w:highlight w:val="none"/>
        </w:rPr>
        <w:t>（一）项目决策情况</w:t>
      </w:r>
    </w:p>
    <w:p>
      <w:pPr>
        <w:overflowPunct w:val="0"/>
        <w:spacing w:line="560" w:lineRule="exact"/>
        <w:ind w:firstLine="640"/>
        <w:contextualSpacing/>
        <w:rPr>
          <w:rFonts w:eastAsia="方正仿宋_GBK" w:cs="方正仿宋_GBK"/>
          <w:color w:val="auto"/>
          <w:sz w:val="32"/>
          <w:szCs w:val="32"/>
          <w:highlight w:val="none"/>
        </w:rPr>
      </w:pPr>
      <w:r>
        <w:rPr>
          <w:rFonts w:hint="eastAsia" w:eastAsia="方正仿宋_GBK" w:cs="方正仿宋_GBK"/>
          <w:color w:val="auto"/>
          <w:sz w:val="32"/>
          <w:szCs w:val="32"/>
          <w:highlight w:val="none"/>
        </w:rPr>
        <w:t>项目决策类指标包括项目立项、绩效目标和资金投入三方面的内容，由6个三级指标构成，权重分为 20 分，实际得分20分，得分率为100%。</w:t>
      </w:r>
    </w:p>
    <w:p>
      <w:pPr>
        <w:spacing w:line="560" w:lineRule="exact"/>
        <w:ind w:firstLine="640"/>
        <w:jc w:val="center"/>
        <w:rPr>
          <w:rFonts w:eastAsia="方正仿宋_GBK" w:cs="方正仿宋_GBK"/>
          <w:color w:val="auto"/>
          <w:highlight w:val="none"/>
        </w:rPr>
      </w:pPr>
      <w:r>
        <w:rPr>
          <w:rFonts w:hint="eastAsia" w:eastAsia="方正仿宋_GBK" w:cs="方正仿宋_GBK"/>
          <w:color w:val="auto"/>
          <w:sz w:val="32"/>
          <w:szCs w:val="32"/>
          <w:highlight w:val="none"/>
        </w:rPr>
        <w:t>项目决策指标得分情况</w:t>
      </w:r>
    </w:p>
    <w:tbl>
      <w:tblPr>
        <w:tblStyle w:val="25"/>
        <w:tblW w:w="0" w:type="auto"/>
        <w:tblInd w:w="0" w:type="dxa"/>
        <w:tblLayout w:type="fixed"/>
        <w:tblCellMar>
          <w:top w:w="0" w:type="dxa"/>
          <w:left w:w="0" w:type="dxa"/>
          <w:bottom w:w="0" w:type="dxa"/>
          <w:right w:w="0" w:type="dxa"/>
        </w:tblCellMar>
      </w:tblPr>
      <w:tblGrid>
        <w:gridCol w:w="2215"/>
        <w:gridCol w:w="2215"/>
        <w:gridCol w:w="2216"/>
        <w:gridCol w:w="2218"/>
      </w:tblGrid>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三级指标</w:t>
            </w:r>
          </w:p>
        </w:tc>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权重</w:t>
            </w:r>
          </w:p>
        </w:tc>
        <w:tc>
          <w:tcPr>
            <w:tcW w:w="22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得分率</w:t>
            </w:r>
          </w:p>
        </w:tc>
        <w:tc>
          <w:tcPr>
            <w:tcW w:w="221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实际得分</w:t>
            </w:r>
          </w:p>
        </w:tc>
      </w:tr>
      <w:tr>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r>
      <w:tr>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r>
    </w:tbl>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（1）立项依据充分性：</w:t>
      </w:r>
      <w:r>
        <w:rPr>
          <w:rFonts w:hint="eastAsia" w:eastAsia="方正仿宋_GBK" w:cs="方正仿宋_GBK"/>
          <w:color w:val="auto"/>
          <w:sz w:val="32"/>
          <w:szCs w:val="32"/>
          <w:highlight w:val="none"/>
        </w:rPr>
        <w:t>结合</w:t>
      </w:r>
      <w:r>
        <w:rPr>
          <w:rFonts w:hint="eastAsia" w:eastAsia="方正仿宋_GBK" w:cs="方正仿宋_GBK"/>
          <w:color w:val="auto"/>
          <w:kern w:val="0"/>
          <w:sz w:val="32"/>
          <w:szCs w:val="32"/>
          <w:highlight w:val="none"/>
          <w:lang w:bidi="en-US"/>
        </w:rPr>
        <w:t>中共叶城县委办公室</w:t>
      </w:r>
      <w:r>
        <w:rPr>
          <w:rFonts w:hint="eastAsia" w:eastAsia="方正仿宋_GBK" w:cs="方正仿宋_GBK"/>
          <w:color w:val="auto"/>
          <w:sz w:val="32"/>
          <w:szCs w:val="32"/>
          <w:highlight w:val="none"/>
        </w:rPr>
        <w:t>职责，并组织实施。围绕2022年度工作重点和工作计划制定经费预算，根据评分标准，该指标不扣分，得3分。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（2）立项程序规范性：</w:t>
      </w:r>
      <w:r>
        <w:rPr>
          <w:rFonts w:hint="eastAsia" w:eastAsia="方正仿宋_GBK" w:cs="方正仿宋_GBK"/>
          <w:color w:val="auto"/>
          <w:sz w:val="32"/>
          <w:szCs w:val="32"/>
          <w:highlight w:val="none"/>
        </w:rPr>
        <w:t>根据决策依据编制工作计划和经费预算，经过与</w:t>
      </w:r>
      <w:r>
        <w:rPr>
          <w:rFonts w:hint="eastAsia" w:eastAsia="方正仿宋_GBK" w:cs="方正仿宋_GBK"/>
          <w:color w:val="auto"/>
          <w:kern w:val="0"/>
          <w:sz w:val="32"/>
          <w:szCs w:val="32"/>
          <w:highlight w:val="none"/>
          <w:lang w:bidi="en-US"/>
        </w:rPr>
        <w:t>中共叶城县委办公室</w:t>
      </w:r>
      <w:r>
        <w:rPr>
          <w:rFonts w:hint="eastAsia" w:eastAsia="方正仿宋_GBK" w:cs="方正仿宋_GBK"/>
          <w:color w:val="auto"/>
          <w:sz w:val="32"/>
          <w:szCs w:val="32"/>
          <w:highlight w:val="none"/>
        </w:rPr>
        <w:t>分管领导进行沟通、筛选确定经费预算计划，上党委会研究确定最终预算方案，根据评分标准，该指标不扣分，得2分。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（3）绩效目标合理性</w:t>
      </w:r>
      <w:r>
        <w:rPr>
          <w:rFonts w:hint="eastAsia" w:eastAsia="方正仿宋_GBK" w:cs="方正仿宋_GBK"/>
          <w:color w:val="auto"/>
          <w:sz w:val="32"/>
          <w:szCs w:val="32"/>
          <w:highlight w:val="none"/>
        </w:rPr>
        <w:t>：制定了实施方案，明确了总体思路及目标、并对任务进行了详细分解，对目标进行了细化，根据评分标准，该指标不扣分，得3分。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（4）绩效指标明确性：</w:t>
      </w:r>
      <w:r>
        <w:rPr>
          <w:rFonts w:hint="eastAsia" w:eastAsia="方正仿宋_GBK" w:cs="方正仿宋_GBK"/>
          <w:color w:val="auto"/>
          <w:sz w:val="32"/>
          <w:szCs w:val="32"/>
          <w:highlight w:val="none"/>
        </w:rPr>
        <w:t xml:space="preserve"> 将项目绩效目标细化分解为具体的绩效指标，根据评分标准，该指标不扣分，得2分。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（5）预算编制科学性：</w:t>
      </w:r>
      <w:r>
        <w:rPr>
          <w:rFonts w:hint="eastAsia" w:eastAsia="方正仿宋_GBK" w:cs="方正仿宋_GBK"/>
          <w:color w:val="auto"/>
          <w:sz w:val="32"/>
          <w:szCs w:val="32"/>
          <w:highlight w:val="none"/>
        </w:rPr>
        <w:t xml:space="preserve"> 预算编制经过科学论证，内容与项目内容匹配，项目投资额与工作任务相匹配，根据评分标准，该指标不扣分，得5分。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（6）资金分配合理性：</w:t>
      </w:r>
      <w:r>
        <w:rPr>
          <w:rFonts w:hint="eastAsia" w:eastAsia="方正仿宋_GBK" w:cs="方正仿宋_GBK"/>
          <w:color w:val="auto"/>
          <w:sz w:val="32"/>
          <w:szCs w:val="32"/>
          <w:highlight w:val="none"/>
        </w:rPr>
        <w:t>资金分配与实际相适应，根据评分标准，该指标不扣分，得5分。</w:t>
      </w:r>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（二）项目过程情况</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项目过程类指标包括资金管理和组织实施两方面的内容，由 5个三级指标构成，权重分为20分，实际得分20 分，得分率为100%。</w:t>
      </w:r>
    </w:p>
    <w:p>
      <w:pPr>
        <w:spacing w:line="560" w:lineRule="exact"/>
        <w:ind w:firstLine="640"/>
        <w:jc w:val="center"/>
        <w:rPr>
          <w:rFonts w:eastAsia="方正仿宋_GBK" w:cs="方正仿宋_GBK"/>
          <w:color w:val="auto"/>
          <w:kern w:val="0"/>
          <w:sz w:val="32"/>
          <w:szCs w:val="32"/>
          <w:highlight w:val="none"/>
        </w:rPr>
      </w:pPr>
      <w:r>
        <w:rPr>
          <w:rFonts w:hint="eastAsia" w:eastAsia="方正仿宋_GBK" w:cs="方正仿宋_GBK"/>
          <w:color w:val="auto"/>
          <w:kern w:val="0"/>
          <w:sz w:val="32"/>
          <w:szCs w:val="32"/>
          <w:highlight w:val="none"/>
        </w:rPr>
        <w:t>项目过程指标得分情况</w:t>
      </w:r>
    </w:p>
    <w:tbl>
      <w:tblPr>
        <w:tblStyle w:val="25"/>
        <w:tblW w:w="0" w:type="auto"/>
        <w:tblInd w:w="0" w:type="dxa"/>
        <w:tblLayout w:type="fixed"/>
        <w:tblCellMar>
          <w:top w:w="0" w:type="dxa"/>
          <w:left w:w="0" w:type="dxa"/>
          <w:bottom w:w="0" w:type="dxa"/>
          <w:right w:w="0" w:type="dxa"/>
        </w:tblCellMar>
      </w:tblPr>
      <w:tblGrid>
        <w:gridCol w:w="2532"/>
        <w:gridCol w:w="2110"/>
        <w:gridCol w:w="2110"/>
        <w:gridCol w:w="2111"/>
      </w:tblGrid>
      <w:tr>
        <w:tblPrEx>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三级指标</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权重</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得分率</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实际得分</w:t>
            </w:r>
          </w:p>
        </w:tc>
      </w:tr>
      <w:tr>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r>
      <w:tr>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r>
      <w:tr>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5</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3</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20</w:t>
            </w:r>
          </w:p>
        </w:tc>
      </w:tr>
    </w:tbl>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（1）资金到位率：</w:t>
      </w:r>
      <w:r>
        <w:rPr>
          <w:rFonts w:hint="eastAsia" w:eastAsia="方正仿宋_GBK" w:cs="方正仿宋_GBK"/>
          <w:color w:val="auto"/>
          <w:sz w:val="32"/>
          <w:szCs w:val="32"/>
          <w:highlight w:val="none"/>
        </w:rPr>
        <w:t xml:space="preserve">财政资金足额拨付到位，牵头单位能够及时足额按照合同约定将专项资金拨付给联合体单位，根据评分标准，该指标不扣分，得5分。   </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（2）预算执行率：</w:t>
      </w:r>
      <w:r>
        <w:rPr>
          <w:rFonts w:hint="eastAsia" w:eastAsia="方正仿宋_GBK" w:cs="方正仿宋_GBK"/>
          <w:color w:val="auto"/>
          <w:sz w:val="32"/>
          <w:szCs w:val="32"/>
          <w:highlight w:val="none"/>
        </w:rPr>
        <w:t>预算编制较为详细，项目资金支出总体能够按照预算执行，根据评分标准，该指标不扣分，得5分。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（3）资金使用合规性：</w:t>
      </w:r>
      <w:r>
        <w:rPr>
          <w:rFonts w:hint="eastAsia" w:eastAsia="方正仿宋_GBK" w:cs="方正仿宋_GBK"/>
          <w:color w:val="auto"/>
          <w:sz w:val="32"/>
          <w:szCs w:val="32"/>
          <w:highlight w:val="none"/>
        </w:rPr>
        <w:t>制定了相关的制度和管理规定对经费使用进行规范管理，财务制度健全、执行严格，根据评分标准，该指标不扣分，得5分。</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w:t>
      </w:r>
      <w:r>
        <w:rPr>
          <w:rFonts w:hint="eastAsia" w:eastAsia="方正仿宋_GBK" w:cs="方正仿宋_GBK"/>
          <w:b/>
          <w:bCs/>
          <w:color w:val="auto"/>
          <w:sz w:val="32"/>
          <w:szCs w:val="32"/>
          <w:highlight w:val="none"/>
        </w:rPr>
        <w:t>4）管理制度健全性：</w:t>
      </w:r>
      <w:r>
        <w:rPr>
          <w:rFonts w:hint="eastAsia" w:eastAsia="方正仿宋_GBK" w:cs="方正仿宋_GBK"/>
          <w:color w:val="auto"/>
          <w:sz w:val="32"/>
          <w:szCs w:val="32"/>
          <w:highlight w:val="none"/>
        </w:rPr>
        <w:t>制定了党校相关管理办法，对财政专项资金进行严格管理，基本做到了专款专用，根据评分标准，该指标不扣分，得2分。</w:t>
      </w:r>
    </w:p>
    <w:p>
      <w:pPr>
        <w:spacing w:line="560" w:lineRule="exact"/>
        <w:ind w:firstLine="640"/>
        <w:rPr>
          <w:rFonts w:eastAsia="方正仿宋_GBK" w:cs="方正仿宋_GBK"/>
          <w:color w:val="auto"/>
          <w:sz w:val="32"/>
          <w:szCs w:val="32"/>
          <w:highlight w:val="none"/>
        </w:rPr>
      </w:pPr>
      <w:r>
        <w:rPr>
          <w:rFonts w:hint="eastAsia" w:eastAsia="方正仿宋_GBK" w:cs="方正仿宋_GBK"/>
          <w:b/>
          <w:bCs/>
          <w:color w:val="auto"/>
          <w:sz w:val="32"/>
          <w:szCs w:val="32"/>
          <w:highlight w:val="none"/>
        </w:rPr>
        <w:t>（5）制度执行有效性</w:t>
      </w:r>
      <w:r>
        <w:rPr>
          <w:rFonts w:hint="eastAsia" w:eastAsia="方正仿宋_GBK" w:cs="方正仿宋_GBK"/>
          <w:color w:val="auto"/>
          <w:sz w:val="32"/>
          <w:szCs w:val="32"/>
          <w:highlight w:val="none"/>
        </w:rPr>
        <w:t>：由部门提出经费预算支出可行性方案，经过与县政府分管领导沟通后，报党支部会议研究执行，财务对资金的使用合法合规性进行监督，年底对资金使用效果进行自评，根据评分标准，该指标不扣分，得3分。</w:t>
      </w:r>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（三）项目产出情况</w:t>
      </w:r>
    </w:p>
    <w:p>
      <w:pPr>
        <w:spacing w:line="560" w:lineRule="exact"/>
        <w:ind w:firstLine="640"/>
        <w:rPr>
          <w:rFonts w:eastAsia="方正仿宋_GBK" w:cs="方正仿宋_GBK"/>
          <w:color w:val="auto"/>
          <w:highlight w:val="none"/>
        </w:rPr>
      </w:pPr>
      <w:r>
        <w:rPr>
          <w:rFonts w:hint="eastAsia" w:eastAsia="方正仿宋_GBK" w:cs="方正仿宋_GBK"/>
          <w:color w:val="auto"/>
          <w:sz w:val="32"/>
          <w:szCs w:val="32"/>
          <w:highlight w:val="none"/>
        </w:rPr>
        <w:t>项目产出类指标包括产出数量、产出质量、产出时效、产出成本四方面的内容，由4个三级指标构成，权重分为40分，实际得分40分，得分率为100%。</w:t>
      </w:r>
    </w:p>
    <w:p>
      <w:pPr>
        <w:spacing w:line="560" w:lineRule="exact"/>
        <w:ind w:firstLine="640"/>
        <w:jc w:val="center"/>
        <w:rPr>
          <w:rFonts w:eastAsia="方正仿宋_GBK" w:cs="方正仿宋_GBK"/>
          <w:color w:val="auto"/>
          <w:kern w:val="0"/>
          <w:sz w:val="32"/>
          <w:szCs w:val="32"/>
          <w:highlight w:val="none"/>
        </w:rPr>
      </w:pPr>
      <w:r>
        <w:rPr>
          <w:rFonts w:hint="eastAsia" w:eastAsia="方正仿宋_GBK" w:cs="方正仿宋_GBK"/>
          <w:color w:val="auto"/>
          <w:kern w:val="0"/>
          <w:sz w:val="32"/>
          <w:szCs w:val="32"/>
          <w:highlight w:val="none"/>
        </w:rPr>
        <w:t>项目产出指标得分情况</w:t>
      </w:r>
    </w:p>
    <w:tbl>
      <w:tblPr>
        <w:tblStyle w:val="25"/>
        <w:tblW w:w="0" w:type="auto"/>
        <w:tblInd w:w="0" w:type="dxa"/>
        <w:tblLayout w:type="fixed"/>
        <w:tblCellMar>
          <w:top w:w="0" w:type="dxa"/>
          <w:left w:w="108" w:type="dxa"/>
          <w:bottom w:w="0" w:type="dxa"/>
          <w:right w:w="108" w:type="dxa"/>
        </w:tblCellMar>
      </w:tblPr>
      <w:tblGrid>
        <w:gridCol w:w="3024"/>
        <w:gridCol w:w="1682"/>
        <w:gridCol w:w="2131"/>
        <w:gridCol w:w="1682"/>
      </w:tblGrid>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实际得分</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eastAsia="方正仿宋_GBK" w:cs="方正仿宋_GBK"/>
                <w:color w:val="auto"/>
                <w:highlight w:val="none"/>
              </w:rPr>
            </w:pPr>
            <w:r>
              <w:rPr>
                <w:rFonts w:hint="eastAsia" w:eastAsia="方正仿宋_GBK" w:cs="方正仿宋_GBK"/>
                <w:color w:val="auto"/>
                <w:highlight w:val="none"/>
              </w:rPr>
              <w:t>40</w:t>
            </w:r>
          </w:p>
        </w:tc>
      </w:tr>
    </w:tbl>
    <w:p>
      <w:pPr>
        <w:numPr>
          <w:ilvl w:val="0"/>
          <w:numId w:val="1"/>
        </w:num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对于“产出数量”</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购买电子政务网设备（批），与预期目标一致，根据评分标准，该指标不扣分，得10分。</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合计得10分。</w:t>
      </w:r>
    </w:p>
    <w:p>
      <w:pPr>
        <w:numPr>
          <w:ilvl w:val="0"/>
          <w:numId w:val="1"/>
        </w:num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对于“产出质量”：</w:t>
      </w:r>
    </w:p>
    <w:p>
      <w:pPr>
        <w:spacing w:line="560" w:lineRule="exact"/>
        <w:ind w:firstLine="720" w:firstLineChars="225"/>
        <w:rPr>
          <w:rFonts w:eastAsia="方正仿宋_GBK" w:cs="方正仿宋_GBK"/>
          <w:color w:val="auto"/>
          <w:sz w:val="32"/>
          <w:szCs w:val="32"/>
          <w:highlight w:val="none"/>
        </w:rPr>
      </w:pPr>
      <w:r>
        <w:rPr>
          <w:rFonts w:hint="eastAsia" w:eastAsia="方正仿宋_GBK" w:cs="方正仿宋_GBK"/>
          <w:color w:val="auto"/>
          <w:sz w:val="32"/>
          <w:szCs w:val="32"/>
          <w:highlight w:val="none"/>
        </w:rPr>
        <w:t>电子政务网设备合格率100%，与预期目标一致，根据评分标准，该指标不扣分，得</w:t>
      </w:r>
      <w:r>
        <w:rPr>
          <w:rFonts w:hint="eastAsia" w:eastAsia="方正仿宋_GBK" w:cs="方正仿宋_GBK"/>
          <w:color w:val="auto"/>
          <w:sz w:val="32"/>
          <w:szCs w:val="32"/>
          <w:highlight w:val="none"/>
          <w:lang w:val="en-US" w:eastAsia="zh-CN"/>
        </w:rPr>
        <w:t>5</w:t>
      </w:r>
      <w:r>
        <w:rPr>
          <w:rFonts w:hint="eastAsia" w:eastAsia="方正仿宋_GBK" w:cs="方正仿宋_GBK"/>
          <w:color w:val="auto"/>
          <w:sz w:val="32"/>
          <w:szCs w:val="32"/>
          <w:highlight w:val="none"/>
        </w:rPr>
        <w:t>分。</w:t>
      </w:r>
    </w:p>
    <w:p>
      <w:pPr>
        <w:pStyle w:val="11"/>
        <w:spacing w:before="0" w:after="0" w:line="560" w:lineRule="exact"/>
        <w:ind w:firstLine="640"/>
        <w:jc w:val="both"/>
        <w:rPr>
          <w:rFonts w:eastAsia="方正仿宋_GBK" w:cs="方正仿宋_GBK"/>
          <w:b w:val="0"/>
          <w:bCs/>
          <w:color w:val="auto"/>
          <w:sz w:val="32"/>
          <w:szCs w:val="32"/>
          <w:highlight w:val="none"/>
        </w:rPr>
      </w:pPr>
      <w:r>
        <w:rPr>
          <w:rFonts w:hint="eastAsia" w:eastAsia="方正仿宋_GBK" w:cs="方正仿宋_GBK"/>
          <w:b w:val="0"/>
          <w:bCs/>
          <w:color w:val="auto"/>
          <w:sz w:val="32"/>
          <w:szCs w:val="32"/>
          <w:highlight w:val="none"/>
        </w:rPr>
        <w:t>资金足额拨付率100%，与预期目标一致，根据评分标准，该指标不扣分，得</w:t>
      </w:r>
      <w:r>
        <w:rPr>
          <w:rFonts w:hint="eastAsia" w:eastAsia="方正仿宋_GBK" w:cs="方正仿宋_GBK"/>
          <w:b w:val="0"/>
          <w:bCs/>
          <w:color w:val="auto"/>
          <w:sz w:val="32"/>
          <w:szCs w:val="32"/>
          <w:highlight w:val="none"/>
          <w:lang w:val="en-US" w:eastAsia="zh-CN"/>
        </w:rPr>
        <w:t>5</w:t>
      </w:r>
      <w:r>
        <w:rPr>
          <w:rFonts w:hint="eastAsia" w:eastAsia="方正仿宋_GBK" w:cs="方正仿宋_GBK"/>
          <w:b w:val="0"/>
          <w:bCs/>
          <w:color w:val="auto"/>
          <w:sz w:val="32"/>
          <w:szCs w:val="32"/>
          <w:highlight w:val="none"/>
        </w:rPr>
        <w:t>分。</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合计得</w:t>
      </w:r>
      <w:r>
        <w:rPr>
          <w:rFonts w:hint="eastAsia" w:eastAsia="方正仿宋_GBK" w:cs="方正仿宋_GBK"/>
          <w:color w:val="auto"/>
          <w:sz w:val="32"/>
          <w:szCs w:val="32"/>
          <w:highlight w:val="none"/>
          <w:lang w:val="en-US" w:eastAsia="zh-CN"/>
        </w:rPr>
        <w:t>10</w:t>
      </w:r>
      <w:r>
        <w:rPr>
          <w:rFonts w:hint="eastAsia" w:eastAsia="方正仿宋_GBK" w:cs="方正仿宋_GBK"/>
          <w:color w:val="auto"/>
          <w:sz w:val="32"/>
          <w:szCs w:val="32"/>
          <w:highlight w:val="none"/>
        </w:rPr>
        <w:t>分。</w:t>
      </w:r>
    </w:p>
    <w:p>
      <w:pPr>
        <w:pStyle w:val="11"/>
        <w:numPr>
          <w:ilvl w:val="0"/>
          <w:numId w:val="1"/>
        </w:numPr>
        <w:spacing w:before="0" w:after="0" w:line="560" w:lineRule="exact"/>
        <w:ind w:firstLine="640"/>
        <w:jc w:val="both"/>
        <w:rPr>
          <w:rFonts w:eastAsia="方正仿宋_GBK" w:cs="方正仿宋_GBK"/>
          <w:bCs/>
          <w:color w:val="auto"/>
          <w:sz w:val="32"/>
          <w:szCs w:val="32"/>
          <w:highlight w:val="none"/>
        </w:rPr>
      </w:pPr>
      <w:r>
        <w:rPr>
          <w:rFonts w:hint="eastAsia" w:eastAsia="方正仿宋_GBK" w:cs="方正仿宋_GBK"/>
          <w:bCs/>
          <w:color w:val="auto"/>
          <w:sz w:val="32"/>
          <w:szCs w:val="32"/>
          <w:highlight w:val="none"/>
        </w:rPr>
        <w:t>对于“产出时效”：</w:t>
      </w:r>
    </w:p>
    <w:p>
      <w:pPr>
        <w:pStyle w:val="11"/>
        <w:spacing w:before="0" w:after="0" w:line="560" w:lineRule="exact"/>
        <w:ind w:firstLine="640"/>
        <w:jc w:val="both"/>
        <w:rPr>
          <w:rFonts w:eastAsia="方正仿宋_GBK" w:cs="方正仿宋_GBK"/>
          <w:b w:val="0"/>
          <w:color w:val="auto"/>
          <w:sz w:val="32"/>
          <w:szCs w:val="32"/>
          <w:highlight w:val="none"/>
        </w:rPr>
      </w:pPr>
      <w:r>
        <w:rPr>
          <w:rFonts w:hint="eastAsia" w:eastAsia="方正仿宋_GBK" w:cs="方正仿宋_GBK"/>
          <w:b w:val="0"/>
          <w:color w:val="auto"/>
          <w:sz w:val="32"/>
          <w:szCs w:val="32"/>
          <w:highlight w:val="none"/>
        </w:rPr>
        <w:t>项目完成及时率100%，根据评分标准，该指标不扣分，得</w:t>
      </w:r>
      <w:r>
        <w:rPr>
          <w:rFonts w:hint="eastAsia" w:eastAsia="方正仿宋_GBK" w:cs="方正仿宋_GBK"/>
          <w:b w:val="0"/>
          <w:color w:val="auto"/>
          <w:sz w:val="32"/>
          <w:szCs w:val="32"/>
          <w:highlight w:val="none"/>
          <w:lang w:val="en-US" w:eastAsia="zh-CN"/>
        </w:rPr>
        <w:t>5</w:t>
      </w:r>
      <w:r>
        <w:rPr>
          <w:rFonts w:hint="eastAsia" w:eastAsia="方正仿宋_GBK" w:cs="方正仿宋_GBK"/>
          <w:b w:val="0"/>
          <w:color w:val="auto"/>
          <w:sz w:val="32"/>
          <w:szCs w:val="32"/>
          <w:highlight w:val="none"/>
        </w:rPr>
        <w:t>分。</w:t>
      </w:r>
    </w:p>
    <w:p>
      <w:pPr>
        <w:pStyle w:val="11"/>
        <w:spacing w:before="0" w:after="0" w:line="560" w:lineRule="exact"/>
        <w:ind w:firstLine="640"/>
        <w:jc w:val="both"/>
        <w:rPr>
          <w:rFonts w:eastAsia="方正仿宋_GBK" w:cs="方正仿宋_GBK"/>
          <w:b w:val="0"/>
          <w:color w:val="auto"/>
          <w:sz w:val="32"/>
          <w:szCs w:val="32"/>
          <w:highlight w:val="none"/>
        </w:rPr>
      </w:pPr>
      <w:r>
        <w:rPr>
          <w:rFonts w:hint="eastAsia" w:eastAsia="方正仿宋_GBK" w:cs="方正仿宋_GBK"/>
          <w:b w:val="0"/>
          <w:color w:val="auto"/>
          <w:sz w:val="32"/>
          <w:szCs w:val="32"/>
          <w:highlight w:val="none"/>
        </w:rPr>
        <w:t>设备安装到位及时率100%，与预期目标一致，根据评分标准，该指标不扣分，得</w:t>
      </w:r>
      <w:r>
        <w:rPr>
          <w:rFonts w:hint="eastAsia" w:eastAsia="方正仿宋_GBK" w:cs="方正仿宋_GBK"/>
          <w:b w:val="0"/>
          <w:color w:val="auto"/>
          <w:sz w:val="32"/>
          <w:szCs w:val="32"/>
          <w:highlight w:val="none"/>
          <w:lang w:val="en-US" w:eastAsia="zh-CN"/>
        </w:rPr>
        <w:t>5</w:t>
      </w:r>
      <w:r>
        <w:rPr>
          <w:rFonts w:hint="eastAsia" w:eastAsia="方正仿宋_GBK" w:cs="方正仿宋_GBK"/>
          <w:b w:val="0"/>
          <w:color w:val="auto"/>
          <w:sz w:val="32"/>
          <w:szCs w:val="32"/>
          <w:highlight w:val="none"/>
        </w:rPr>
        <w:t>分。</w:t>
      </w:r>
    </w:p>
    <w:p>
      <w:pPr>
        <w:pStyle w:val="11"/>
        <w:spacing w:before="0" w:after="0" w:line="560" w:lineRule="exact"/>
        <w:ind w:firstLine="640"/>
        <w:jc w:val="both"/>
        <w:rPr>
          <w:rFonts w:eastAsia="方正仿宋_GBK" w:cs="方正仿宋_GBK"/>
          <w:b w:val="0"/>
          <w:bCs/>
          <w:color w:val="auto"/>
          <w:sz w:val="32"/>
          <w:szCs w:val="32"/>
          <w:highlight w:val="none"/>
        </w:rPr>
      </w:pPr>
      <w:r>
        <w:rPr>
          <w:rFonts w:hint="eastAsia" w:eastAsia="方正仿宋_GBK" w:cs="方正仿宋_GBK"/>
          <w:b w:val="0"/>
          <w:bCs/>
          <w:color w:val="auto"/>
          <w:sz w:val="32"/>
          <w:szCs w:val="32"/>
          <w:highlight w:val="none"/>
        </w:rPr>
        <w:t>合计得</w:t>
      </w:r>
      <w:r>
        <w:rPr>
          <w:rFonts w:hint="eastAsia" w:eastAsia="方正仿宋_GBK" w:cs="方正仿宋_GBK"/>
          <w:b w:val="0"/>
          <w:bCs/>
          <w:color w:val="auto"/>
          <w:sz w:val="32"/>
          <w:szCs w:val="32"/>
          <w:highlight w:val="none"/>
          <w:lang w:val="en-US" w:eastAsia="zh-CN"/>
        </w:rPr>
        <w:t>10</w:t>
      </w:r>
      <w:r>
        <w:rPr>
          <w:rFonts w:hint="eastAsia" w:eastAsia="方正仿宋_GBK" w:cs="方正仿宋_GBK"/>
          <w:b w:val="0"/>
          <w:bCs/>
          <w:color w:val="auto"/>
          <w:sz w:val="32"/>
          <w:szCs w:val="32"/>
          <w:highlight w:val="none"/>
        </w:rPr>
        <w:t>分。</w:t>
      </w:r>
    </w:p>
    <w:p>
      <w:p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（4）对于“产出成本”：</w:t>
      </w:r>
    </w:p>
    <w:p>
      <w:pPr>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lang w:val="en-US" w:eastAsia="zh-CN"/>
        </w:rPr>
        <w:t>购买电子政务网设备成本总金额126.4</w:t>
      </w:r>
      <w:r>
        <w:rPr>
          <w:rFonts w:hint="eastAsia" w:eastAsia="方正仿宋_GBK" w:cs="方正仿宋_GBK"/>
          <w:color w:val="auto"/>
          <w:sz w:val="32"/>
          <w:szCs w:val="32"/>
          <w:highlight w:val="none"/>
        </w:rPr>
        <w:t>万元，项目经费都能控制绩效目标范围内，根据评分标准，该指标不扣分，得10分。</w:t>
      </w:r>
    </w:p>
    <w:p>
      <w:pPr>
        <w:spacing w:line="560" w:lineRule="exact"/>
        <w:ind w:firstLine="640"/>
        <w:rPr>
          <w:rFonts w:hint="default" w:eastAsia="方正仿宋_GBK" w:cs="方正仿宋_GBK"/>
          <w:color w:val="auto"/>
          <w:sz w:val="32"/>
          <w:szCs w:val="32"/>
          <w:highlight w:val="none"/>
          <w:lang w:val="en-US" w:eastAsia="zh-CN"/>
        </w:rPr>
      </w:pPr>
      <w:r>
        <w:rPr>
          <w:rFonts w:hint="eastAsia" w:eastAsia="方正仿宋_GBK" w:cs="方正仿宋_GBK"/>
          <w:color w:val="auto"/>
          <w:sz w:val="32"/>
          <w:szCs w:val="32"/>
          <w:highlight w:val="none"/>
          <w:lang w:val="en-US" w:eastAsia="zh-CN"/>
        </w:rPr>
        <w:t>合计得分10分。</w:t>
      </w:r>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（四）项目效益情况</w:t>
      </w:r>
    </w:p>
    <w:p>
      <w:pPr>
        <w:spacing w:line="560" w:lineRule="exact"/>
        <w:ind w:firstLine="640"/>
        <w:rPr>
          <w:rFonts w:eastAsia="方正仿宋_GBK" w:cs="方正仿宋_GBK"/>
          <w:color w:val="auto"/>
          <w:highlight w:val="none"/>
        </w:rPr>
      </w:pPr>
      <w:r>
        <w:rPr>
          <w:rFonts w:hint="eastAsia" w:eastAsia="方正仿宋_GBK" w:cs="方正仿宋_GBK"/>
          <w:color w:val="auto"/>
          <w:sz w:val="32"/>
          <w:szCs w:val="32"/>
          <w:highlight w:val="none"/>
        </w:rPr>
        <w:t>项目效益类指标包括项目效益1个方面的内容，由2个三级指标构成，权重分为20分，实际得分20分，得分率为100%。</w:t>
      </w:r>
    </w:p>
    <w:p>
      <w:pPr>
        <w:spacing w:line="560" w:lineRule="exact"/>
        <w:ind w:firstLine="640"/>
        <w:jc w:val="center"/>
        <w:rPr>
          <w:rFonts w:eastAsia="方正仿宋_GBK" w:cs="方正仿宋_GBK"/>
          <w:color w:val="auto"/>
          <w:kern w:val="0"/>
          <w:sz w:val="32"/>
          <w:szCs w:val="32"/>
          <w:highlight w:val="none"/>
        </w:rPr>
      </w:pPr>
      <w:r>
        <w:rPr>
          <w:rFonts w:hint="eastAsia" w:eastAsia="方正仿宋_GBK" w:cs="方正仿宋_GBK"/>
          <w:color w:val="auto"/>
          <w:kern w:val="0"/>
          <w:sz w:val="32"/>
          <w:szCs w:val="32"/>
          <w:highlight w:val="none"/>
        </w:rPr>
        <w:t>项目绩效指标得分情况</w:t>
      </w:r>
    </w:p>
    <w:tbl>
      <w:tblPr>
        <w:tblStyle w:val="25"/>
        <w:tblW w:w="0" w:type="auto"/>
        <w:tblInd w:w="0" w:type="dxa"/>
        <w:tblLayout w:type="fixed"/>
        <w:tblCellMar>
          <w:top w:w="0" w:type="dxa"/>
          <w:left w:w="0" w:type="dxa"/>
          <w:bottom w:w="0" w:type="dxa"/>
          <w:right w:w="0" w:type="dxa"/>
        </w:tblCellMar>
      </w:tblPr>
      <w:tblGrid>
        <w:gridCol w:w="2417"/>
        <w:gridCol w:w="1761"/>
        <w:gridCol w:w="1784"/>
        <w:gridCol w:w="2365"/>
      </w:tblGrid>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三级指标</w:t>
            </w:r>
          </w:p>
        </w:tc>
        <w:tc>
          <w:tcPr>
            <w:tcW w:w="176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权重</w:t>
            </w:r>
          </w:p>
        </w:tc>
        <w:tc>
          <w:tcPr>
            <w:tcW w:w="178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得分率</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实际得分</w:t>
            </w:r>
          </w:p>
        </w:tc>
      </w:tr>
      <w:tr>
        <w:tblPrEx>
          <w:tblCellMar>
            <w:top w:w="0" w:type="dxa"/>
            <w:left w:w="0" w:type="dxa"/>
            <w:bottom w:w="0" w:type="dxa"/>
            <w:right w:w="0" w:type="dxa"/>
          </w:tblCellMar>
        </w:tblPrEx>
        <w:trPr>
          <w:trHeight w:val="560" w:hRule="atLeast"/>
        </w:trPr>
        <w:tc>
          <w:tcPr>
            <w:tcW w:w="2417"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w:t>
            </w:r>
          </w:p>
        </w:tc>
        <w:tc>
          <w:tcPr>
            <w:tcW w:w="1784"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100%</w:t>
            </w:r>
          </w:p>
        </w:tc>
        <w:tc>
          <w:tcPr>
            <w:tcW w:w="2365"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0" w:type="dxa"/>
            <w:bottom w:w="0" w:type="dxa"/>
            <w:right w:w="0" w:type="dxa"/>
          </w:tblCellMar>
        </w:tblPrEx>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rPr>
                <w:rFonts w:eastAsia="方正仿宋_GBK" w:cs="方正仿宋_GBK"/>
                <w:color w:val="auto"/>
                <w:highlight w:val="none"/>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eastAsia="方正仿宋_GBK" w:cs="方正仿宋_GBK"/>
                <w:color w:val="auto"/>
                <w:highlight w:val="none"/>
              </w:rPr>
            </w:pPr>
          </w:p>
        </w:tc>
        <w:tc>
          <w:tcPr>
            <w:tcW w:w="1784"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rPr>
                <w:rFonts w:eastAsia="方正仿宋_GBK" w:cs="方正仿宋_GBK"/>
                <w:color w:val="auto"/>
                <w:highlight w:val="none"/>
              </w:rPr>
            </w:pPr>
          </w:p>
        </w:tc>
        <w:tc>
          <w:tcPr>
            <w:tcW w:w="2365"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rPr>
                <w:rFonts w:eastAsia="方正仿宋_GBK" w:cs="方正仿宋_GBK"/>
                <w:color w:val="auto"/>
                <w:highlight w:val="none"/>
              </w:rPr>
            </w:pP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w:t>
            </w: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eastAsia="方正仿宋_GBK" w:cs="方正仿宋_GBK"/>
                <w:color w:val="auto"/>
                <w:highlight w:val="none"/>
              </w:rPr>
            </w:pPr>
            <w:r>
              <w:rPr>
                <w:rFonts w:hint="eastAsia" w:eastAsia="方正仿宋_GBK" w:cs="方正仿宋_GBK"/>
                <w:color w:val="auto"/>
                <w:highlight w:val="none"/>
              </w:rPr>
              <w:t>20</w:t>
            </w:r>
          </w:p>
        </w:tc>
      </w:tr>
    </w:tbl>
    <w:p>
      <w:pPr>
        <w:overflowPunct w:val="0"/>
        <w:spacing w:line="560" w:lineRule="exact"/>
        <w:ind w:firstLine="640"/>
        <w:contextualSpacing/>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1.实施效益指标：</w:t>
      </w:r>
    </w:p>
    <w:p>
      <w:p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（1）对于“社会效益指标”：</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保障全县密码及密码安全率100%，与预期指标一致，根据评分标准，该指标不扣分，得</w:t>
      </w:r>
      <w:r>
        <w:rPr>
          <w:rFonts w:hint="eastAsia" w:eastAsia="方正仿宋_GBK" w:cs="方正仿宋_GBK"/>
          <w:color w:val="auto"/>
          <w:sz w:val="32"/>
          <w:szCs w:val="32"/>
          <w:highlight w:val="none"/>
          <w:lang w:val="en-US" w:eastAsia="zh-CN"/>
        </w:rPr>
        <w:t>3</w:t>
      </w:r>
      <w:r>
        <w:rPr>
          <w:rFonts w:hint="eastAsia" w:eastAsia="方正仿宋_GBK" w:cs="方正仿宋_GBK"/>
          <w:color w:val="auto"/>
          <w:sz w:val="32"/>
          <w:szCs w:val="32"/>
          <w:highlight w:val="none"/>
        </w:rPr>
        <w:t>分。</w:t>
      </w:r>
    </w:p>
    <w:p>
      <w:pPr>
        <w:pStyle w:val="11"/>
        <w:spacing w:before="0" w:after="0" w:line="560" w:lineRule="exact"/>
        <w:ind w:firstLine="640"/>
        <w:jc w:val="both"/>
        <w:rPr>
          <w:rFonts w:hint="eastAsia" w:eastAsia="方正仿宋_GBK" w:cs="方正仿宋_GBK"/>
          <w:b w:val="0"/>
          <w:color w:val="auto"/>
          <w:sz w:val="32"/>
          <w:szCs w:val="32"/>
          <w:highlight w:val="none"/>
        </w:rPr>
      </w:pPr>
      <w:r>
        <w:rPr>
          <w:rFonts w:hint="eastAsia" w:eastAsia="方正仿宋_GBK" w:cs="方正仿宋_GBK"/>
          <w:b w:val="0"/>
          <w:color w:val="auto"/>
          <w:sz w:val="32"/>
          <w:szCs w:val="32"/>
          <w:highlight w:val="none"/>
        </w:rPr>
        <w:t>保障全县电子政务网畅通率100%，与预期指标一致，根据评分标准，该指标不扣分，得</w:t>
      </w:r>
      <w:r>
        <w:rPr>
          <w:rFonts w:hint="eastAsia" w:eastAsia="方正仿宋_GBK" w:cs="方正仿宋_GBK"/>
          <w:b w:val="0"/>
          <w:color w:val="auto"/>
          <w:sz w:val="32"/>
          <w:szCs w:val="32"/>
          <w:highlight w:val="none"/>
          <w:lang w:val="en-US" w:eastAsia="zh-CN"/>
        </w:rPr>
        <w:t>3</w:t>
      </w:r>
      <w:r>
        <w:rPr>
          <w:rFonts w:hint="eastAsia" w:eastAsia="方正仿宋_GBK" w:cs="方正仿宋_GBK"/>
          <w:b w:val="0"/>
          <w:color w:val="auto"/>
          <w:sz w:val="32"/>
          <w:szCs w:val="32"/>
          <w:highlight w:val="none"/>
        </w:rPr>
        <w:t>分。</w:t>
      </w:r>
    </w:p>
    <w:p>
      <w:p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（2）对于“可持续影响指标”：</w:t>
      </w:r>
    </w:p>
    <w:p>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设备可持续使用年限</w:t>
      </w:r>
      <w:r>
        <w:rPr>
          <w:rFonts w:hint="eastAsia" w:eastAsia="方正仿宋_GBK" w:cs="方正仿宋_GBK"/>
          <w:color w:val="auto"/>
          <w:sz w:val="32"/>
          <w:szCs w:val="32"/>
          <w:highlight w:val="none"/>
          <w:lang w:val="en-US" w:eastAsia="zh-CN"/>
        </w:rPr>
        <w:t>5</w:t>
      </w:r>
      <w:r>
        <w:rPr>
          <w:rFonts w:hint="eastAsia" w:eastAsia="方正仿宋_GBK" w:cs="方正仿宋_GBK"/>
          <w:color w:val="auto"/>
          <w:sz w:val="32"/>
          <w:szCs w:val="32"/>
          <w:highlight w:val="none"/>
        </w:rPr>
        <w:t>年，与预期指标一致，根据评分标准，该指标不扣分，得</w:t>
      </w:r>
      <w:r>
        <w:rPr>
          <w:rFonts w:hint="eastAsia" w:eastAsia="方正仿宋_GBK" w:cs="方正仿宋_GBK"/>
          <w:color w:val="auto"/>
          <w:sz w:val="32"/>
          <w:szCs w:val="32"/>
          <w:highlight w:val="none"/>
          <w:lang w:val="en-US" w:eastAsia="zh-CN"/>
        </w:rPr>
        <w:t>4</w:t>
      </w:r>
      <w:r>
        <w:rPr>
          <w:rFonts w:hint="eastAsia" w:eastAsia="方正仿宋_GBK" w:cs="方正仿宋_GBK"/>
          <w:color w:val="auto"/>
          <w:sz w:val="32"/>
          <w:szCs w:val="32"/>
          <w:highlight w:val="none"/>
        </w:rPr>
        <w:t>分。</w:t>
      </w:r>
    </w:p>
    <w:p>
      <w:pPr>
        <w:pStyle w:val="11"/>
        <w:spacing w:before="0" w:after="0" w:line="560" w:lineRule="exact"/>
        <w:ind w:firstLine="640"/>
        <w:jc w:val="both"/>
        <w:rPr>
          <w:rFonts w:eastAsia="方正仿宋_GBK" w:cs="方正仿宋_GBK"/>
          <w:b w:val="0"/>
          <w:color w:val="auto"/>
          <w:sz w:val="32"/>
          <w:szCs w:val="32"/>
          <w:highlight w:val="none"/>
        </w:rPr>
      </w:pPr>
      <w:r>
        <w:rPr>
          <w:rFonts w:hint="eastAsia" w:eastAsia="方正仿宋_GBK" w:cs="方正仿宋_GBK"/>
          <w:b w:val="0"/>
          <w:color w:val="auto"/>
          <w:sz w:val="32"/>
          <w:szCs w:val="32"/>
          <w:highlight w:val="none"/>
        </w:rPr>
        <w:t>实施效益指标合计得</w:t>
      </w:r>
      <w:r>
        <w:rPr>
          <w:rFonts w:hint="eastAsia" w:eastAsia="方正仿宋_GBK" w:cs="方正仿宋_GBK"/>
          <w:b w:val="0"/>
          <w:color w:val="auto"/>
          <w:sz w:val="32"/>
          <w:szCs w:val="32"/>
          <w:highlight w:val="none"/>
          <w:lang w:val="en-US" w:eastAsia="zh-CN"/>
        </w:rPr>
        <w:t>1</w:t>
      </w:r>
      <w:r>
        <w:rPr>
          <w:rFonts w:hint="eastAsia" w:eastAsia="方正仿宋_GBK" w:cs="方正仿宋_GBK"/>
          <w:b w:val="0"/>
          <w:color w:val="auto"/>
          <w:sz w:val="32"/>
          <w:szCs w:val="32"/>
          <w:highlight w:val="none"/>
        </w:rPr>
        <w:t>0分。</w:t>
      </w:r>
    </w:p>
    <w:p>
      <w:pPr>
        <w:numPr>
          <w:ilvl w:val="0"/>
          <w:numId w:val="0"/>
        </w:numPr>
        <w:spacing w:line="560" w:lineRule="exact"/>
        <w:ind w:leftChars="200"/>
        <w:rPr>
          <w:rFonts w:hint="eastAsia" w:eastAsia="方正仿宋_GBK" w:cs="方正仿宋_GBK"/>
          <w:b/>
          <w:bCs/>
          <w:color w:val="auto"/>
          <w:sz w:val="32"/>
          <w:szCs w:val="32"/>
          <w:highlight w:val="none"/>
        </w:rPr>
      </w:pPr>
      <w:r>
        <w:rPr>
          <w:rFonts w:hint="eastAsia" w:eastAsia="方正仿宋_GBK" w:cs="方正仿宋_GBK"/>
          <w:b/>
          <w:bCs/>
          <w:color w:val="auto"/>
          <w:sz w:val="32"/>
          <w:szCs w:val="32"/>
          <w:highlight w:val="none"/>
          <w:lang w:val="en-US" w:eastAsia="zh-CN"/>
        </w:rPr>
        <w:t>（3）</w:t>
      </w:r>
      <w:r>
        <w:rPr>
          <w:rFonts w:hint="eastAsia" w:eastAsia="方正仿宋_GBK" w:cs="方正仿宋_GBK"/>
          <w:b/>
          <w:bCs/>
          <w:color w:val="auto"/>
          <w:sz w:val="32"/>
          <w:szCs w:val="32"/>
          <w:highlight w:val="none"/>
        </w:rPr>
        <w:t>对于“经济效益指标”：</w:t>
      </w:r>
    </w:p>
    <w:p>
      <w:pPr>
        <w:numPr>
          <w:ilvl w:val="0"/>
          <w:numId w:val="0"/>
        </w:numPr>
        <w:spacing w:line="560" w:lineRule="exact"/>
        <w:ind w:leftChars="200"/>
        <w:rPr>
          <w:rFonts w:hint="default" w:eastAsia="方正仿宋_GBK" w:cs="方正仿宋_GBK"/>
          <w:b w:val="0"/>
          <w:bCs w:val="0"/>
          <w:color w:val="auto"/>
          <w:sz w:val="32"/>
          <w:szCs w:val="32"/>
          <w:highlight w:val="none"/>
          <w:lang w:val="en-US" w:eastAsia="zh-CN"/>
        </w:rPr>
      </w:pPr>
      <w:r>
        <w:rPr>
          <w:rFonts w:hint="eastAsia" w:eastAsia="方正仿宋_GBK" w:cs="方正仿宋_GBK"/>
          <w:b w:val="0"/>
          <w:bCs w:val="0"/>
          <w:color w:val="auto"/>
          <w:sz w:val="32"/>
          <w:szCs w:val="32"/>
          <w:highlight w:val="none"/>
          <w:lang w:val="en-US" w:eastAsia="zh-CN"/>
        </w:rPr>
        <w:t>该项目无经济效益指标</w:t>
      </w:r>
    </w:p>
    <w:p>
      <w:pPr>
        <w:numPr>
          <w:ilvl w:val="0"/>
          <w:numId w:val="1"/>
        </w:numPr>
        <w:spacing w:line="560" w:lineRule="exact"/>
        <w:ind w:firstLine="640"/>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对于“生态效益指标”：</w:t>
      </w:r>
    </w:p>
    <w:p>
      <w:pPr>
        <w:numPr>
          <w:ilvl w:val="0"/>
          <w:numId w:val="0"/>
        </w:numPr>
        <w:spacing w:line="560" w:lineRule="exact"/>
        <w:ind w:leftChars="200"/>
        <w:rPr>
          <w:rFonts w:hint="default" w:eastAsia="方正仿宋_GBK" w:cs="方正仿宋_GBK"/>
          <w:b w:val="0"/>
          <w:bCs w:val="0"/>
          <w:i w:val="0"/>
          <w:iCs w:val="0"/>
          <w:color w:val="auto"/>
          <w:sz w:val="32"/>
          <w:szCs w:val="32"/>
          <w:highlight w:val="none"/>
          <w:lang w:val="en-US" w:eastAsia="zh-CN"/>
        </w:rPr>
      </w:pPr>
      <w:r>
        <w:rPr>
          <w:rFonts w:hint="eastAsia" w:eastAsia="方正仿宋_GBK" w:cs="方正仿宋_GBK"/>
          <w:b w:val="0"/>
          <w:bCs w:val="0"/>
          <w:i w:val="0"/>
          <w:iCs w:val="0"/>
          <w:color w:val="auto"/>
          <w:sz w:val="32"/>
          <w:szCs w:val="32"/>
          <w:highlight w:val="none"/>
          <w:lang w:val="en-US" w:eastAsia="zh-CN"/>
        </w:rPr>
        <w:t>该项目无生态效益指标</w:t>
      </w:r>
    </w:p>
    <w:p>
      <w:pPr>
        <w:overflowPunct w:val="0"/>
        <w:spacing w:line="560" w:lineRule="exact"/>
        <w:ind w:firstLine="640"/>
        <w:contextualSpacing/>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t>2.满意度指标:</w:t>
      </w:r>
    </w:p>
    <w:p>
      <w:pPr>
        <w:pStyle w:val="33"/>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对于“满意度指标：</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受益干部满意度100%，与预期目标一致，根据评分标准，该指标不扣分,得10分。</w:t>
      </w:r>
      <w:bookmarkEnd w:id="17"/>
    </w:p>
    <w:p>
      <w:pPr>
        <w:pStyle w:val="3"/>
        <w:spacing w:before="0" w:after="0" w:line="560" w:lineRule="exact"/>
        <w:ind w:firstLine="640"/>
        <w:rPr>
          <w:rFonts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五、预算执行进度与绩效指标偏差情况</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采购电子政务网相关设备项目预算</w:t>
      </w:r>
      <w:r>
        <w:rPr>
          <w:rFonts w:hint="eastAsia" w:eastAsia="方正仿宋_GBK" w:cs="方正仿宋_GBK"/>
          <w:color w:val="auto"/>
          <w:sz w:val="32"/>
          <w:szCs w:val="32"/>
          <w:highlight w:val="none"/>
          <w:lang w:val="en-US" w:eastAsia="zh-CN"/>
        </w:rPr>
        <w:t>126.4</w:t>
      </w:r>
      <w:r>
        <w:rPr>
          <w:rFonts w:hint="eastAsia" w:eastAsia="方正仿宋_GBK" w:cs="方正仿宋_GBK"/>
          <w:color w:val="auto"/>
          <w:sz w:val="32"/>
          <w:szCs w:val="32"/>
          <w:highlight w:val="none"/>
        </w:rPr>
        <w:t>万元，到位126.4万元，实际支出126.4万元，预算执行率为</w:t>
      </w:r>
      <w:r>
        <w:rPr>
          <w:rFonts w:hint="eastAsia" w:eastAsia="方正仿宋_GBK" w:cs="方正仿宋_GBK"/>
          <w:color w:val="auto"/>
          <w:sz w:val="32"/>
          <w:szCs w:val="32"/>
          <w:highlight w:val="none"/>
          <w:lang w:val="en-US" w:eastAsia="zh-CN"/>
        </w:rPr>
        <w:t>100</w:t>
      </w:r>
      <w:r>
        <w:rPr>
          <w:rFonts w:hint="eastAsia" w:eastAsia="方正仿宋_GBK" w:cs="方正仿宋_GBK"/>
          <w:color w:val="auto"/>
          <w:sz w:val="32"/>
          <w:szCs w:val="32"/>
          <w:highlight w:val="none"/>
        </w:rPr>
        <w:t>%，项目绩效指标总体完成率为100%，偏差率为</w:t>
      </w:r>
      <w:r>
        <w:rPr>
          <w:rFonts w:hint="eastAsia" w:eastAsia="方正仿宋_GBK" w:cs="方正仿宋_GBK"/>
          <w:color w:val="auto"/>
          <w:sz w:val="32"/>
          <w:szCs w:val="32"/>
          <w:highlight w:val="none"/>
          <w:lang w:val="en-US" w:eastAsia="zh-CN"/>
        </w:rPr>
        <w:t>0</w:t>
      </w:r>
      <w:r>
        <w:rPr>
          <w:rFonts w:hint="eastAsia" w:eastAsia="方正仿宋_GBK" w:cs="方正仿宋_GBK"/>
          <w:color w:val="auto"/>
          <w:sz w:val="32"/>
          <w:szCs w:val="32"/>
          <w:highlight w:val="none"/>
        </w:rPr>
        <w:t>%,偏出去原因资金支付不及时，采取的措施提高工作效率，加快资金支付进度。</w:t>
      </w:r>
    </w:p>
    <w:p>
      <w:pPr>
        <w:pStyle w:val="3"/>
        <w:spacing w:before="0" w:after="0" w:line="560" w:lineRule="exact"/>
        <w:ind w:firstLine="640"/>
        <w:rPr>
          <w:rFonts w:ascii="方正黑体_GBK" w:hAnsi="方正黑体_GBK" w:eastAsia="方正黑体_GBK" w:cs="方正黑体_GBK"/>
          <w:color w:val="auto"/>
          <w:highlight w:val="none"/>
        </w:rPr>
      </w:pPr>
      <w:bookmarkStart w:id="18" w:name="_Toc68364673"/>
      <w:r>
        <w:rPr>
          <w:rFonts w:hint="eastAsia" w:ascii="方正黑体_GBK" w:hAnsi="方正黑体_GBK" w:eastAsia="方正黑体_GBK" w:cs="方正黑体_GBK"/>
          <w:color w:val="auto"/>
          <w:highlight w:val="none"/>
        </w:rPr>
        <w:t>六、主要经验及做法、存在的问题及原因分析</w:t>
      </w:r>
    </w:p>
    <w:p>
      <w:pPr>
        <w:pStyle w:val="51"/>
        <w:spacing w:line="560" w:lineRule="exact"/>
        <w:ind w:left="560"/>
        <w:rPr>
          <w:rFonts w:ascii="方正楷体_GBK" w:hAnsi="方正楷体_GBK" w:eastAsia="方正楷体_GBK" w:cs="方正楷体_GBK"/>
          <w:color w:val="auto"/>
          <w:sz w:val="32"/>
          <w:highlight w:val="none"/>
        </w:rPr>
      </w:pPr>
      <w:r>
        <w:rPr>
          <w:rFonts w:hint="eastAsia" w:ascii="方正楷体_GBK" w:hAnsi="方正楷体_GBK" w:eastAsia="方正楷体_GBK" w:cs="方正楷体_GBK"/>
          <w:color w:val="auto"/>
          <w:sz w:val="32"/>
          <w:highlight w:val="none"/>
        </w:rPr>
        <w:t>（一）主要经验及做法</w:t>
      </w:r>
      <w:bookmarkEnd w:id="18"/>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p>
    <w:p>
      <w:pPr>
        <w:pStyle w:val="51"/>
        <w:spacing w:line="560" w:lineRule="exact"/>
        <w:ind w:left="560"/>
        <w:rPr>
          <w:rFonts w:ascii="方正楷体_GBK" w:hAnsi="方正楷体_GBK" w:eastAsia="方正楷体_GBK" w:cs="方正楷体_GBK"/>
          <w:color w:val="auto"/>
          <w:sz w:val="32"/>
          <w:highlight w:val="none"/>
        </w:rPr>
      </w:pPr>
      <w:bookmarkStart w:id="19" w:name="_Toc68364674"/>
      <w:r>
        <w:rPr>
          <w:rFonts w:hint="eastAsia" w:ascii="方正楷体_GBK" w:hAnsi="方正楷体_GBK" w:eastAsia="方正楷体_GBK" w:cs="方正楷体_GBK"/>
          <w:color w:val="auto"/>
          <w:sz w:val="32"/>
          <w:highlight w:val="none"/>
        </w:rPr>
        <w:t>（二）存在问题及原因分析</w:t>
      </w:r>
      <w:bookmarkEnd w:id="19"/>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3"/>
        <w:spacing w:before="0" w:after="0" w:line="560" w:lineRule="exact"/>
        <w:ind w:firstLine="640"/>
        <w:rPr>
          <w:rFonts w:ascii="方正黑体_GBK" w:hAnsi="方正黑体_GBK" w:eastAsia="方正黑体_GBK" w:cs="方正黑体_GBK"/>
          <w:color w:val="auto"/>
          <w:highlight w:val="none"/>
        </w:rPr>
      </w:pPr>
      <w:bookmarkStart w:id="20" w:name="_Toc68364675"/>
      <w:r>
        <w:rPr>
          <w:rFonts w:hint="eastAsia" w:ascii="方正黑体_GBK" w:hAnsi="方正黑体_GBK" w:eastAsia="方正黑体_GBK" w:cs="方正黑体_GBK"/>
          <w:color w:val="auto"/>
          <w:highlight w:val="none"/>
        </w:rPr>
        <w:t>七、有关建议</w:t>
      </w:r>
      <w:bookmarkEnd w:id="20"/>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2.项目评价资料有待进一步完善。项目启动时同步做好档案的归纳与整理，及时整理、收集、汇总，健全档案资料。项目后续管理有待进一步加强和跟踪。</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3.通过绩效管理，发现实施中存在漏洞，以后加强管理，及时掌握与之相关的各类信息，减少成本，使资金效益最大化。</w:t>
      </w:r>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4．评价工作应从项目实施方案源头抓起，评价工作和意识应贯穿项目整个过程。</w:t>
      </w:r>
    </w:p>
    <w:p>
      <w:pPr>
        <w:pStyle w:val="3"/>
        <w:spacing w:before="0" w:after="0" w:line="560" w:lineRule="exact"/>
        <w:ind w:firstLine="640"/>
        <w:rPr>
          <w:rFonts w:ascii="方正黑体_GBK" w:hAnsi="方正黑体_GBK" w:eastAsia="方正黑体_GBK" w:cs="方正黑体_GBK"/>
          <w:color w:val="auto"/>
          <w:highlight w:val="none"/>
        </w:rPr>
      </w:pPr>
      <w:bookmarkStart w:id="21" w:name="_Toc68364676"/>
      <w:r>
        <w:rPr>
          <w:rFonts w:hint="eastAsia" w:ascii="方正黑体_GBK" w:hAnsi="方正黑体_GBK" w:eastAsia="方正黑体_GBK" w:cs="方正黑体_GBK"/>
          <w:color w:val="auto"/>
          <w:highlight w:val="none"/>
        </w:rPr>
        <w:t>八、其他需要说明的问题</w:t>
      </w:r>
      <w:bookmarkEnd w:id="21"/>
    </w:p>
    <w:p>
      <w:pPr>
        <w:pStyle w:val="33"/>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我单位对上述项目支出绩效评价报告内反映内容的真实性、完整性负责，接受上级部门及社会公众监督。</w:t>
      </w:r>
    </w:p>
    <w:p>
      <w:pPr>
        <w:pStyle w:val="53"/>
        <w:spacing w:line="560" w:lineRule="exact"/>
        <w:ind w:firstLine="640" w:firstLineChars="200"/>
        <w:rPr>
          <w:rFonts w:ascii="Times New Roman" w:hAnsi="Times New Roman" w:eastAsia="方正仿宋_GBK" w:cs="方正仿宋_GBK"/>
          <w:b/>
          <w:color w:val="auto"/>
          <w:highlight w:val="none"/>
        </w:rPr>
      </w:pPr>
    </w:p>
    <w:p>
      <w:pPr>
        <w:pStyle w:val="53"/>
        <w:spacing w:line="560" w:lineRule="exact"/>
        <w:ind w:firstLine="640" w:firstLineChars="200"/>
        <w:rPr>
          <w:rFonts w:ascii="Times New Roman" w:hAnsi="Times New Roman" w:eastAsia="方正仿宋_GBK" w:cs="方正仿宋_GBK"/>
          <w:b/>
          <w:color w:val="auto"/>
          <w:highlight w:val="none"/>
        </w:rPr>
      </w:pPr>
    </w:p>
    <w:p>
      <w:pPr>
        <w:pStyle w:val="53"/>
        <w:spacing w:line="560" w:lineRule="exact"/>
        <w:ind w:firstLine="640" w:firstLineChars="200"/>
        <w:rPr>
          <w:rFonts w:ascii="Times New Roman" w:hAnsi="Times New Roman" w:eastAsia="方正仿宋_GBK" w:cs="方正仿宋_GBK"/>
          <w:b/>
          <w:color w:val="auto"/>
          <w:highlight w:val="none"/>
        </w:rPr>
      </w:pPr>
    </w:p>
    <w:p>
      <w:pPr>
        <w:pStyle w:val="53"/>
        <w:spacing w:line="560" w:lineRule="exact"/>
        <w:ind w:firstLine="640" w:firstLineChars="200"/>
        <w:rPr>
          <w:rFonts w:ascii="Times New Roman" w:hAnsi="Times New Roman" w:eastAsia="方正仿宋_GBK" w:cs="方正仿宋_GBK"/>
          <w:b/>
          <w:color w:val="auto"/>
          <w:highlight w:val="none"/>
        </w:rPr>
      </w:pPr>
      <w:r>
        <w:rPr>
          <w:rFonts w:hint="eastAsia" w:ascii="Times New Roman" w:hAnsi="Times New Roman" w:eastAsia="方正仿宋_GBK" w:cs="方正仿宋_GBK"/>
          <w:b/>
          <w:color w:val="auto"/>
          <w:highlight w:val="none"/>
        </w:rPr>
        <w:t>附件：1综合评分表</w:t>
      </w:r>
    </w:p>
    <w:p>
      <w:pPr>
        <w:pStyle w:val="33"/>
        <w:spacing w:line="560" w:lineRule="exact"/>
        <w:rPr>
          <w:rFonts w:eastAsia="方正仿宋_GBK" w:cs="方正仿宋_GBK"/>
          <w:color w:val="auto"/>
          <w:sz w:val="32"/>
          <w:szCs w:val="32"/>
          <w:highlight w:val="none"/>
        </w:rPr>
      </w:pPr>
    </w:p>
    <w:p>
      <w:pPr>
        <w:pStyle w:val="33"/>
        <w:spacing w:line="560" w:lineRule="exact"/>
        <w:ind w:firstLine="640"/>
        <w:rPr>
          <w:rFonts w:eastAsia="方正仿宋_GBK" w:cs="方正仿宋_GBK"/>
          <w:color w:val="auto"/>
          <w:sz w:val="32"/>
          <w:szCs w:val="32"/>
          <w:highlight w:val="none"/>
        </w:rPr>
      </w:pPr>
    </w:p>
    <w:p>
      <w:pPr>
        <w:pStyle w:val="33"/>
        <w:spacing w:line="560" w:lineRule="exact"/>
        <w:ind w:firstLine="640"/>
        <w:rPr>
          <w:rFonts w:eastAsia="方正仿宋_GBK" w:cs="方正仿宋_GBK"/>
          <w:color w:val="auto"/>
          <w:sz w:val="32"/>
          <w:szCs w:val="32"/>
          <w:highlight w:val="none"/>
        </w:rPr>
      </w:pPr>
    </w:p>
    <w:p>
      <w:pPr>
        <w:pStyle w:val="33"/>
        <w:spacing w:line="560" w:lineRule="exact"/>
        <w:ind w:firstLine="640"/>
        <w:rPr>
          <w:rFonts w:eastAsia="方正仿宋_GBK" w:cs="方正仿宋_GBK"/>
          <w:color w:val="auto"/>
          <w:sz w:val="32"/>
          <w:szCs w:val="32"/>
          <w:highlight w:val="none"/>
        </w:rPr>
      </w:pPr>
    </w:p>
    <w:p>
      <w:pPr>
        <w:pStyle w:val="33"/>
        <w:spacing w:line="560" w:lineRule="exact"/>
        <w:ind w:firstLine="640"/>
        <w:rPr>
          <w:rFonts w:eastAsia="方正仿宋_GBK" w:cs="方正仿宋_GBK"/>
          <w:color w:val="auto"/>
          <w:sz w:val="32"/>
          <w:szCs w:val="32"/>
          <w:highlight w:val="none"/>
        </w:rPr>
      </w:pPr>
    </w:p>
    <w:p>
      <w:pPr>
        <w:pStyle w:val="33"/>
        <w:spacing w:line="560" w:lineRule="exact"/>
        <w:ind w:firstLine="0" w:firstLineChars="0"/>
        <w:rPr>
          <w:rFonts w:eastAsia="方正仿宋_GBK" w:cs="方正仿宋_GBK"/>
          <w:b/>
          <w:bCs/>
          <w:color w:val="auto"/>
          <w:highlight w:val="none"/>
        </w:rPr>
      </w:pPr>
    </w:p>
    <w:p>
      <w:pPr>
        <w:overflowPunct w:val="0"/>
        <w:spacing w:line="560" w:lineRule="exact"/>
        <w:ind w:firstLine="640"/>
        <w:contextualSpacing/>
        <w:rPr>
          <w:rFonts w:eastAsia="方正仿宋_GBK" w:cs="方正仿宋_GBK"/>
          <w:b/>
          <w:bCs/>
          <w:color w:val="auto"/>
          <w:sz w:val="32"/>
          <w:szCs w:val="32"/>
          <w:highlight w:val="none"/>
        </w:rPr>
      </w:pPr>
      <w:r>
        <w:rPr>
          <w:rFonts w:hint="eastAsia" w:eastAsia="方正仿宋_GBK" w:cs="方正仿宋_GBK"/>
          <w:b/>
          <w:bCs/>
          <w:color w:val="auto"/>
          <w:sz w:val="32"/>
          <w:szCs w:val="32"/>
          <w:highlight w:val="none"/>
        </w:rPr>
        <w:br w:type="page"/>
      </w:r>
      <w:r>
        <w:rPr>
          <w:rFonts w:hint="eastAsia" w:eastAsia="方正仿宋_GBK" w:cs="方正仿宋_GBK"/>
          <w:b/>
          <w:bCs/>
          <w:color w:val="auto"/>
          <w:sz w:val="32"/>
          <w:szCs w:val="32"/>
          <w:highlight w:val="none"/>
        </w:rPr>
        <w:t>附件1：综合评分表</w:t>
      </w:r>
    </w:p>
    <w:p>
      <w:pPr>
        <w:spacing w:line="560" w:lineRule="exact"/>
        <w:ind w:firstLine="560"/>
        <w:jc w:val="center"/>
        <w:rPr>
          <w:rFonts w:eastAsia="方正仿宋_GBK" w:cs="方正仿宋_GBK"/>
          <w:color w:val="auto"/>
          <w:kern w:val="0"/>
          <w:szCs w:val="28"/>
          <w:highlight w:val="none"/>
        </w:rPr>
      </w:pPr>
      <w:r>
        <w:rPr>
          <w:rFonts w:hint="eastAsia" w:eastAsia="方正仿宋_GBK" w:cs="方正仿宋_GBK"/>
          <w:color w:val="auto"/>
          <w:kern w:val="0"/>
          <w:szCs w:val="28"/>
          <w:highlight w:val="none"/>
        </w:rPr>
        <w:t>采购电子政务网相关设备项目绩效评价指标体系及评分标准</w:t>
      </w:r>
    </w:p>
    <w:tbl>
      <w:tblPr>
        <w:tblStyle w:val="25"/>
        <w:tblW w:w="0" w:type="auto"/>
        <w:tblInd w:w="0" w:type="dxa"/>
        <w:tblLayout w:type="fixed"/>
        <w:tblCellMar>
          <w:top w:w="0" w:type="dxa"/>
          <w:left w:w="108" w:type="dxa"/>
          <w:bottom w:w="0" w:type="dxa"/>
          <w:right w:w="108" w:type="dxa"/>
        </w:tblCellMar>
      </w:tblPr>
      <w:tblGrid>
        <w:gridCol w:w="930"/>
        <w:gridCol w:w="908"/>
        <w:gridCol w:w="1276"/>
        <w:gridCol w:w="5427"/>
        <w:gridCol w:w="515"/>
      </w:tblGrid>
      <w:tr>
        <w:tblPrEx>
          <w:tblCellMar>
            <w:top w:w="0" w:type="dxa"/>
            <w:left w:w="108" w:type="dxa"/>
            <w:bottom w:w="0" w:type="dxa"/>
            <w:right w:w="108" w:type="dxa"/>
          </w:tblCellMar>
        </w:tblPrEx>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b/>
                <w:bCs/>
                <w:color w:val="auto"/>
                <w:sz w:val="24"/>
                <w:szCs w:val="24"/>
                <w:highlight w:val="none"/>
              </w:rPr>
            </w:pPr>
            <w:r>
              <w:rPr>
                <w:rFonts w:hint="eastAsia" w:ascii="方正仿宋_GBK" w:hAnsi="方正仿宋_GBK" w:eastAsia="方正仿宋_GBK" w:cs="方正仿宋_GBK"/>
                <w:b/>
                <w:bCs/>
                <w:color w:val="auto"/>
                <w:kern w:val="0"/>
                <w:sz w:val="24"/>
                <w:szCs w:val="24"/>
                <w:highlight w:val="none"/>
              </w:rPr>
              <w:t>一级指标</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b/>
                <w:bCs/>
                <w:color w:val="auto"/>
                <w:sz w:val="24"/>
                <w:szCs w:val="24"/>
                <w:highlight w:val="none"/>
              </w:rPr>
            </w:pPr>
            <w:r>
              <w:rPr>
                <w:rFonts w:hint="eastAsia" w:ascii="方正仿宋_GBK" w:hAnsi="方正仿宋_GBK" w:eastAsia="方正仿宋_GBK" w:cs="方正仿宋_GBK"/>
                <w:b/>
                <w:bCs/>
                <w:color w:val="auto"/>
                <w:kern w:val="0"/>
                <w:sz w:val="24"/>
                <w:szCs w:val="24"/>
                <w:highlight w:val="none"/>
              </w:rPr>
              <w:t>二级指标</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b/>
                <w:bCs/>
                <w:color w:val="auto"/>
                <w:sz w:val="24"/>
                <w:szCs w:val="24"/>
                <w:highlight w:val="none"/>
              </w:rPr>
            </w:pPr>
            <w:r>
              <w:rPr>
                <w:rFonts w:hint="eastAsia" w:ascii="方正仿宋_GBK" w:hAnsi="方正仿宋_GBK" w:eastAsia="方正仿宋_GBK" w:cs="方正仿宋_GBK"/>
                <w:b/>
                <w:bCs/>
                <w:color w:val="auto"/>
                <w:kern w:val="0"/>
                <w:sz w:val="24"/>
                <w:szCs w:val="24"/>
                <w:highlight w:val="none"/>
              </w:rPr>
              <w:t>三级指标</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b/>
                <w:bCs/>
                <w:color w:val="auto"/>
                <w:sz w:val="24"/>
                <w:szCs w:val="24"/>
                <w:highlight w:val="none"/>
              </w:rPr>
            </w:pPr>
            <w:r>
              <w:rPr>
                <w:rFonts w:hint="eastAsia" w:ascii="方正仿宋_GBK" w:hAnsi="方正仿宋_GBK" w:eastAsia="方正仿宋_GBK" w:cs="方正仿宋_GBK"/>
                <w:b/>
                <w:bCs/>
                <w:color w:val="auto"/>
                <w:kern w:val="0"/>
                <w:sz w:val="24"/>
                <w:szCs w:val="24"/>
                <w:highlight w:val="none"/>
              </w:rPr>
              <w:t>评价标准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b/>
                <w:bCs/>
                <w:color w:val="auto"/>
                <w:sz w:val="24"/>
                <w:szCs w:val="24"/>
                <w:highlight w:val="none"/>
              </w:rPr>
            </w:pPr>
            <w:r>
              <w:rPr>
                <w:rFonts w:hint="eastAsia" w:ascii="方正仿宋_GBK" w:hAnsi="方正仿宋_GBK" w:eastAsia="方正仿宋_GBK" w:cs="方正仿宋_GBK"/>
                <w:b/>
                <w:bCs/>
                <w:color w:val="auto"/>
                <w:kern w:val="0"/>
                <w:sz w:val="24"/>
                <w:szCs w:val="24"/>
                <w:highlight w:val="none"/>
              </w:rPr>
              <w:t>得分</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决策（20分）</w:t>
            </w: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项目立项（5分）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立项依据充分性（3分）</w:t>
            </w:r>
          </w:p>
        </w:tc>
        <w:tc>
          <w:tcPr>
            <w:tcW w:w="5427" w:type="dxa"/>
            <w:tcBorders>
              <w:top w:val="single" w:color="000000" w:sz="4" w:space="0"/>
              <w:left w:val="single" w:color="000000" w:sz="4" w:space="0"/>
              <w:bottom w:val="single" w:color="000000" w:sz="4" w:space="0"/>
              <w:right w:val="single" w:color="000000" w:sz="4" w:space="0"/>
            </w:tcBorders>
          </w:tcPr>
          <w:p>
            <w:pPr>
              <w:spacing w:line="560" w:lineRule="exact"/>
              <w:ind w:firstLine="0" w:firstLineChars="0"/>
              <w:rPr>
                <w:rFonts w:ascii="宋体" w:hAnsi="宋体" w:eastAsia="宋体" w:cs="宋体"/>
                <w:color w:val="auto"/>
                <w:sz w:val="18"/>
                <w:szCs w:val="18"/>
                <w:highlight w:val="none"/>
              </w:rPr>
            </w:pPr>
            <w:r>
              <w:rPr>
                <w:rFonts w:hint="eastAsia" w:ascii="方正仿宋_GBK" w:hAnsi="方正仿宋_GBK" w:eastAsia="方正仿宋_GBK" w:cs="方正仿宋_GBK"/>
                <w:color w:val="auto"/>
                <w:kern w:val="0"/>
                <w:sz w:val="24"/>
                <w:szCs w:val="24"/>
                <w:highlight w:val="none"/>
              </w:rPr>
              <w:t>①项目立项是否符合国家法律法规、国民经济发展规划和相关政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⑤项目是否与相关部门同类项目或部门内部相关项目重复0.5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立项程序（2分）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项目是否按照规定的程序申请设立得1分，否则不得分；②审批文件、材料是否符合相关要求得0.5分，否则不得分；③事前是否已经过必要的可行性研究、专家论证、风险评估、绩效评估、集体决策得0.5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绩效目标（5分）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绩效目标合理性（3分）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项目是否有绩效目标得0.5分，否则不得分；②项目绩效目标与实际工作内容是否具有相关性得1分，否则不得分；③项目预期产出效益和效果是否符合正常的业绩水平得0.5分，否则不得分；④是否与预算确定的项目投资额或资金量相匹配得1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绩效指标明确性（2分）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①是否将项目绩效目标细化分解为具体的绩效指标得0.5分，否则不得分；②是否通过清晰、可衡量的指标值予以体现得1分，否则不得分；③是否与项目目标任务数或计划数相对应得0.5分，否则不得分；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资金投入（10分）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预算编制（5分）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预算编制是否经过科学论证得1分，否则不得分；②预算内容与项目内容是否匹配得1分，否则不得分；③预算额度测算依据是否充分，是否按照标准编制得1分，否则不得分；④预算确定的项目投资额或资金量是否与工作任务相匹配得2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4</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资金分配合理性（5分）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①预算资金分配依据是否充分得2.5分，否则不得分；②资金分配额度是否合理，与项目单位或地方实际是否相适应得2.5分，否则不得分。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5</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过程（20分）</w:t>
            </w: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资金管理（15分）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资金到位率（5分）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到位率=（实际到位资金/预算资金）×100%，实际到位资金：一定时期（本年度或项目期）内落实到具体项目的资金得2.5分，否则不得分；预算资金：一定时期（本年度或项目期）内预算安排到具体项目的资金得2.5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预算执行率（5分）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预算执行率</w:t>
            </w:r>
            <w:r>
              <w:rPr>
                <w:rStyle w:val="54"/>
                <w:rFonts w:eastAsia="方正仿宋_GBK"/>
                <w:color w:val="auto"/>
                <w:highlight w:val="none"/>
              </w:rPr>
              <w:t>=</w:t>
            </w:r>
            <w:r>
              <w:rPr>
                <w:rStyle w:val="42"/>
                <w:rFonts w:hint="default"/>
                <w:color w:val="auto"/>
                <w:highlight w:val="none"/>
              </w:rPr>
              <w:t>（实际支出资金</w:t>
            </w:r>
            <w:r>
              <w:rPr>
                <w:rStyle w:val="54"/>
                <w:rFonts w:eastAsia="方正仿宋_GBK"/>
                <w:color w:val="auto"/>
                <w:highlight w:val="none"/>
              </w:rPr>
              <w:t>/</w:t>
            </w:r>
            <w:r>
              <w:rPr>
                <w:rStyle w:val="42"/>
                <w:rFonts w:hint="default"/>
                <w:color w:val="auto"/>
                <w:highlight w:val="none"/>
              </w:rPr>
              <w:t>实际到位资金）×</w:t>
            </w:r>
            <w:r>
              <w:rPr>
                <w:rStyle w:val="54"/>
                <w:rFonts w:eastAsia="方正仿宋_GBK"/>
                <w:color w:val="auto"/>
                <w:highlight w:val="none"/>
              </w:rPr>
              <w:t>100%</w:t>
            </w:r>
            <w:r>
              <w:rPr>
                <w:rFonts w:hint="eastAsia" w:ascii="方正仿宋_GBK" w:hAnsi="方正仿宋_GBK" w:eastAsia="方正仿宋_GBK" w:cs="方正仿宋_GBK"/>
                <w:color w:val="auto"/>
                <w:kern w:val="0"/>
                <w:sz w:val="24"/>
                <w:szCs w:val="24"/>
                <w:highlight w:val="none"/>
              </w:rPr>
              <w:t>得2.5分，否则不得分；</w:t>
            </w:r>
            <w:r>
              <w:rPr>
                <w:rStyle w:val="42"/>
                <w:rFonts w:hint="default"/>
                <w:color w:val="auto"/>
                <w:highlight w:val="none"/>
              </w:rPr>
              <w:t>实际支出资金：一定时期（本年度或项目期）内项目实际拨付的资金</w:t>
            </w:r>
            <w:r>
              <w:rPr>
                <w:rFonts w:hint="eastAsia" w:ascii="方正仿宋_GBK" w:hAnsi="方正仿宋_GBK" w:eastAsia="方正仿宋_GBK" w:cs="方正仿宋_GBK"/>
                <w:color w:val="auto"/>
                <w:kern w:val="0"/>
                <w:sz w:val="24"/>
                <w:szCs w:val="24"/>
                <w:highlight w:val="none"/>
              </w:rPr>
              <w:t>得2.5分，否则不得分。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资金使用合规性（5分）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是否符合国家财经法规和财务管理制度以及有关专项资金管理办法的规定得1分，否则不得分；②资金的拨付是否有完整的审批程序和手续得1分，否则不得分；③是否符合项目预算批复或合同规定的用途得1分，否则不得分；④是否存在截留、挤占、挪用、虚列支出等情况得2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组织实施（5分）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管理制度健全性（2分）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①是否已制定或具有相应的财务和业务管理制度得1分，否则不得分；②财务和业务管理制度是否合法、合规、完整得1分，否则不得分。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制度执行（3分）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是否遵守相关法律法规和相关管理规定得1分，否则不得分；；②项目调整及支出调整手续是否完备得1分，否则不得分；③项目合同书、验收报告、技术鉴定等资料是否齐全并及时归档得0.5分，否则不得分；；④项目实施的人员条件、场地设备、信息支撑等是否落实到位得0.5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3</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产出（40分）</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产出数量（</w:t>
            </w:r>
            <w:r>
              <w:rPr>
                <w:rStyle w:val="54"/>
                <w:rFonts w:eastAsia="方正仿宋_GBK"/>
                <w:color w:val="auto"/>
                <w:highlight w:val="none"/>
              </w:rPr>
              <w:t>10</w:t>
            </w:r>
            <w:r>
              <w:rPr>
                <w:rStyle w:val="42"/>
                <w:rFonts w:hint="default"/>
                <w:color w:val="auto"/>
                <w:highlight w:val="none"/>
              </w:rPr>
              <w:t>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实际完成率（10分）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textAlignment w:val="center"/>
              <w:rPr>
                <w:rFonts w:hint="eastAsia"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rPr>
              <w:t>①购买电子政务网设备（批）</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预期指标值&gt;=1批，</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10</w:t>
            </w:r>
            <w:r>
              <w:rPr>
                <w:rFonts w:hint="eastAsia" w:ascii="方正仿宋_GBK" w:hAnsi="方正仿宋_GBK" w:eastAsia="方正仿宋_GBK" w:cs="方正仿宋_GBK"/>
                <w:color w:val="auto"/>
                <w:kern w:val="0"/>
                <w:sz w:val="24"/>
                <w:szCs w:val="24"/>
                <w:highlight w:val="none"/>
              </w:rPr>
              <w:t>分）否则</w:t>
            </w:r>
            <w:r>
              <w:rPr>
                <w:rFonts w:hint="eastAsia" w:ascii="方正仿宋_GBK" w:hAnsi="方正仿宋_GBK" w:eastAsia="方正仿宋_GBK" w:cs="方正仿宋_GBK"/>
                <w:color w:val="auto"/>
                <w:kern w:val="0"/>
                <w:sz w:val="24"/>
                <w:szCs w:val="24"/>
                <w:highlight w:val="none"/>
                <w:lang w:val="en-US" w:eastAsia="zh-CN"/>
              </w:rPr>
              <w:t>不得分</w:t>
            </w:r>
          </w:p>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 xml:space="preserve">实际完成率=（实际产出数/计划产出数）×100% 。             </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产出质量（10分）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质量达标率（10分）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rPr>
              <w:t>①电子政务网设备合格率（%）</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预期指标值=100%，</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5</w:t>
            </w:r>
            <w:r>
              <w:rPr>
                <w:rFonts w:hint="eastAsia" w:ascii="方正仿宋_GBK" w:hAnsi="方正仿宋_GBK" w:eastAsia="方正仿宋_GBK" w:cs="方正仿宋_GBK"/>
                <w:color w:val="auto"/>
                <w:kern w:val="0"/>
                <w:sz w:val="24"/>
                <w:szCs w:val="24"/>
                <w:highlight w:val="none"/>
              </w:rPr>
              <w:t>分）否则不得分；</w:t>
            </w:r>
          </w:p>
          <w:p>
            <w:pPr>
              <w:widowControl/>
              <w:spacing w:line="560" w:lineRule="exact"/>
              <w:ind w:firstLine="0" w:firstLineChars="0"/>
              <w:jc w:val="left"/>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lang w:val="en-US" w:eastAsia="zh-CN"/>
              </w:rPr>
              <w:t>②资金足额拨付率（%）</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预期指标值=100%，</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5</w:t>
            </w:r>
            <w:r>
              <w:rPr>
                <w:rFonts w:hint="eastAsia" w:ascii="方正仿宋_GBK" w:hAnsi="方正仿宋_GBK" w:eastAsia="方正仿宋_GBK" w:cs="方正仿宋_GBK"/>
                <w:color w:val="auto"/>
                <w:kern w:val="0"/>
                <w:sz w:val="24"/>
                <w:szCs w:val="24"/>
                <w:highlight w:val="none"/>
              </w:rPr>
              <w:t>分）否则不得分；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 xml:space="preserve">质量达标率=（质量达标产出数/实际产出数）×100%。          </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产出时效（10分）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完成及时性（10分）</w:t>
            </w:r>
          </w:p>
        </w:tc>
        <w:tc>
          <w:tcPr>
            <w:tcW w:w="5427" w:type="dxa"/>
            <w:tcBorders>
              <w:top w:val="single" w:color="000000" w:sz="4" w:space="0"/>
              <w:left w:val="single" w:color="000000" w:sz="4" w:space="0"/>
              <w:bottom w:val="single" w:color="000000" w:sz="4" w:space="0"/>
              <w:right w:val="single" w:color="000000" w:sz="4" w:space="0"/>
            </w:tcBorders>
          </w:tcPr>
          <w:p>
            <w:pPr>
              <w:widowControl/>
              <w:spacing w:line="560" w:lineRule="exact"/>
              <w:ind w:firstLine="0" w:firstLineChars="0"/>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①项目完成及时率（%）</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预期指标值=100%，</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5</w:t>
            </w:r>
            <w:r>
              <w:rPr>
                <w:rFonts w:hint="eastAsia" w:ascii="方正仿宋_GBK" w:hAnsi="方正仿宋_GBK" w:eastAsia="方正仿宋_GBK" w:cs="方正仿宋_GBK"/>
                <w:color w:val="auto"/>
                <w:kern w:val="0"/>
                <w:sz w:val="24"/>
                <w:szCs w:val="24"/>
                <w:highlight w:val="none"/>
              </w:rPr>
              <w:t>分）否则不得分；；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②设备安装到位及时率（%</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预期指标值=100%，</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5</w:t>
            </w:r>
            <w:r>
              <w:rPr>
                <w:rFonts w:hint="eastAsia" w:ascii="方正仿宋_GBK" w:hAnsi="方正仿宋_GBK" w:eastAsia="方正仿宋_GBK" w:cs="方正仿宋_GBK"/>
                <w:color w:val="auto"/>
                <w:kern w:val="0"/>
                <w:sz w:val="24"/>
                <w:szCs w:val="24"/>
                <w:highlight w:val="none"/>
              </w:rPr>
              <w:t>分）否则不得分；；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实际完成时间：项目实施单位完成该项目实际所耗用的时间。                                                计划完成时间：按照项目实施计划或相关规定完成该项目所需的时间。</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产出成本（10</w:t>
            </w:r>
            <w:r>
              <w:rPr>
                <w:rStyle w:val="42"/>
                <w:rFonts w:hint="default"/>
                <w:color w:val="auto"/>
                <w:highlight w:val="none"/>
              </w:rPr>
              <w:t>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成本节约率（10分）</w:t>
            </w:r>
          </w:p>
        </w:tc>
        <w:tc>
          <w:tcPr>
            <w:tcW w:w="5427" w:type="dxa"/>
            <w:tcBorders>
              <w:top w:val="single" w:color="000000" w:sz="4" w:space="0"/>
              <w:left w:val="single" w:color="000000" w:sz="4" w:space="0"/>
              <w:bottom w:val="single" w:color="000000" w:sz="4" w:space="0"/>
              <w:right w:val="single" w:color="000000" w:sz="4" w:space="0"/>
            </w:tcBorders>
          </w:tcPr>
          <w:p>
            <w:pPr>
              <w:widowControl/>
              <w:spacing w:line="560" w:lineRule="exact"/>
              <w:ind w:firstLine="0" w:firstLineChars="0"/>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①购买电子政务设备成本总金额（万元）</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预期指标值&lt;=126.40万元，</w:t>
            </w:r>
            <w:r>
              <w:rPr>
                <w:rFonts w:hint="eastAsia" w:ascii="方正仿宋_GBK" w:hAnsi="方正仿宋_GBK" w:eastAsia="方正仿宋_GBK" w:cs="方正仿宋_GBK"/>
                <w:color w:val="auto"/>
                <w:kern w:val="0"/>
                <w:sz w:val="24"/>
                <w:szCs w:val="24"/>
                <w:highlight w:val="none"/>
              </w:rPr>
              <w:t>完成该指标得满分（</w:t>
            </w:r>
            <w:r>
              <w:rPr>
                <w:rFonts w:hint="eastAsia" w:ascii="方正仿宋_GBK" w:hAnsi="方正仿宋_GBK" w:eastAsia="方正仿宋_GBK" w:cs="方正仿宋_GBK"/>
                <w:color w:val="auto"/>
                <w:kern w:val="0"/>
                <w:sz w:val="24"/>
                <w:szCs w:val="24"/>
                <w:highlight w:val="none"/>
                <w:lang w:val="en-US" w:eastAsia="zh-CN"/>
              </w:rPr>
              <w:t>10</w:t>
            </w:r>
            <w:r>
              <w:rPr>
                <w:rFonts w:hint="eastAsia" w:ascii="方正仿宋_GBK" w:hAnsi="方正仿宋_GBK" w:eastAsia="方正仿宋_GBK" w:cs="方正仿宋_GBK"/>
                <w:color w:val="auto"/>
                <w:kern w:val="0"/>
                <w:sz w:val="24"/>
                <w:szCs w:val="24"/>
                <w:highlight w:val="none"/>
              </w:rPr>
              <w:t>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1010</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效益（20分）</w:t>
            </w: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项目效益（10分）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实施效益（10分）</w:t>
            </w:r>
          </w:p>
        </w:tc>
        <w:tc>
          <w:tcPr>
            <w:tcW w:w="5427" w:type="dxa"/>
            <w:tcBorders>
              <w:top w:val="single" w:color="000000" w:sz="4" w:space="0"/>
              <w:left w:val="single" w:color="000000" w:sz="4" w:space="0"/>
              <w:bottom w:val="single" w:color="000000" w:sz="4" w:space="0"/>
              <w:right w:val="single" w:color="000000" w:sz="4" w:space="0"/>
            </w:tcBorders>
          </w:tcPr>
          <w:p>
            <w:pPr>
              <w:widowControl/>
              <w:spacing w:line="560" w:lineRule="exact"/>
              <w:ind w:firstLine="0" w:firstLineChars="0"/>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①经济效益：</w:t>
            </w:r>
            <w:r>
              <w:rPr>
                <w:rFonts w:hint="eastAsia" w:ascii="方正仿宋_GBK" w:hAnsi="方正仿宋_GBK" w:eastAsia="方正仿宋_GBK" w:cs="方正仿宋_GBK"/>
                <w:color w:val="auto"/>
                <w:kern w:val="0"/>
                <w:sz w:val="24"/>
                <w:szCs w:val="24"/>
                <w:highlight w:val="none"/>
                <w:lang w:val="en-US" w:eastAsia="zh-CN"/>
              </w:rPr>
              <w:t>无</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②社会效益：保障全县密码及密码安全率</w:t>
            </w:r>
            <w:r>
              <w:rPr>
                <w:rFonts w:hint="eastAsia" w:ascii="方正仿宋_GBK" w:hAnsi="方正仿宋_GBK" w:eastAsia="方正仿宋_GBK" w:cs="方正仿宋_GBK"/>
                <w:color w:val="auto"/>
                <w:kern w:val="0"/>
                <w:sz w:val="24"/>
                <w:szCs w:val="24"/>
                <w:highlight w:val="none"/>
                <w:lang w:val="en-US" w:eastAsia="zh-CN"/>
              </w:rPr>
              <w:t>100</w:t>
            </w:r>
            <w:r>
              <w:rPr>
                <w:rFonts w:hint="eastAsia" w:ascii="方正仿宋_GBK" w:hAnsi="方正仿宋_GBK" w:eastAsia="方正仿宋_GBK" w:cs="方正仿宋_GBK"/>
                <w:color w:val="auto"/>
                <w:kern w:val="0"/>
                <w:sz w:val="24"/>
                <w:szCs w:val="24"/>
                <w:highlight w:val="none"/>
              </w:rPr>
              <w:t>%</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lang w:val="en-US" w:eastAsia="zh-CN"/>
              </w:rPr>
              <w:t>，</w:t>
            </w:r>
            <w:r>
              <w:rPr>
                <w:rFonts w:hint="eastAsia" w:ascii="方正仿宋_GBK" w:hAnsi="方正仿宋_GBK" w:eastAsia="方正仿宋_GBK" w:cs="方正仿宋_GBK"/>
                <w:color w:val="auto"/>
                <w:kern w:val="0"/>
                <w:sz w:val="24"/>
                <w:szCs w:val="24"/>
                <w:highlight w:val="none"/>
              </w:rPr>
              <w:t>得满分（</w:t>
            </w:r>
            <w:r>
              <w:rPr>
                <w:rFonts w:hint="eastAsia" w:ascii="方正仿宋_GBK" w:hAnsi="方正仿宋_GBK" w:eastAsia="方正仿宋_GBK" w:cs="方正仿宋_GBK"/>
                <w:color w:val="auto"/>
                <w:kern w:val="0"/>
                <w:sz w:val="24"/>
                <w:szCs w:val="24"/>
                <w:highlight w:val="none"/>
                <w:lang w:val="en-US" w:eastAsia="zh-CN"/>
              </w:rPr>
              <w:t>3</w:t>
            </w:r>
            <w:r>
              <w:rPr>
                <w:rFonts w:hint="eastAsia" w:ascii="方正仿宋_GBK" w:hAnsi="方正仿宋_GBK" w:eastAsia="方正仿宋_GBK" w:cs="方正仿宋_GBK"/>
                <w:color w:val="auto"/>
                <w:kern w:val="0"/>
                <w:sz w:val="24"/>
                <w:szCs w:val="24"/>
                <w:highlight w:val="none"/>
              </w:rPr>
              <w:t>分），否则不得分；保障全县电子政务网畅通率</w:t>
            </w:r>
            <w:r>
              <w:rPr>
                <w:rFonts w:hint="eastAsia" w:ascii="方正仿宋_GBK" w:hAnsi="方正仿宋_GBK" w:eastAsia="方正仿宋_GBK" w:cs="方正仿宋_GBK"/>
                <w:color w:val="auto"/>
                <w:kern w:val="0"/>
                <w:sz w:val="24"/>
                <w:szCs w:val="24"/>
                <w:highlight w:val="none"/>
                <w:lang w:val="en-US" w:eastAsia="zh-CN"/>
              </w:rPr>
              <w:t>100</w:t>
            </w:r>
            <w:r>
              <w:rPr>
                <w:rFonts w:hint="eastAsia" w:ascii="方正仿宋_GBK" w:hAnsi="方正仿宋_GBK" w:eastAsia="方正仿宋_GBK" w:cs="方正仿宋_GBK"/>
                <w:color w:val="auto"/>
                <w:kern w:val="0"/>
                <w:sz w:val="24"/>
                <w:szCs w:val="24"/>
                <w:highlight w:val="none"/>
              </w:rPr>
              <w:t>%</w:t>
            </w:r>
            <w:r>
              <w:rPr>
                <w:rFonts w:hint="eastAsia" w:ascii="方正仿宋_GBK" w:hAnsi="方正仿宋_GBK" w:eastAsia="方正仿宋_GBK" w:cs="方正仿宋_GBK"/>
                <w:color w:val="auto"/>
                <w:kern w:val="0"/>
                <w:sz w:val="24"/>
                <w:szCs w:val="24"/>
                <w:highlight w:val="none"/>
                <w:lang w:val="en-US" w:eastAsia="zh-CN"/>
              </w:rPr>
              <w:t>，</w:t>
            </w:r>
            <w:r>
              <w:rPr>
                <w:rFonts w:hint="eastAsia" w:ascii="方正仿宋_GBK" w:hAnsi="方正仿宋_GBK" w:eastAsia="方正仿宋_GBK" w:cs="方正仿宋_GBK"/>
                <w:color w:val="auto"/>
                <w:kern w:val="0"/>
                <w:sz w:val="24"/>
                <w:szCs w:val="24"/>
                <w:highlight w:val="none"/>
              </w:rPr>
              <w:t>得满分（</w:t>
            </w:r>
            <w:r>
              <w:rPr>
                <w:rFonts w:hint="eastAsia" w:ascii="方正仿宋_GBK" w:hAnsi="方正仿宋_GBK" w:eastAsia="方正仿宋_GBK" w:cs="方正仿宋_GBK"/>
                <w:color w:val="auto"/>
                <w:kern w:val="0"/>
                <w:sz w:val="24"/>
                <w:szCs w:val="24"/>
                <w:highlight w:val="none"/>
                <w:lang w:val="en-US" w:eastAsia="zh-CN"/>
              </w:rPr>
              <w:t>3</w:t>
            </w:r>
            <w:r>
              <w:rPr>
                <w:rFonts w:hint="eastAsia" w:ascii="方正仿宋_GBK" w:hAnsi="方正仿宋_GBK" w:eastAsia="方正仿宋_GBK" w:cs="方正仿宋_GBK"/>
                <w:color w:val="auto"/>
                <w:kern w:val="0"/>
                <w:sz w:val="24"/>
                <w:szCs w:val="24"/>
                <w:highlight w:val="none"/>
              </w:rPr>
              <w:t>分），否则不得分</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rPr>
              <w:t xml:space="preserve">         </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③生态效益：</w:t>
            </w:r>
            <w:r>
              <w:rPr>
                <w:rFonts w:hint="eastAsia" w:ascii="方正仿宋_GBK" w:hAnsi="方正仿宋_GBK" w:eastAsia="方正仿宋_GBK" w:cs="方正仿宋_GBK"/>
                <w:color w:val="auto"/>
                <w:kern w:val="0"/>
                <w:sz w:val="24"/>
                <w:szCs w:val="24"/>
                <w:highlight w:val="none"/>
                <w:lang w:val="en-US" w:eastAsia="zh-CN"/>
              </w:rPr>
              <w:t>无</w:t>
            </w:r>
            <w:r>
              <w:rPr>
                <w:rFonts w:hint="eastAsia" w:ascii="方正仿宋_GBK" w:hAnsi="方正仿宋_GBK" w:eastAsia="方正仿宋_GBK" w:cs="方正仿宋_GBK"/>
                <w:color w:val="auto"/>
                <w:kern w:val="0"/>
                <w:sz w:val="24"/>
                <w:szCs w:val="24"/>
                <w:highlight w:val="none"/>
              </w:rPr>
              <w:t xml:space="preserve">                                                     </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④可持续影响：设备可持续使用时间</w:t>
            </w:r>
            <w:r>
              <w:rPr>
                <w:rFonts w:hint="eastAsia" w:ascii="方正仿宋_GBK" w:hAnsi="方正仿宋_GBK" w:eastAsia="方正仿宋_GBK" w:cs="方正仿宋_GBK"/>
                <w:color w:val="auto"/>
                <w:kern w:val="0"/>
                <w:sz w:val="24"/>
                <w:szCs w:val="24"/>
                <w:highlight w:val="none"/>
                <w:lang w:val="en-US" w:eastAsia="zh-CN"/>
              </w:rPr>
              <w:t>5</w:t>
            </w:r>
            <w:r>
              <w:rPr>
                <w:rFonts w:hint="eastAsia" w:ascii="方正仿宋_GBK" w:hAnsi="方正仿宋_GBK" w:eastAsia="方正仿宋_GBK" w:cs="方正仿宋_GBK"/>
                <w:color w:val="auto"/>
                <w:kern w:val="0"/>
                <w:sz w:val="24"/>
                <w:szCs w:val="24"/>
                <w:highlight w:val="none"/>
              </w:rPr>
              <w:t>年</w:t>
            </w:r>
            <w:r>
              <w:rPr>
                <w:rFonts w:hint="eastAsia" w:ascii="方正仿宋_GBK" w:hAnsi="方正仿宋_GBK" w:eastAsia="方正仿宋_GBK" w:cs="方正仿宋_GBK"/>
                <w:color w:val="auto"/>
                <w:kern w:val="0"/>
                <w:sz w:val="24"/>
                <w:szCs w:val="24"/>
                <w:highlight w:val="none"/>
                <w:lang w:eastAsia="zh-CN"/>
              </w:rPr>
              <w:t>，</w:t>
            </w:r>
            <w:r>
              <w:rPr>
                <w:rFonts w:hint="eastAsia" w:ascii="方正仿宋_GBK" w:hAnsi="方正仿宋_GBK" w:eastAsia="方正仿宋_GBK" w:cs="方正仿宋_GBK"/>
                <w:color w:val="auto"/>
                <w:kern w:val="0"/>
                <w:sz w:val="24"/>
                <w:szCs w:val="24"/>
                <w:highlight w:val="none"/>
              </w:rPr>
              <w:t>得满分（</w:t>
            </w:r>
            <w:r>
              <w:rPr>
                <w:rFonts w:hint="eastAsia" w:ascii="方正仿宋_GBK" w:hAnsi="方正仿宋_GBK" w:eastAsia="方正仿宋_GBK" w:cs="方正仿宋_GBK"/>
                <w:color w:val="auto"/>
                <w:kern w:val="0"/>
                <w:sz w:val="24"/>
                <w:szCs w:val="24"/>
                <w:highlight w:val="none"/>
                <w:lang w:val="en-US" w:eastAsia="zh-CN"/>
              </w:rPr>
              <w:t>4</w:t>
            </w:r>
            <w:r>
              <w:rPr>
                <w:rFonts w:hint="eastAsia" w:ascii="方正仿宋_GBK" w:hAnsi="方正仿宋_GBK" w:eastAsia="方正仿宋_GBK" w:cs="方正仿宋_GBK"/>
                <w:color w:val="auto"/>
                <w:kern w:val="0"/>
                <w:sz w:val="24"/>
                <w:szCs w:val="24"/>
                <w:highlight w:val="none"/>
              </w:rPr>
              <w:t>分），否则不得分。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ascii="方正仿宋_GBK" w:hAnsi="方正仿宋_GBK" w:eastAsia="方正仿宋_GBK" w:cs="方正仿宋_GBK"/>
                <w:color w:val="auto"/>
                <w:sz w:val="24"/>
                <w:szCs w:val="24"/>
                <w:highlight w:val="none"/>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满意度（10分）</w:t>
            </w:r>
          </w:p>
        </w:tc>
        <w:tc>
          <w:tcPr>
            <w:tcW w:w="5427" w:type="dxa"/>
            <w:tcBorders>
              <w:top w:val="single" w:color="000000" w:sz="4" w:space="0"/>
              <w:left w:val="single" w:color="000000" w:sz="4" w:space="0"/>
              <w:bottom w:val="single" w:color="000000" w:sz="4" w:space="0"/>
              <w:right w:val="single" w:color="000000" w:sz="4" w:space="0"/>
            </w:tcBorders>
          </w:tcPr>
          <w:p>
            <w:pPr>
              <w:widowControl/>
              <w:spacing w:line="560" w:lineRule="exact"/>
              <w:ind w:firstLine="0" w:firstLineChars="0"/>
              <w:textAlignment w:val="center"/>
              <w:rPr>
                <w:rFonts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rPr>
              <w:t>根据问卷调查，受益</w:t>
            </w:r>
            <w:r>
              <w:rPr>
                <w:rFonts w:hint="eastAsia" w:ascii="方正仿宋_GBK" w:hAnsi="方正仿宋_GBK" w:eastAsia="方正仿宋_GBK" w:cs="方正仿宋_GBK"/>
                <w:color w:val="auto"/>
                <w:kern w:val="0"/>
                <w:sz w:val="24"/>
                <w:szCs w:val="24"/>
                <w:highlight w:val="none"/>
                <w:lang w:val="en-US" w:eastAsia="zh-CN"/>
              </w:rPr>
              <w:t>干部</w:t>
            </w:r>
            <w:r>
              <w:rPr>
                <w:rFonts w:hint="eastAsia" w:ascii="方正仿宋_GBK" w:hAnsi="方正仿宋_GBK" w:eastAsia="方正仿宋_GBK" w:cs="方正仿宋_GBK"/>
                <w:color w:val="auto"/>
                <w:kern w:val="0"/>
                <w:sz w:val="24"/>
                <w:szCs w:val="24"/>
                <w:highlight w:val="none"/>
              </w:rPr>
              <w:t xml:space="preserve">满意度达到满意的人数：                                      </w:t>
            </w:r>
          </w:p>
          <w:p>
            <w:pPr>
              <w:widowControl/>
              <w:spacing w:line="560" w:lineRule="exact"/>
              <w:ind w:firstLine="0" w:firstLineChars="0"/>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①人数大于等于95%，得10分；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②人数小于95%大于等于85%，得8分；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③人数小于85%大于等于70%，得5分；</w:t>
            </w:r>
            <w:r>
              <w:rPr>
                <w:rFonts w:hint="eastAsia" w:ascii="方正仿宋_GBK" w:hAnsi="方正仿宋_GBK" w:eastAsia="方正仿宋_GBK" w:cs="方正仿宋_GBK"/>
                <w:color w:val="auto"/>
                <w:kern w:val="0"/>
                <w:sz w:val="24"/>
                <w:szCs w:val="24"/>
                <w:highlight w:val="none"/>
              </w:rPr>
              <w:br w:type="textWrapping"/>
            </w:r>
            <w:r>
              <w:rPr>
                <w:rFonts w:hint="eastAsia" w:ascii="方正仿宋_GBK" w:hAnsi="方正仿宋_GBK" w:eastAsia="方正仿宋_GBK" w:cs="方正仿宋_GBK"/>
                <w:color w:val="auto"/>
                <w:kern w:val="0"/>
                <w:sz w:val="24"/>
                <w:szCs w:val="24"/>
                <w:highlight w:val="none"/>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eastAsia="等线" w:cs="Times New Roman"/>
                <w:color w:val="auto"/>
                <w:sz w:val="24"/>
                <w:szCs w:val="24"/>
                <w:highlight w:val="none"/>
              </w:rPr>
            </w:pPr>
            <w:r>
              <w:rPr>
                <w:rFonts w:hint="eastAsia" w:eastAsia="等线" w:cs="Times New Roman"/>
                <w:color w:val="auto"/>
                <w:sz w:val="24"/>
                <w:szCs w:val="24"/>
                <w:highlight w:val="none"/>
              </w:rPr>
              <w:t>10</w:t>
            </w:r>
          </w:p>
        </w:tc>
      </w:tr>
      <w:tr>
        <w:tblPrEx>
          <w:tblCellMar>
            <w:top w:w="0" w:type="dxa"/>
            <w:left w:w="108" w:type="dxa"/>
            <w:bottom w:w="0" w:type="dxa"/>
            <w:right w:w="108" w:type="dxa"/>
          </w:tblCellMar>
        </w:tblPrEx>
        <w:trPr>
          <w:trHeight w:val="397" w:hRule="atLeast"/>
        </w:trPr>
        <w:tc>
          <w:tcPr>
            <w:tcW w:w="93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kern w:val="0"/>
                <w:sz w:val="24"/>
                <w:szCs w:val="24"/>
                <w:highlight w:val="none"/>
              </w:rPr>
              <w:t>合计</w:t>
            </w:r>
          </w:p>
        </w:tc>
        <w:tc>
          <w:tcPr>
            <w:tcW w:w="21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rPr>
              <w:t>100分</w:t>
            </w:r>
          </w:p>
        </w:tc>
        <w:tc>
          <w:tcPr>
            <w:tcW w:w="5427"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rPr>
                <w:rFonts w:eastAsia="等线" w:cs="Times New Roman"/>
                <w:color w:val="auto"/>
                <w:sz w:val="24"/>
                <w:szCs w:val="24"/>
                <w:highlight w:val="none"/>
              </w:rPr>
            </w:pPr>
          </w:p>
        </w:tc>
        <w:tc>
          <w:tcPr>
            <w:tcW w:w="51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ind w:firstLine="0" w:firstLineChars="0"/>
              <w:jc w:val="center"/>
              <w:textAlignment w:val="center"/>
              <w:rPr>
                <w:rFonts w:hint="default" w:eastAsia="等线" w:cs="Times New Roman"/>
                <w:color w:val="auto"/>
                <w:sz w:val="24"/>
                <w:szCs w:val="24"/>
                <w:highlight w:val="none"/>
                <w:lang w:val="en-US" w:eastAsia="zh-CN"/>
              </w:rPr>
            </w:pPr>
            <w:r>
              <w:rPr>
                <w:rFonts w:hint="eastAsia" w:eastAsia="等线" w:cs="Times New Roman"/>
                <w:color w:val="auto"/>
                <w:sz w:val="24"/>
                <w:szCs w:val="24"/>
                <w:highlight w:val="none"/>
                <w:lang w:val="en-US" w:eastAsia="zh-CN"/>
              </w:rPr>
              <w:t>100</w:t>
            </w:r>
          </w:p>
        </w:tc>
      </w:tr>
    </w:tbl>
    <w:p>
      <w:pPr>
        <w:overflowPunct w:val="0"/>
        <w:spacing w:line="560" w:lineRule="exact"/>
        <w:ind w:firstLine="560"/>
        <w:contextualSpacing/>
        <w:rPr>
          <w:rFonts w:eastAsia="方正仿宋_GBK" w:cs="方正仿宋_GBK"/>
          <w:b/>
          <w:bCs/>
          <w:color w:val="auto"/>
          <w:sz w:val="32"/>
          <w:szCs w:val="32"/>
          <w:highlight w:val="none"/>
        </w:rPr>
      </w:pPr>
      <w:r>
        <w:rPr>
          <w:rFonts w:hint="eastAsia" w:eastAsia="方正仿宋_GBK" w:cs="方正仿宋_GBK"/>
          <w:b/>
          <w:bCs/>
          <w:color w:val="auto"/>
          <w:highlight w:val="none"/>
        </w:rPr>
        <w:br w:type="page"/>
      </w:r>
      <w:r>
        <w:rPr>
          <w:rFonts w:hint="eastAsia" w:eastAsia="方正仿宋_GBK" w:cs="方正仿宋_GBK"/>
          <w:b/>
          <w:bCs/>
          <w:color w:val="auto"/>
          <w:sz w:val="32"/>
          <w:szCs w:val="32"/>
          <w:highlight w:val="none"/>
        </w:rPr>
        <w:t>附件2：满意度调查问卷</w:t>
      </w:r>
    </w:p>
    <w:p>
      <w:pPr>
        <w:overflowPunct w:val="0"/>
        <w:spacing w:line="560" w:lineRule="exact"/>
        <w:ind w:firstLine="640"/>
        <w:contextualSpacing/>
        <w:rPr>
          <w:rFonts w:eastAsia="方正仿宋_GBK" w:cs="方正仿宋_GBK"/>
          <w:color w:val="auto"/>
          <w:sz w:val="32"/>
          <w:szCs w:val="32"/>
          <w:highlight w:val="none"/>
        </w:rPr>
      </w:pPr>
    </w:p>
    <w:sectPr>
      <w:headerReference r:id="rId3" w:type="default"/>
      <w:footerReference r:id="rId4" w:type="default"/>
      <w:pgSz w:w="11906" w:h="16838"/>
      <w:pgMar w:top="1984" w:right="1531" w:bottom="1701" w:left="1531" w:header="851" w:footer="992" w:gutter="0"/>
      <w:pgNumType w:start="1"/>
      <w:cols w:space="720" w:num="1"/>
      <w:docGrid w:type="lines" w:linePitch="3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2000000000000000000"/>
    <w:charset w:val="86"/>
    <w:family w:val="script"/>
    <w:pitch w:val="default"/>
    <w:sig w:usb0="00000000" w:usb1="00000000" w:usb2="00082016" w:usb3="00000000" w:csb0="00040001" w:csb1="00000000"/>
  </w:font>
  <w:font w:name="方正黑体_GBK">
    <w:altName w:val="微软雅黑"/>
    <w:panose1 w:val="02000000000000000000"/>
    <w:charset w:val="00"/>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6"/>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7</w:t>
                          </w:r>
                          <w:r>
                            <w:rPr>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16"/>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7</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19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mZDgxNGVhMzM0MDkyZWU3NzFjYTM5NmU3ZjE5MmUifQ=="/>
  </w:docVars>
  <w:rsids>
    <w:rsidRoot w:val="001342B0"/>
    <w:rsid w:val="00005CFE"/>
    <w:rsid w:val="000129BE"/>
    <w:rsid w:val="00025A66"/>
    <w:rsid w:val="00025C7B"/>
    <w:rsid w:val="00026D68"/>
    <w:rsid w:val="000B0A47"/>
    <w:rsid w:val="000B4C90"/>
    <w:rsid w:val="000B7456"/>
    <w:rsid w:val="000F19ED"/>
    <w:rsid w:val="00116F13"/>
    <w:rsid w:val="00133529"/>
    <w:rsid w:val="001342B0"/>
    <w:rsid w:val="0013699F"/>
    <w:rsid w:val="00154AB1"/>
    <w:rsid w:val="001A713D"/>
    <w:rsid w:val="001B4638"/>
    <w:rsid w:val="001B62E9"/>
    <w:rsid w:val="00237098"/>
    <w:rsid w:val="00265B5F"/>
    <w:rsid w:val="002810A8"/>
    <w:rsid w:val="00287087"/>
    <w:rsid w:val="002A6447"/>
    <w:rsid w:val="002C0FA1"/>
    <w:rsid w:val="0030133E"/>
    <w:rsid w:val="003418FD"/>
    <w:rsid w:val="003421D6"/>
    <w:rsid w:val="00355C5B"/>
    <w:rsid w:val="003801D3"/>
    <w:rsid w:val="003B13F4"/>
    <w:rsid w:val="003B55A8"/>
    <w:rsid w:val="003C2470"/>
    <w:rsid w:val="003D17D0"/>
    <w:rsid w:val="00417BA8"/>
    <w:rsid w:val="00417E0C"/>
    <w:rsid w:val="00450017"/>
    <w:rsid w:val="004550E0"/>
    <w:rsid w:val="0046425B"/>
    <w:rsid w:val="004860CE"/>
    <w:rsid w:val="00492B85"/>
    <w:rsid w:val="004B1048"/>
    <w:rsid w:val="004D6CA3"/>
    <w:rsid w:val="004E66D0"/>
    <w:rsid w:val="0051444F"/>
    <w:rsid w:val="00517EB3"/>
    <w:rsid w:val="0053274E"/>
    <w:rsid w:val="00537022"/>
    <w:rsid w:val="005604A7"/>
    <w:rsid w:val="00596BEB"/>
    <w:rsid w:val="005B7ABC"/>
    <w:rsid w:val="005C5165"/>
    <w:rsid w:val="006156C6"/>
    <w:rsid w:val="00625B19"/>
    <w:rsid w:val="00670E7D"/>
    <w:rsid w:val="00686622"/>
    <w:rsid w:val="006C4138"/>
    <w:rsid w:val="006F2FD9"/>
    <w:rsid w:val="006F5848"/>
    <w:rsid w:val="00741A55"/>
    <w:rsid w:val="00747135"/>
    <w:rsid w:val="007538D8"/>
    <w:rsid w:val="00756F99"/>
    <w:rsid w:val="0075701C"/>
    <w:rsid w:val="00761699"/>
    <w:rsid w:val="00772EA0"/>
    <w:rsid w:val="00785978"/>
    <w:rsid w:val="00791A1B"/>
    <w:rsid w:val="007A458B"/>
    <w:rsid w:val="007B592C"/>
    <w:rsid w:val="007C5576"/>
    <w:rsid w:val="007E3373"/>
    <w:rsid w:val="007E6959"/>
    <w:rsid w:val="007F4E7A"/>
    <w:rsid w:val="00803CED"/>
    <w:rsid w:val="00834BC6"/>
    <w:rsid w:val="00837D40"/>
    <w:rsid w:val="00847863"/>
    <w:rsid w:val="008667CD"/>
    <w:rsid w:val="008715CB"/>
    <w:rsid w:val="00872BF6"/>
    <w:rsid w:val="008743A9"/>
    <w:rsid w:val="00892B55"/>
    <w:rsid w:val="00897964"/>
    <w:rsid w:val="008B1EB6"/>
    <w:rsid w:val="008D4040"/>
    <w:rsid w:val="008D5B06"/>
    <w:rsid w:val="008E4324"/>
    <w:rsid w:val="008E5601"/>
    <w:rsid w:val="008F4A33"/>
    <w:rsid w:val="009238D0"/>
    <w:rsid w:val="00936189"/>
    <w:rsid w:val="0098633B"/>
    <w:rsid w:val="009D623D"/>
    <w:rsid w:val="00A14E0C"/>
    <w:rsid w:val="00A16AD6"/>
    <w:rsid w:val="00A51218"/>
    <w:rsid w:val="00A87773"/>
    <w:rsid w:val="00A87988"/>
    <w:rsid w:val="00AD265F"/>
    <w:rsid w:val="00AF1303"/>
    <w:rsid w:val="00AF2068"/>
    <w:rsid w:val="00B11C14"/>
    <w:rsid w:val="00B16647"/>
    <w:rsid w:val="00B17847"/>
    <w:rsid w:val="00B45788"/>
    <w:rsid w:val="00B856EE"/>
    <w:rsid w:val="00B91B13"/>
    <w:rsid w:val="00BA7121"/>
    <w:rsid w:val="00BE1476"/>
    <w:rsid w:val="00C062C4"/>
    <w:rsid w:val="00C4247B"/>
    <w:rsid w:val="00C47700"/>
    <w:rsid w:val="00C52F11"/>
    <w:rsid w:val="00C64E44"/>
    <w:rsid w:val="00C6680C"/>
    <w:rsid w:val="00C72D08"/>
    <w:rsid w:val="00C8056E"/>
    <w:rsid w:val="00CB538F"/>
    <w:rsid w:val="00CC15C5"/>
    <w:rsid w:val="00CE14D6"/>
    <w:rsid w:val="00CE6C56"/>
    <w:rsid w:val="00D148F8"/>
    <w:rsid w:val="00D24B1A"/>
    <w:rsid w:val="00D3450F"/>
    <w:rsid w:val="00D35E67"/>
    <w:rsid w:val="00D40E93"/>
    <w:rsid w:val="00D52221"/>
    <w:rsid w:val="00D524CD"/>
    <w:rsid w:val="00D92BBE"/>
    <w:rsid w:val="00DA32AB"/>
    <w:rsid w:val="00DD56B6"/>
    <w:rsid w:val="00DE4B68"/>
    <w:rsid w:val="00E339F5"/>
    <w:rsid w:val="00E846CC"/>
    <w:rsid w:val="00EC4DD7"/>
    <w:rsid w:val="00F03527"/>
    <w:rsid w:val="00F07EB6"/>
    <w:rsid w:val="00F440E1"/>
    <w:rsid w:val="00F46472"/>
    <w:rsid w:val="00F517D0"/>
    <w:rsid w:val="00F62E86"/>
    <w:rsid w:val="00F67CD3"/>
    <w:rsid w:val="00F76D7A"/>
    <w:rsid w:val="00FC57E4"/>
    <w:rsid w:val="00FF1809"/>
    <w:rsid w:val="00FF386B"/>
    <w:rsid w:val="048D63DA"/>
    <w:rsid w:val="076B2518"/>
    <w:rsid w:val="08DA6D13"/>
    <w:rsid w:val="0BDA5A61"/>
    <w:rsid w:val="0C112DEB"/>
    <w:rsid w:val="0D4239A4"/>
    <w:rsid w:val="0D846CB8"/>
    <w:rsid w:val="0E045C51"/>
    <w:rsid w:val="125137DB"/>
    <w:rsid w:val="1483582A"/>
    <w:rsid w:val="148E2C16"/>
    <w:rsid w:val="16E15668"/>
    <w:rsid w:val="18DF2568"/>
    <w:rsid w:val="1A172CAA"/>
    <w:rsid w:val="1BE02ACA"/>
    <w:rsid w:val="1CA473E9"/>
    <w:rsid w:val="1E4E1D03"/>
    <w:rsid w:val="20EB1A8B"/>
    <w:rsid w:val="21623E41"/>
    <w:rsid w:val="21D342CD"/>
    <w:rsid w:val="245068F0"/>
    <w:rsid w:val="246E43DE"/>
    <w:rsid w:val="25445D82"/>
    <w:rsid w:val="2647710A"/>
    <w:rsid w:val="270316D2"/>
    <w:rsid w:val="28C36E95"/>
    <w:rsid w:val="291B2D86"/>
    <w:rsid w:val="2AAC35E1"/>
    <w:rsid w:val="2C5A7E1F"/>
    <w:rsid w:val="2CD57AC7"/>
    <w:rsid w:val="2DBB4593"/>
    <w:rsid w:val="2F784BC5"/>
    <w:rsid w:val="320A41F6"/>
    <w:rsid w:val="328E3F0E"/>
    <w:rsid w:val="33522A3C"/>
    <w:rsid w:val="336A2CE3"/>
    <w:rsid w:val="33E0074A"/>
    <w:rsid w:val="36313E4D"/>
    <w:rsid w:val="3641091F"/>
    <w:rsid w:val="370D3B55"/>
    <w:rsid w:val="37F43819"/>
    <w:rsid w:val="3C173D58"/>
    <w:rsid w:val="411205E4"/>
    <w:rsid w:val="42206209"/>
    <w:rsid w:val="423A33FA"/>
    <w:rsid w:val="43A22863"/>
    <w:rsid w:val="488F6DDC"/>
    <w:rsid w:val="489E7919"/>
    <w:rsid w:val="4B623CF6"/>
    <w:rsid w:val="4D986E76"/>
    <w:rsid w:val="4ED45435"/>
    <w:rsid w:val="511F22DC"/>
    <w:rsid w:val="52CE5760"/>
    <w:rsid w:val="53C65F93"/>
    <w:rsid w:val="543B0274"/>
    <w:rsid w:val="54ED3DD6"/>
    <w:rsid w:val="55066614"/>
    <w:rsid w:val="56ED8D94"/>
    <w:rsid w:val="57EB4E04"/>
    <w:rsid w:val="5C66118C"/>
    <w:rsid w:val="60354FCA"/>
    <w:rsid w:val="619369CA"/>
    <w:rsid w:val="61C5388E"/>
    <w:rsid w:val="62185DA8"/>
    <w:rsid w:val="627E2F22"/>
    <w:rsid w:val="635A413A"/>
    <w:rsid w:val="65FB0343"/>
    <w:rsid w:val="66BE2423"/>
    <w:rsid w:val="678F124D"/>
    <w:rsid w:val="67A43CC1"/>
    <w:rsid w:val="688F11A6"/>
    <w:rsid w:val="6AFB4E62"/>
    <w:rsid w:val="6B05442D"/>
    <w:rsid w:val="6C5626EE"/>
    <w:rsid w:val="7060790D"/>
    <w:rsid w:val="718669C1"/>
    <w:rsid w:val="73214E41"/>
    <w:rsid w:val="7416275A"/>
    <w:rsid w:val="77265D8A"/>
    <w:rsid w:val="7A0A70ED"/>
    <w:rsid w:val="7CF651C5"/>
    <w:rsid w:val="FBFE5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link w:val="34"/>
    <w:qFormat/>
    <w:uiPriority w:val="9"/>
    <w:pPr>
      <w:keepNext/>
      <w:keepLines/>
      <w:spacing w:before="340" w:after="330" w:line="578" w:lineRule="auto"/>
      <w:jc w:val="left"/>
      <w:outlineLvl w:val="0"/>
    </w:pPr>
    <w:rPr>
      <w:rFonts w:cs="Times New Roman"/>
      <w:b/>
      <w:bCs/>
      <w:kern w:val="44"/>
      <w:sz w:val="32"/>
      <w:szCs w:val="44"/>
    </w:rPr>
  </w:style>
  <w:style w:type="paragraph" w:styleId="6">
    <w:name w:val="heading 2"/>
    <w:basedOn w:val="1"/>
    <w:next w:val="1"/>
    <w:link w:val="35"/>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link w:val="49"/>
    <w:qFormat/>
    <w:uiPriority w:val="9"/>
    <w:pPr>
      <w:keepNext/>
      <w:keepLines/>
      <w:spacing w:before="260" w:after="260" w:line="416" w:lineRule="auto"/>
      <w:jc w:val="left"/>
      <w:outlineLvl w:val="2"/>
    </w:pPr>
    <w:rPr>
      <w:rFonts w:ascii="Calibri" w:hAnsi="Calibri" w:cs="Times New Roman"/>
      <w:bCs/>
      <w:kern w:val="0"/>
      <w:szCs w:val="32"/>
    </w:rPr>
  </w:style>
  <w:style w:type="paragraph" w:styleId="7">
    <w:name w:val="heading 4"/>
    <w:basedOn w:val="1"/>
    <w:next w:val="1"/>
    <w:link w:val="40"/>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7">
    <w:name w:val="Default Paragraph Font"/>
    <w:unhideWhenUsed/>
    <w:qFormat/>
    <w:uiPriority w:val="1"/>
  </w:style>
  <w:style w:type="table" w:default="1" w:styleId="25">
    <w:name w:val="Normal Table"/>
    <w:unhideWhenUsed/>
    <w:qFormat/>
    <w:uiPriority w:val="99"/>
    <w:tblPr>
      <w:tblCellMar>
        <w:top w:w="0" w:type="dxa"/>
        <w:left w:w="108" w:type="dxa"/>
        <w:bottom w:w="0" w:type="dxa"/>
        <w:right w:w="108" w:type="dxa"/>
      </w:tblCellMar>
    </w:tblPr>
  </w:style>
  <w:style w:type="paragraph" w:styleId="4">
    <w:name w:val="Body Text First Indent 2"/>
    <w:basedOn w:val="5"/>
    <w:link w:val="30"/>
    <w:unhideWhenUsed/>
    <w:qFormat/>
    <w:uiPriority w:val="0"/>
    <w:pPr>
      <w:ind w:firstLine="420"/>
    </w:pPr>
  </w:style>
  <w:style w:type="paragraph" w:styleId="5">
    <w:name w:val="Body Text Indent"/>
    <w:basedOn w:val="1"/>
    <w:link w:val="55"/>
    <w:unhideWhenUsed/>
    <w:qFormat/>
    <w:uiPriority w:val="99"/>
    <w:pPr>
      <w:spacing w:after="120"/>
      <w:ind w:left="420" w:leftChars="200"/>
    </w:pPr>
    <w:rPr>
      <w:rFonts w:ascii="Calibri" w:hAnsi="Calibri"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8"/>
    <w:unhideWhenUsed/>
    <w:qFormat/>
    <w:uiPriority w:val="99"/>
    <w:rPr>
      <w:rFonts w:ascii="宋体" w:hAnsi="Calibri" w:eastAsia="宋体" w:cs="Times New Roman"/>
      <w:kern w:val="0"/>
      <w:sz w:val="18"/>
      <w:szCs w:val="18"/>
    </w:rPr>
  </w:style>
  <w:style w:type="paragraph" w:styleId="10">
    <w:name w:val="annotation text"/>
    <w:basedOn w:val="1"/>
    <w:link w:val="37"/>
    <w:unhideWhenUsed/>
    <w:qFormat/>
    <w:uiPriority w:val="99"/>
    <w:rPr>
      <w:rFonts w:ascii="Calibri" w:hAnsi="Calibri" w:cs="Times New Roman"/>
      <w:kern w:val="0"/>
      <w:sz w:val="20"/>
      <w:szCs w:val="20"/>
    </w:rPr>
  </w:style>
  <w:style w:type="paragraph" w:styleId="11">
    <w:name w:val="Body Text"/>
    <w:basedOn w:val="1"/>
    <w:qFormat/>
    <w:uiPriority w:val="0"/>
    <w:pPr>
      <w:spacing w:before="240" w:after="240" w:line="360" w:lineRule="auto"/>
      <w:jc w:val="center"/>
    </w:pPr>
    <w:rPr>
      <w:b/>
      <w:sz w:val="44"/>
    </w:rPr>
  </w:style>
  <w:style w:type="paragraph" w:styleId="12">
    <w:name w:val="toc 5"/>
    <w:basedOn w:val="1"/>
    <w:next w:val="1"/>
    <w:unhideWhenUsed/>
    <w:qFormat/>
    <w:uiPriority w:val="39"/>
    <w:pPr>
      <w:ind w:left="1120"/>
      <w:jc w:val="left"/>
    </w:pPr>
    <w:rPr>
      <w:rFonts w:ascii="Calibri" w:hAnsi="Calibri" w:cs="Calibri"/>
      <w:sz w:val="18"/>
      <w:szCs w:val="18"/>
    </w:rPr>
  </w:style>
  <w:style w:type="paragraph" w:styleId="13">
    <w:name w:val="toc 3"/>
    <w:basedOn w:val="1"/>
    <w:next w:val="1"/>
    <w:unhideWhenUsed/>
    <w:qFormat/>
    <w:uiPriority w:val="39"/>
    <w:pPr>
      <w:ind w:left="560"/>
      <w:jc w:val="left"/>
    </w:pPr>
    <w:rPr>
      <w:rFonts w:ascii="Calibri" w:hAnsi="Calibri" w:cs="Calibri"/>
      <w:i/>
      <w:iCs/>
      <w:sz w:val="20"/>
      <w:szCs w:val="20"/>
    </w:rPr>
  </w:style>
  <w:style w:type="paragraph" w:styleId="14">
    <w:name w:val="toc 8"/>
    <w:basedOn w:val="1"/>
    <w:next w:val="1"/>
    <w:unhideWhenUsed/>
    <w:qFormat/>
    <w:uiPriority w:val="39"/>
    <w:pPr>
      <w:ind w:left="1960"/>
      <w:jc w:val="left"/>
    </w:pPr>
    <w:rPr>
      <w:rFonts w:ascii="Calibri" w:hAnsi="Calibri" w:cs="Calibri"/>
      <w:sz w:val="18"/>
      <w:szCs w:val="18"/>
    </w:rPr>
  </w:style>
  <w:style w:type="paragraph" w:styleId="15">
    <w:name w:val="Balloon Text"/>
    <w:basedOn w:val="1"/>
    <w:link w:val="41"/>
    <w:unhideWhenUsed/>
    <w:qFormat/>
    <w:uiPriority w:val="99"/>
    <w:rPr>
      <w:rFonts w:ascii="Calibri" w:hAnsi="Calibri" w:cs="Times New Roman"/>
      <w:kern w:val="0"/>
      <w:sz w:val="18"/>
      <w:szCs w:val="18"/>
    </w:rPr>
  </w:style>
  <w:style w:type="paragraph" w:styleId="16">
    <w:name w:val="footer"/>
    <w:basedOn w:val="1"/>
    <w:link w:val="39"/>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17">
    <w:name w:val="header"/>
    <w:basedOn w:val="1"/>
    <w:link w:val="31"/>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18">
    <w:name w:val="toc 1"/>
    <w:basedOn w:val="1"/>
    <w:next w:val="1"/>
    <w:unhideWhenUsed/>
    <w:qFormat/>
    <w:uiPriority w:val="39"/>
    <w:pPr>
      <w:spacing w:before="120" w:after="120"/>
      <w:jc w:val="left"/>
    </w:pPr>
    <w:rPr>
      <w:rFonts w:ascii="Calibri" w:hAnsi="Calibri" w:cs="Calibri"/>
      <w:b/>
      <w:bCs/>
      <w:caps/>
      <w:sz w:val="20"/>
      <w:szCs w:val="20"/>
    </w:rPr>
  </w:style>
  <w:style w:type="paragraph" w:styleId="19">
    <w:name w:val="toc 4"/>
    <w:basedOn w:val="1"/>
    <w:next w:val="1"/>
    <w:unhideWhenUsed/>
    <w:qFormat/>
    <w:uiPriority w:val="39"/>
    <w:pPr>
      <w:ind w:left="840"/>
      <w:jc w:val="left"/>
    </w:pPr>
    <w:rPr>
      <w:rFonts w:ascii="Calibri" w:hAnsi="Calibri" w:cs="Calibri"/>
      <w:sz w:val="18"/>
      <w:szCs w:val="18"/>
    </w:rPr>
  </w:style>
  <w:style w:type="paragraph" w:styleId="20">
    <w:name w:val="toc 6"/>
    <w:basedOn w:val="1"/>
    <w:next w:val="1"/>
    <w:unhideWhenUsed/>
    <w:qFormat/>
    <w:uiPriority w:val="39"/>
    <w:pPr>
      <w:ind w:left="1400"/>
      <w:jc w:val="left"/>
    </w:pPr>
    <w:rPr>
      <w:rFonts w:ascii="Calibri" w:hAnsi="Calibri" w:cs="Calibri"/>
      <w:sz w:val="18"/>
      <w:szCs w:val="18"/>
    </w:rPr>
  </w:style>
  <w:style w:type="paragraph" w:styleId="21">
    <w:name w:val="toc 2"/>
    <w:basedOn w:val="1"/>
    <w:next w:val="1"/>
    <w:unhideWhenUsed/>
    <w:qFormat/>
    <w:uiPriority w:val="39"/>
    <w:pPr>
      <w:ind w:left="280"/>
      <w:jc w:val="left"/>
    </w:pPr>
    <w:rPr>
      <w:rFonts w:ascii="Calibri" w:hAnsi="Calibri" w:cs="Calibri"/>
      <w:smallCaps/>
      <w:sz w:val="20"/>
      <w:szCs w:val="20"/>
    </w:rPr>
  </w:style>
  <w:style w:type="paragraph" w:styleId="22">
    <w:name w:val="toc 9"/>
    <w:basedOn w:val="1"/>
    <w:next w:val="1"/>
    <w:unhideWhenUsed/>
    <w:qFormat/>
    <w:uiPriority w:val="39"/>
    <w:pPr>
      <w:ind w:left="2240"/>
      <w:jc w:val="left"/>
    </w:pPr>
    <w:rPr>
      <w:rFonts w:ascii="Calibri" w:hAnsi="Calibri" w:cs="Calibri"/>
      <w:sz w:val="18"/>
      <w:szCs w:val="18"/>
    </w:rPr>
  </w:style>
  <w:style w:type="paragraph" w:styleId="23">
    <w:name w:val="Title"/>
    <w:basedOn w:val="1"/>
    <w:next w:val="1"/>
    <w:link w:val="44"/>
    <w:qFormat/>
    <w:uiPriority w:val="10"/>
    <w:pPr>
      <w:spacing w:before="240" w:after="60"/>
      <w:jc w:val="center"/>
      <w:outlineLvl w:val="0"/>
    </w:pPr>
    <w:rPr>
      <w:rFonts w:ascii="Cambria" w:hAnsi="Cambria" w:eastAsia="宋体" w:cs="Times New Roman"/>
      <w:b/>
      <w:bCs/>
      <w:sz w:val="32"/>
      <w:szCs w:val="32"/>
    </w:rPr>
  </w:style>
  <w:style w:type="paragraph" w:styleId="24">
    <w:name w:val="annotation subject"/>
    <w:basedOn w:val="10"/>
    <w:next w:val="10"/>
    <w:link w:val="36"/>
    <w:unhideWhenUsed/>
    <w:qFormat/>
    <w:uiPriority w:val="99"/>
    <w:rPr>
      <w:b/>
      <w:bCs/>
    </w:r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Hyperlink"/>
    <w:unhideWhenUsed/>
    <w:qFormat/>
    <w:uiPriority w:val="99"/>
    <w:rPr>
      <w:color w:val="0000FF"/>
      <w:u w:val="single"/>
    </w:rPr>
  </w:style>
  <w:style w:type="character" w:styleId="29">
    <w:name w:val="annotation reference"/>
    <w:unhideWhenUsed/>
    <w:qFormat/>
    <w:uiPriority w:val="99"/>
    <w:rPr>
      <w:sz w:val="16"/>
      <w:szCs w:val="16"/>
    </w:rPr>
  </w:style>
  <w:style w:type="character" w:customStyle="1" w:styleId="30">
    <w:name w:val="正文首行缩进 2 Char"/>
    <w:link w:val="4"/>
    <w:qFormat/>
    <w:uiPriority w:val="0"/>
    <w:rPr>
      <w:rFonts w:ascii="Calibri" w:hAnsi="Calibri" w:eastAsia="仿宋_GB2312" w:cs="黑体"/>
      <w:sz w:val="28"/>
    </w:rPr>
  </w:style>
  <w:style w:type="character" w:customStyle="1" w:styleId="31">
    <w:name w:val="页眉 Char"/>
    <w:link w:val="17"/>
    <w:qFormat/>
    <w:uiPriority w:val="99"/>
    <w:rPr>
      <w:rFonts w:ascii="Calibri" w:hAnsi="Calibri" w:eastAsia="仿宋_GB2312" w:cs="黑体"/>
      <w:sz w:val="18"/>
      <w:szCs w:val="18"/>
    </w:rPr>
  </w:style>
  <w:style w:type="character" w:customStyle="1" w:styleId="32">
    <w:name w:val="闻政-正文段落文字 Char"/>
    <w:link w:val="33"/>
    <w:qFormat/>
    <w:uiPriority w:val="3"/>
    <w:rPr>
      <w:rFonts w:ascii="Times New Roman" w:hAnsi="Times New Roman" w:eastAsia="仿宋_GB2312"/>
      <w:sz w:val="28"/>
      <w:szCs w:val="28"/>
    </w:rPr>
  </w:style>
  <w:style w:type="paragraph" w:customStyle="1" w:styleId="33">
    <w:name w:val="闻政-正文段落文字"/>
    <w:basedOn w:val="1"/>
    <w:link w:val="32"/>
    <w:qFormat/>
    <w:uiPriority w:val="3"/>
    <w:pPr>
      <w:spacing w:line="500" w:lineRule="exact"/>
      <w:ind w:firstLine="200"/>
    </w:pPr>
    <w:rPr>
      <w:rFonts w:cs="Times New Roman"/>
      <w:kern w:val="0"/>
      <w:szCs w:val="28"/>
    </w:rPr>
  </w:style>
  <w:style w:type="character" w:customStyle="1" w:styleId="34">
    <w:name w:val="标题 1 Char"/>
    <w:link w:val="3"/>
    <w:qFormat/>
    <w:uiPriority w:val="9"/>
    <w:rPr>
      <w:rFonts w:ascii="Times New Roman" w:hAnsi="Times New Roman" w:eastAsia="仿宋_GB2312" w:cs="Times New Roman"/>
      <w:b/>
      <w:bCs/>
      <w:kern w:val="44"/>
      <w:sz w:val="32"/>
      <w:szCs w:val="44"/>
    </w:rPr>
  </w:style>
  <w:style w:type="character" w:customStyle="1" w:styleId="35">
    <w:name w:val="标题 2 Char"/>
    <w:link w:val="6"/>
    <w:qFormat/>
    <w:uiPriority w:val="0"/>
    <w:rPr>
      <w:rFonts w:ascii="Cambria" w:hAnsi="Cambria" w:eastAsia="仿宋_GB2312" w:cs="Times New Roman"/>
      <w:b/>
      <w:bCs/>
      <w:kern w:val="0"/>
      <w:sz w:val="30"/>
      <w:szCs w:val="32"/>
    </w:rPr>
  </w:style>
  <w:style w:type="character" w:customStyle="1" w:styleId="36">
    <w:name w:val="批注主题 Char"/>
    <w:link w:val="24"/>
    <w:semiHidden/>
    <w:qFormat/>
    <w:uiPriority w:val="99"/>
    <w:rPr>
      <w:rFonts w:ascii="Calibri" w:hAnsi="Calibri" w:eastAsia="仿宋_GB2312" w:cs="黑体"/>
      <w:b/>
      <w:bCs/>
      <w:sz w:val="20"/>
      <w:szCs w:val="20"/>
    </w:rPr>
  </w:style>
  <w:style w:type="character" w:customStyle="1" w:styleId="37">
    <w:name w:val="批注文字 Char"/>
    <w:link w:val="10"/>
    <w:semiHidden/>
    <w:qFormat/>
    <w:uiPriority w:val="99"/>
    <w:rPr>
      <w:rFonts w:ascii="Calibri" w:hAnsi="Calibri" w:eastAsia="仿宋_GB2312" w:cs="黑体"/>
      <w:sz w:val="20"/>
      <w:szCs w:val="20"/>
    </w:rPr>
  </w:style>
  <w:style w:type="character" w:customStyle="1" w:styleId="38">
    <w:name w:val="文档结构图 Char"/>
    <w:link w:val="9"/>
    <w:semiHidden/>
    <w:qFormat/>
    <w:uiPriority w:val="99"/>
    <w:rPr>
      <w:rFonts w:ascii="宋体" w:hAnsi="Calibri" w:eastAsia="宋体" w:cs="黑体"/>
      <w:sz w:val="18"/>
      <w:szCs w:val="18"/>
    </w:rPr>
  </w:style>
  <w:style w:type="character" w:customStyle="1" w:styleId="39">
    <w:name w:val="页脚 Char"/>
    <w:link w:val="16"/>
    <w:qFormat/>
    <w:uiPriority w:val="99"/>
    <w:rPr>
      <w:rFonts w:ascii="Calibri" w:hAnsi="Calibri" w:eastAsia="仿宋_GB2312" w:cs="黑体"/>
      <w:sz w:val="18"/>
      <w:szCs w:val="18"/>
    </w:rPr>
  </w:style>
  <w:style w:type="character" w:customStyle="1" w:styleId="40">
    <w:name w:val="标题 4 Char"/>
    <w:link w:val="7"/>
    <w:semiHidden/>
    <w:qFormat/>
    <w:uiPriority w:val="9"/>
    <w:rPr>
      <w:rFonts w:ascii="Cambria" w:hAnsi="Cambria" w:eastAsia="宋体" w:cs="Times New Roman"/>
      <w:b/>
      <w:bCs/>
      <w:sz w:val="28"/>
      <w:szCs w:val="28"/>
    </w:rPr>
  </w:style>
  <w:style w:type="character" w:customStyle="1" w:styleId="41">
    <w:name w:val="批注框文本 Char"/>
    <w:link w:val="15"/>
    <w:semiHidden/>
    <w:qFormat/>
    <w:uiPriority w:val="99"/>
    <w:rPr>
      <w:rFonts w:ascii="Calibri" w:hAnsi="Calibri" w:eastAsia="仿宋_GB2312" w:cs="黑体"/>
      <w:sz w:val="18"/>
      <w:szCs w:val="18"/>
    </w:rPr>
  </w:style>
  <w:style w:type="character" w:customStyle="1" w:styleId="42">
    <w:name w:val="font11"/>
    <w:qFormat/>
    <w:uiPriority w:val="0"/>
    <w:rPr>
      <w:rFonts w:hint="eastAsia" w:ascii="方正仿宋_GBK" w:hAnsi="方正仿宋_GBK" w:eastAsia="方正仿宋_GBK" w:cs="方正仿宋_GBK"/>
      <w:color w:val="000000"/>
      <w:sz w:val="24"/>
      <w:szCs w:val="24"/>
      <w:u w:val="none"/>
    </w:rPr>
  </w:style>
  <w:style w:type="character" w:customStyle="1" w:styleId="43">
    <w:name w:val="Intense Reference"/>
    <w:qFormat/>
    <w:uiPriority w:val="0"/>
    <w:rPr>
      <w:b/>
      <w:bCs/>
      <w:smallCaps/>
      <w:color w:val="C0504D"/>
      <w:spacing w:val="5"/>
      <w:u w:val="single"/>
    </w:rPr>
  </w:style>
  <w:style w:type="character" w:customStyle="1" w:styleId="44">
    <w:name w:val="标题 Char"/>
    <w:link w:val="23"/>
    <w:qFormat/>
    <w:uiPriority w:val="10"/>
    <w:rPr>
      <w:rFonts w:ascii="Cambria" w:hAnsi="Cambria"/>
      <w:b/>
      <w:bCs/>
      <w:kern w:val="2"/>
      <w:sz w:val="32"/>
      <w:szCs w:val="32"/>
    </w:rPr>
  </w:style>
  <w:style w:type="character" w:customStyle="1" w:styleId="45">
    <w:name w:val="无间隔 Char"/>
    <w:link w:val="46"/>
    <w:qFormat/>
    <w:uiPriority w:val="1"/>
    <w:rPr>
      <w:rFonts w:eastAsia="仿宋_GB2312" w:cs="黑体"/>
      <w:kern w:val="2"/>
      <w:sz w:val="28"/>
      <w:szCs w:val="22"/>
      <w:lang w:val="en-US" w:eastAsia="zh-CN" w:bidi="ar-SA"/>
    </w:rPr>
  </w:style>
  <w:style w:type="paragraph" w:customStyle="1" w:styleId="46">
    <w:name w:val="No Spacing"/>
    <w:link w:val="4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47">
    <w:name w:val="闻政-正文三级标题 Char"/>
    <w:link w:val="48"/>
    <w:qFormat/>
    <w:uiPriority w:val="3"/>
    <w:rPr>
      <w:rFonts w:ascii="Times New Roman" w:hAnsi="Times New Roman" w:eastAsia="仿宋_GB2312"/>
      <w:b/>
      <w:snapToGrid w:val="0"/>
      <w:sz w:val="28"/>
      <w:szCs w:val="28"/>
    </w:rPr>
  </w:style>
  <w:style w:type="paragraph" w:customStyle="1" w:styleId="48">
    <w:name w:val="闻政-正文三级标题"/>
    <w:basedOn w:val="1"/>
    <w:next w:val="33"/>
    <w:link w:val="47"/>
    <w:qFormat/>
    <w:uiPriority w:val="3"/>
    <w:pPr>
      <w:widowControl/>
      <w:spacing w:before="120" w:after="60" w:line="500" w:lineRule="exact"/>
      <w:ind w:left="200" w:leftChars="200" w:firstLine="0" w:firstLineChars="0"/>
    </w:pPr>
    <w:rPr>
      <w:rFonts w:cs="Times New Roman"/>
      <w:b/>
      <w:snapToGrid w:val="0"/>
      <w:kern w:val="0"/>
      <w:szCs w:val="28"/>
    </w:rPr>
  </w:style>
  <w:style w:type="character" w:customStyle="1" w:styleId="49">
    <w:name w:val="标题 3 Char"/>
    <w:link w:val="2"/>
    <w:qFormat/>
    <w:uiPriority w:val="9"/>
    <w:rPr>
      <w:rFonts w:ascii="Calibri" w:hAnsi="Calibri" w:eastAsia="仿宋_GB2312" w:cs="黑体"/>
      <w:bCs/>
      <w:sz w:val="28"/>
      <w:szCs w:val="32"/>
    </w:rPr>
  </w:style>
  <w:style w:type="character" w:customStyle="1" w:styleId="50">
    <w:name w:val="闻政-正文二级标题 Char"/>
    <w:link w:val="51"/>
    <w:qFormat/>
    <w:uiPriority w:val="3"/>
    <w:rPr>
      <w:rFonts w:ascii="Times New Roman" w:hAnsi="Times New Roman" w:eastAsia="仿宋_GB2312"/>
      <w:b/>
      <w:bCs/>
      <w:sz w:val="28"/>
      <w:szCs w:val="32"/>
    </w:rPr>
  </w:style>
  <w:style w:type="paragraph" w:customStyle="1" w:styleId="51">
    <w:name w:val="闻政-正文二级标题"/>
    <w:basedOn w:val="6"/>
    <w:next w:val="33"/>
    <w:link w:val="50"/>
    <w:qFormat/>
    <w:uiPriority w:val="3"/>
    <w:pPr>
      <w:spacing w:before="120" w:after="60" w:line="500" w:lineRule="exact"/>
      <w:ind w:left="200" w:leftChars="200" w:firstLine="0" w:firstLineChars="0"/>
    </w:pPr>
    <w:rPr>
      <w:rFonts w:ascii="Times New Roman" w:hAnsi="Times New Roman"/>
      <w:sz w:val="28"/>
    </w:rPr>
  </w:style>
  <w:style w:type="character" w:customStyle="1" w:styleId="52">
    <w:name w:val="闻政-正文一级标题 Char"/>
    <w:link w:val="53"/>
    <w:qFormat/>
    <w:uiPriority w:val="3"/>
    <w:rPr>
      <w:rFonts w:ascii="黑体" w:hAnsi="黑体" w:eastAsia="黑体"/>
      <w:bCs/>
      <w:sz w:val="32"/>
      <w:szCs w:val="32"/>
    </w:rPr>
  </w:style>
  <w:style w:type="paragraph" w:customStyle="1" w:styleId="53">
    <w:name w:val="闻政-正文一级标题"/>
    <w:basedOn w:val="2"/>
    <w:next w:val="33"/>
    <w:link w:val="52"/>
    <w:qFormat/>
    <w:uiPriority w:val="3"/>
    <w:pPr>
      <w:spacing w:before="120" w:after="60" w:line="500" w:lineRule="exact"/>
      <w:ind w:firstLine="0" w:firstLineChars="0"/>
      <w:outlineLvl w:val="0"/>
    </w:pPr>
    <w:rPr>
      <w:rFonts w:ascii="黑体" w:hAnsi="黑体" w:eastAsia="黑体"/>
      <w:sz w:val="32"/>
    </w:rPr>
  </w:style>
  <w:style w:type="character" w:customStyle="1" w:styleId="54">
    <w:name w:val="font21"/>
    <w:basedOn w:val="27"/>
    <w:qFormat/>
    <w:uiPriority w:val="0"/>
    <w:rPr>
      <w:rFonts w:hint="default" w:ascii="Times New Roman" w:hAnsi="Times New Roman" w:cs="Times New Roman"/>
      <w:color w:val="000000"/>
      <w:sz w:val="24"/>
      <w:szCs w:val="24"/>
      <w:u w:val="none"/>
    </w:rPr>
  </w:style>
  <w:style w:type="character" w:customStyle="1" w:styleId="55">
    <w:name w:val="正文文本缩进 Char"/>
    <w:link w:val="5"/>
    <w:semiHidden/>
    <w:qFormat/>
    <w:uiPriority w:val="99"/>
    <w:rPr>
      <w:rFonts w:ascii="Calibri" w:hAnsi="Calibri" w:eastAsia="仿宋_GB2312" w:cs="黑体"/>
      <w:sz w:val="28"/>
    </w:rPr>
  </w:style>
  <w:style w:type="paragraph" w:customStyle="1" w:styleId="56">
    <w:name w:val="和田正文1a"/>
    <w:basedOn w:val="1"/>
    <w:qFormat/>
    <w:uiPriority w:val="0"/>
    <w:pPr>
      <w:spacing w:line="560" w:lineRule="exact"/>
      <w:ind w:firstLine="1004"/>
      <w:jc w:val="left"/>
    </w:pPr>
    <w:rPr>
      <w:rFonts w:cs="Times New Roman"/>
      <w:kern w:val="0"/>
      <w:sz w:val="32"/>
      <w:szCs w:val="32"/>
      <w:lang w:bidi="en-US"/>
    </w:rPr>
  </w:style>
  <w:style w:type="paragraph" w:customStyle="1" w:styleId="5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7718</Words>
  <Characters>1151</Characters>
  <Lines>9</Lines>
  <Paragraphs>17</Paragraphs>
  <TotalTime>8</TotalTime>
  <ScaleCrop>false</ScaleCrop>
  <LinksUpToDate>false</LinksUpToDate>
  <CharactersWithSpaces>8852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2021-04-03T17:53:00Z</dcterms:created>
  <dc:creator>User</dc:creator>
  <cp:lastModifiedBy>Administrator</cp:lastModifiedBy>
  <dcterms:modified xsi:type="dcterms:W3CDTF">2023-10-29T10:34:17Z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2A2F7DA118524E82B3744CFF1894E5C6</vt:lpwstr>
  </property>
</Properties>
</file>