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中共叶城县委员会机构编制委员会办公室2024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1EFE3BF">
      <w:r>
        <w:br w:type="page"/>
      </w:r>
    </w:p>
    <w:p w14:paraId="1D53DBAE">
      <w:pPr>
        <w:spacing w:line="640" w:lineRule="exact"/>
        <w:jc w:val="center"/>
        <w:outlineLvl w:val="1"/>
      </w:pPr>
      <w:r>
        <w:rPr>
          <w:rFonts w:ascii="黑体" w:hAnsi="黑体" w:eastAsia="黑体"/>
          <w:sz w:val="32"/>
        </w:rPr>
        <w:t>第一部分 单位概况</w:t>
      </w:r>
    </w:p>
    <w:p w14:paraId="1B6A9300">
      <w:pPr>
        <w:spacing w:line="640" w:lineRule="exact"/>
        <w:ind w:firstLine="640"/>
        <w:jc w:val="both"/>
        <w:outlineLvl w:val="2"/>
      </w:pPr>
      <w:r>
        <w:rPr>
          <w:rFonts w:ascii="黑体" w:hAnsi="黑体" w:eastAsia="黑体"/>
          <w:sz w:val="32"/>
        </w:rPr>
        <w:t>一、主要职能</w:t>
      </w:r>
    </w:p>
    <w:p w14:paraId="61DE4C87">
      <w:pPr>
        <w:spacing w:line="580" w:lineRule="exact"/>
        <w:ind w:firstLine="640"/>
        <w:jc w:val="both"/>
      </w:pPr>
      <w:r>
        <w:rPr>
          <w:rFonts w:ascii="仿宋_GB2312" w:hAnsi="仿宋_GB2312" w:eastAsia="仿宋_GB2312"/>
          <w:sz w:val="32"/>
        </w:rPr>
        <w:t>统一管理全县各级党政机关，人大、政协，各社会团体机关及事业单位的机构编制管理工作；研究拟订上报县</w:t>
      </w:r>
      <w:r>
        <w:rPr>
          <w:rFonts w:hint="eastAsia" w:ascii="仿宋_GB2312" w:hAnsi="仿宋_GB2312" w:eastAsia="仿宋_GB2312"/>
          <w:sz w:val="32"/>
          <w:lang w:eastAsia="zh-CN"/>
        </w:rPr>
        <w:t>行政体制</w:t>
      </w:r>
      <w:r>
        <w:rPr>
          <w:rFonts w:ascii="仿宋_GB2312" w:hAnsi="仿宋_GB2312" w:eastAsia="仿宋_GB2312"/>
          <w:sz w:val="32"/>
        </w:rPr>
        <w:t>与机构改革的总体方案，并组织实施；负责县党政机关，人大、政协，各社会团体机关机构设置、职能配置和人员编制、领导职数的核定；审核县股级机构设置；贯彻落实事业单位分类改革方案和事业单位机构编制管理的政策、规定；审核县事业单位机构设置、职责任务和人员编制、领导职数的核定，贯彻落实《事业单位登记管理暂行条例》贯彻落实事业单位登记管理办法；依法对县事业单位登记管理工作进行监督检查；监督检查全县行政管理体制改革、机构改革以及机构编制执行情况，报告县委机构编制委员会；完成县委、县人民政府和县委机构编制委员会交办的其他工作任务。</w:t>
      </w:r>
    </w:p>
    <w:p w14:paraId="60F3E838">
      <w:pPr>
        <w:spacing w:line="640" w:lineRule="exact"/>
        <w:ind w:firstLine="640"/>
        <w:jc w:val="both"/>
        <w:outlineLvl w:val="2"/>
      </w:pPr>
      <w:r>
        <w:rPr>
          <w:rFonts w:ascii="黑体" w:hAnsi="黑体" w:eastAsia="黑体"/>
          <w:sz w:val="32"/>
        </w:rPr>
        <w:t>二、机构设置及人员情况</w:t>
      </w:r>
    </w:p>
    <w:p w14:paraId="4563DAF1">
      <w:pPr>
        <w:spacing w:line="580" w:lineRule="exact"/>
        <w:ind w:firstLine="640"/>
        <w:jc w:val="both"/>
      </w:pPr>
      <w:r>
        <w:rPr>
          <w:rFonts w:ascii="仿宋_GB2312" w:hAnsi="仿宋_GB2312" w:eastAsia="仿宋_GB2312"/>
          <w:sz w:val="32"/>
        </w:rPr>
        <w:t>中共叶城县委员会机构编制委员会办公室2024年度，实有人数12人，其中：在职人员11人，增加4人；离休人员0人，增加0人；退休人员1人,增加0人。</w:t>
      </w:r>
    </w:p>
    <w:p w14:paraId="43EEA2D7">
      <w:pPr>
        <w:spacing w:line="580" w:lineRule="exact"/>
        <w:ind w:firstLine="640"/>
        <w:jc w:val="both"/>
      </w:pPr>
      <w:r>
        <w:rPr>
          <w:rFonts w:ascii="仿宋_GB2312" w:hAnsi="仿宋_GB2312" w:eastAsia="仿宋_GB2312"/>
          <w:sz w:val="32"/>
        </w:rPr>
        <w:t>中共叶城县委员会机构编制委员会办公室无下属预算单位，下设1个科室，分别是：办公室。</w:t>
      </w:r>
    </w:p>
    <w:p w14:paraId="525E20B4">
      <w:r>
        <w:br w:type="page"/>
      </w:r>
    </w:p>
    <w:p w14:paraId="573B5840">
      <w:pPr>
        <w:spacing w:line="240" w:lineRule="auto"/>
        <w:jc w:val="center"/>
        <w:outlineLvl w:val="1"/>
      </w:pPr>
      <w:r>
        <w:rPr>
          <w:rFonts w:ascii="黑体" w:hAnsi="黑体" w:eastAsia="黑体"/>
          <w:sz w:val="32"/>
        </w:rPr>
        <w:t>第二部分 部门决算情况说明</w:t>
      </w:r>
    </w:p>
    <w:p w14:paraId="2418D868">
      <w:pPr>
        <w:spacing w:line="640" w:lineRule="exact"/>
        <w:ind w:firstLine="640"/>
        <w:jc w:val="both"/>
        <w:outlineLvl w:val="2"/>
      </w:pPr>
      <w:r>
        <w:rPr>
          <w:rFonts w:ascii="黑体" w:hAnsi="黑体" w:eastAsia="黑体"/>
          <w:sz w:val="32"/>
        </w:rPr>
        <w:t>一、收入支出决算总体情况说明</w:t>
      </w:r>
    </w:p>
    <w:p w14:paraId="0FB1471E">
      <w:pPr>
        <w:spacing w:line="580" w:lineRule="exact"/>
        <w:ind w:firstLine="640"/>
        <w:jc w:val="both"/>
      </w:pPr>
      <w:r>
        <w:rPr>
          <w:rFonts w:ascii="仿宋_GB2312" w:hAnsi="仿宋_GB2312" w:eastAsia="仿宋_GB2312"/>
          <w:b/>
          <w:sz w:val="32"/>
        </w:rPr>
        <w:t>2024年度收入总计204.17万元，</w:t>
      </w:r>
      <w:r>
        <w:rPr>
          <w:rFonts w:ascii="仿宋_GB2312" w:hAnsi="仿宋_GB2312" w:eastAsia="仿宋_GB2312"/>
          <w:b w:val="0"/>
          <w:sz w:val="32"/>
        </w:rPr>
        <w:t>其中：本年收入合计204.17万元，使用非财政拨款结余（含专用结余）0.00万元，年初结转和结余0.00万元。</w:t>
      </w:r>
    </w:p>
    <w:p w14:paraId="1C1086A2">
      <w:pPr>
        <w:spacing w:line="580" w:lineRule="exact"/>
        <w:ind w:firstLine="640"/>
        <w:jc w:val="both"/>
      </w:pPr>
      <w:r>
        <w:rPr>
          <w:rFonts w:ascii="仿宋_GB2312" w:hAnsi="仿宋_GB2312" w:eastAsia="仿宋_GB2312"/>
          <w:b/>
          <w:sz w:val="32"/>
        </w:rPr>
        <w:t>2024年度支出总计204.17万元，</w:t>
      </w:r>
      <w:r>
        <w:rPr>
          <w:rFonts w:ascii="仿宋_GB2312" w:hAnsi="仿宋_GB2312" w:eastAsia="仿宋_GB2312"/>
          <w:b w:val="0"/>
          <w:sz w:val="32"/>
        </w:rPr>
        <w:t>其中：本年支出合计204.17万元，结余分配0.00万元，年末结转和结余0.00万元。</w:t>
      </w:r>
    </w:p>
    <w:p w14:paraId="74DA3CB2">
      <w:pPr>
        <w:spacing w:line="580" w:lineRule="exact"/>
        <w:ind w:firstLine="640"/>
        <w:jc w:val="both"/>
      </w:pPr>
      <w:r>
        <w:rPr>
          <w:rFonts w:ascii="仿宋_GB2312" w:hAnsi="仿宋_GB2312" w:eastAsia="仿宋_GB2312"/>
          <w:b w:val="0"/>
          <w:sz w:val="32"/>
        </w:rPr>
        <w:t>收入支出总体与上年相比，增加37.91万元，增长22.80%，主要原因是：本年在职人员增加4人，7月在职人员工资调增，人员经费增加。</w:t>
      </w:r>
    </w:p>
    <w:p w14:paraId="1D6C4C24">
      <w:pPr>
        <w:spacing w:line="640" w:lineRule="exact"/>
        <w:ind w:firstLine="640"/>
        <w:jc w:val="both"/>
        <w:outlineLvl w:val="2"/>
      </w:pPr>
      <w:r>
        <w:rPr>
          <w:rFonts w:ascii="黑体" w:hAnsi="黑体" w:eastAsia="黑体"/>
          <w:sz w:val="32"/>
        </w:rPr>
        <w:t>二、收入决算情况说明</w:t>
      </w:r>
    </w:p>
    <w:p w14:paraId="1992E901">
      <w:pPr>
        <w:spacing w:line="580" w:lineRule="exact"/>
        <w:ind w:firstLine="640"/>
        <w:jc w:val="both"/>
      </w:pPr>
      <w:r>
        <w:rPr>
          <w:rFonts w:ascii="仿宋_GB2312" w:hAnsi="仿宋_GB2312" w:eastAsia="仿宋_GB2312"/>
          <w:b/>
          <w:sz w:val="32"/>
        </w:rPr>
        <w:t>本年收入204.17万元，</w:t>
      </w:r>
      <w:r>
        <w:rPr>
          <w:rFonts w:ascii="仿宋_GB2312" w:hAnsi="仿宋_GB2312" w:eastAsia="仿宋_GB2312"/>
          <w:b w:val="0"/>
          <w:sz w:val="32"/>
        </w:rPr>
        <w:t>其中：财政拨款收入204.17万元，占100.00%；上级补助收入0.00万元，占0.00%；事业收入0.00万元，占0.00%；经营收入0.00万元，占0.00%；附属单位上缴收入0.00万元，占0.00%；其他收入0.00万元，占0.00%。</w:t>
      </w:r>
    </w:p>
    <w:p w14:paraId="5DDBF370">
      <w:pPr>
        <w:spacing w:line="640" w:lineRule="exact"/>
        <w:ind w:firstLine="640"/>
        <w:jc w:val="both"/>
        <w:outlineLvl w:val="2"/>
      </w:pPr>
      <w:r>
        <w:rPr>
          <w:rFonts w:ascii="黑体" w:hAnsi="黑体" w:eastAsia="黑体"/>
          <w:sz w:val="32"/>
        </w:rPr>
        <w:t>三、支出决算情况说明</w:t>
      </w:r>
    </w:p>
    <w:p w14:paraId="034D1F4D">
      <w:pPr>
        <w:spacing w:line="580" w:lineRule="exact"/>
        <w:ind w:firstLine="640"/>
        <w:jc w:val="both"/>
      </w:pPr>
      <w:r>
        <w:rPr>
          <w:rFonts w:ascii="仿宋_GB2312" w:hAnsi="仿宋_GB2312" w:eastAsia="仿宋_GB2312"/>
          <w:b/>
          <w:sz w:val="32"/>
        </w:rPr>
        <w:t>本年支出204.17万元，</w:t>
      </w:r>
      <w:r>
        <w:rPr>
          <w:rFonts w:ascii="仿宋_GB2312" w:hAnsi="仿宋_GB2312" w:eastAsia="仿宋_GB2312"/>
          <w:b w:val="0"/>
          <w:sz w:val="32"/>
        </w:rPr>
        <w:t>其中：基本支出204.17万元，占100.00%；项目支出0.00万元，占0.00%；上缴上级支出0.00万元，占0.00%；经营支出0.00万元，占0.00%；对附属单位补助支出0.00万元，占0.00%。</w:t>
      </w:r>
    </w:p>
    <w:p w14:paraId="21E8CFBE">
      <w:pPr>
        <w:spacing w:line="640" w:lineRule="exact"/>
        <w:ind w:firstLine="640"/>
        <w:jc w:val="both"/>
        <w:outlineLvl w:val="2"/>
      </w:pPr>
      <w:r>
        <w:rPr>
          <w:rFonts w:ascii="黑体" w:hAnsi="黑体" w:eastAsia="黑体"/>
          <w:sz w:val="32"/>
        </w:rPr>
        <w:t>四、财政拨款收入支出决算总体情况说明</w:t>
      </w:r>
    </w:p>
    <w:p w14:paraId="14BC2F95">
      <w:pPr>
        <w:spacing w:line="580" w:lineRule="exact"/>
        <w:ind w:firstLine="640"/>
        <w:jc w:val="both"/>
      </w:pPr>
      <w:r>
        <w:rPr>
          <w:rFonts w:ascii="仿宋_GB2312" w:hAnsi="仿宋_GB2312" w:eastAsia="仿宋_GB2312"/>
          <w:b/>
          <w:sz w:val="32"/>
        </w:rPr>
        <w:t>2024年度财政拨款收入总计204.17万元，</w:t>
      </w:r>
      <w:r>
        <w:rPr>
          <w:rFonts w:ascii="仿宋_GB2312" w:hAnsi="仿宋_GB2312" w:eastAsia="仿宋_GB2312"/>
          <w:b w:val="0"/>
          <w:sz w:val="32"/>
        </w:rPr>
        <w:t>其中：年初财政拨款结转和结余0.00万元，本年财政拨款收入204.17万元。</w:t>
      </w:r>
      <w:r>
        <w:rPr>
          <w:rFonts w:ascii="仿宋_GB2312" w:hAnsi="仿宋_GB2312" w:eastAsia="仿宋_GB2312"/>
          <w:b/>
          <w:sz w:val="32"/>
        </w:rPr>
        <w:t>财政拨款支出总计204.17万元，</w:t>
      </w:r>
      <w:r>
        <w:rPr>
          <w:rFonts w:ascii="仿宋_GB2312" w:hAnsi="仿宋_GB2312" w:eastAsia="仿宋_GB2312"/>
          <w:b w:val="0"/>
          <w:sz w:val="32"/>
        </w:rPr>
        <w:t>其中：年末财政拨款结转和结余0.00万元，本年财政拨款支出204.17万元。</w:t>
      </w:r>
    </w:p>
    <w:p w14:paraId="12B6410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增加38.21万元，增长23.02%，主要原因是：本年在职人员增加4人，7月在职人员工资调增，人员经费增加。</w:t>
      </w:r>
      <w:r>
        <w:rPr>
          <w:rFonts w:ascii="仿宋_GB2312" w:hAnsi="仿宋_GB2312" w:eastAsia="仿宋_GB2312"/>
          <w:b/>
          <w:sz w:val="32"/>
        </w:rPr>
        <w:t>与年初预算相比，</w:t>
      </w:r>
      <w:r>
        <w:rPr>
          <w:rFonts w:ascii="仿宋_GB2312" w:hAnsi="仿宋_GB2312" w:eastAsia="仿宋_GB2312"/>
          <w:b w:val="0"/>
          <w:sz w:val="32"/>
        </w:rPr>
        <w:t>年初预算数177.09万元，决算数204.17万元，预决算差异率15.29%，主要原因是：本年在职人员增加，年中追加人员经费及人员工资、社保、公积金基数调增部分资金，导致预决算存在差异。</w:t>
      </w:r>
    </w:p>
    <w:p w14:paraId="2D085D37">
      <w:pPr>
        <w:spacing w:line="640" w:lineRule="exact"/>
        <w:ind w:firstLine="640"/>
        <w:jc w:val="both"/>
        <w:outlineLvl w:val="2"/>
      </w:pPr>
      <w:r>
        <w:rPr>
          <w:rFonts w:ascii="黑体" w:hAnsi="黑体" w:eastAsia="黑体"/>
          <w:sz w:val="32"/>
        </w:rPr>
        <w:t>五、一般公共预算财政拨款支出决算情况说明</w:t>
      </w:r>
    </w:p>
    <w:p w14:paraId="4FFF5AD8">
      <w:pPr>
        <w:spacing w:line="640" w:lineRule="exact"/>
        <w:ind w:firstLine="640"/>
        <w:jc w:val="both"/>
        <w:outlineLvl w:val="3"/>
      </w:pPr>
      <w:r>
        <w:rPr>
          <w:rFonts w:ascii="楷体_GB2312" w:hAnsi="楷体_GB2312" w:eastAsia="楷体_GB2312"/>
          <w:b/>
          <w:sz w:val="32"/>
        </w:rPr>
        <w:t>（一）一般公共预算财政拨款支出决算总体情况</w:t>
      </w:r>
    </w:p>
    <w:p w14:paraId="100F5B36">
      <w:pPr>
        <w:spacing w:line="580" w:lineRule="exact"/>
        <w:ind w:firstLine="640"/>
        <w:jc w:val="both"/>
      </w:pPr>
      <w:r>
        <w:rPr>
          <w:rFonts w:ascii="仿宋_GB2312" w:hAnsi="仿宋_GB2312" w:eastAsia="仿宋_GB2312"/>
          <w:b/>
          <w:sz w:val="32"/>
        </w:rPr>
        <w:t>2024年度一般公共预算财政拨款支出204.17万元，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增加38.21万元，增长23.02%，主要原因是：本年在职人员增加4人，7月在职人员工资调增，人员经费增加。</w:t>
      </w:r>
      <w:r>
        <w:rPr>
          <w:rFonts w:ascii="仿宋_GB2312" w:hAnsi="仿宋_GB2312" w:eastAsia="仿宋_GB2312"/>
          <w:b/>
          <w:sz w:val="32"/>
        </w:rPr>
        <w:t>与年初预算相比,</w:t>
      </w:r>
      <w:r>
        <w:rPr>
          <w:rFonts w:ascii="仿宋_GB2312" w:hAnsi="仿宋_GB2312" w:eastAsia="仿宋_GB2312"/>
          <w:b w:val="0"/>
          <w:sz w:val="32"/>
        </w:rPr>
        <w:t>年初预算数177.09万元，决算数204.17万元，预决算差异率15.29%，主要原因是：本年在职人员增加，年中追加人员经费及人员工资、社保、公积金基数调增部分资金，导致预决算存在差异。</w:t>
      </w:r>
    </w:p>
    <w:p w14:paraId="0C9B4F1A">
      <w:pPr>
        <w:spacing w:line="640" w:lineRule="exact"/>
        <w:ind w:firstLine="640"/>
        <w:jc w:val="both"/>
        <w:outlineLvl w:val="3"/>
      </w:pPr>
      <w:r>
        <w:rPr>
          <w:rFonts w:ascii="楷体_GB2312" w:hAnsi="楷体_GB2312" w:eastAsia="楷体_GB2312"/>
          <w:b/>
          <w:sz w:val="32"/>
        </w:rPr>
        <w:t>（二）一般公共预算财政拨款支出决算结构情况</w:t>
      </w:r>
    </w:p>
    <w:p w14:paraId="236692EB">
      <w:pPr>
        <w:spacing w:line="580" w:lineRule="exact"/>
        <w:ind w:firstLine="640"/>
        <w:jc w:val="both"/>
      </w:pPr>
      <w:r>
        <w:rPr>
          <w:rFonts w:ascii="仿宋_GB2312" w:hAnsi="仿宋_GB2312" w:eastAsia="仿宋_GB2312"/>
          <w:b w:val="0"/>
          <w:sz w:val="32"/>
        </w:rPr>
        <w:t>1.社会保障和就业支出(类)175.48万元,占85.95%。</w:t>
      </w:r>
    </w:p>
    <w:p w14:paraId="3BB75EB0">
      <w:pPr>
        <w:spacing w:line="580" w:lineRule="exact"/>
        <w:ind w:firstLine="640"/>
        <w:jc w:val="both"/>
      </w:pPr>
      <w:r>
        <w:rPr>
          <w:rFonts w:ascii="仿宋_GB2312" w:hAnsi="仿宋_GB2312" w:eastAsia="仿宋_GB2312"/>
          <w:b w:val="0"/>
          <w:sz w:val="32"/>
        </w:rPr>
        <w:t>2.卫生健康支出(类)10.83万元,占5.30%。</w:t>
      </w:r>
    </w:p>
    <w:p w14:paraId="58BD5021">
      <w:pPr>
        <w:spacing w:line="580" w:lineRule="exact"/>
        <w:ind w:firstLine="640"/>
        <w:jc w:val="both"/>
      </w:pPr>
      <w:r>
        <w:rPr>
          <w:rFonts w:ascii="仿宋_GB2312" w:hAnsi="仿宋_GB2312" w:eastAsia="仿宋_GB2312"/>
          <w:b w:val="0"/>
          <w:sz w:val="32"/>
        </w:rPr>
        <w:t>3.住房保障支出(类)17.86万元,占8.75%。</w:t>
      </w:r>
    </w:p>
    <w:p w14:paraId="6F6903D5">
      <w:pPr>
        <w:spacing w:line="640" w:lineRule="exact"/>
        <w:ind w:firstLine="640"/>
        <w:jc w:val="both"/>
        <w:outlineLvl w:val="3"/>
      </w:pPr>
      <w:r>
        <w:rPr>
          <w:rFonts w:ascii="楷体_GB2312" w:hAnsi="楷体_GB2312" w:eastAsia="楷体_GB2312"/>
          <w:b/>
          <w:sz w:val="32"/>
        </w:rPr>
        <w:t>（三）一般公共预算财政拨款支出决算具体情况</w:t>
      </w:r>
    </w:p>
    <w:p w14:paraId="39348303">
      <w:pPr>
        <w:spacing w:line="580" w:lineRule="exact"/>
        <w:ind w:firstLine="640"/>
        <w:jc w:val="both"/>
      </w:pPr>
      <w:r>
        <w:rPr>
          <w:rFonts w:ascii="仿宋_GB2312" w:hAnsi="仿宋_GB2312" w:eastAsia="仿宋_GB2312"/>
          <w:b w:val="0"/>
          <w:sz w:val="32"/>
        </w:rPr>
        <w:t>1.社会保障和就业支出(类)人力资源和社会保障管理事务(款)行政运行(项):支出决算数为153.15万元，比上年决算增加20.85万元，增长15.76%,主要原因是：本年新增在职人员，人员</w:t>
      </w:r>
      <w:r>
        <w:rPr>
          <w:rFonts w:hint="eastAsia" w:ascii="仿宋_GB2312" w:hAnsi="仿宋_GB2312" w:eastAsia="仿宋_GB2312"/>
          <w:b w:val="0"/>
          <w:sz w:val="32"/>
          <w:lang w:val="en-US" w:eastAsia="zh-CN"/>
        </w:rPr>
        <w:t>工资调增</w:t>
      </w:r>
      <w:r>
        <w:rPr>
          <w:rFonts w:ascii="仿宋_GB2312" w:hAnsi="仿宋_GB2312" w:eastAsia="仿宋_GB2312"/>
          <w:b w:val="0"/>
          <w:sz w:val="32"/>
        </w:rPr>
        <w:t>，导致经费较上年有所增加。</w:t>
      </w:r>
    </w:p>
    <w:p w14:paraId="51A2166C">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2.社会保障和就业支出(类)行政事业单位养老支出(款)行政单位离退休(项):支出决算数为1.24万元，比上年决算增加0.63万元，增长103.28%,主要原因是：本年退休人员基础绩效奖支出增加。</w:t>
      </w:r>
    </w:p>
    <w:p w14:paraId="0A757B39">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21.09万元，比上年决算增加10.37万元，增长96.74%,主要原因是：本年在职人员增加，在职人员工资基数调增，养老缴费基数上涨，养老保险缴费较上年增加。</w:t>
      </w:r>
    </w:p>
    <w:p w14:paraId="06C0B5D9">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8.43万元，下降100.00%,主要原因是：本年无新增退休人员，职业年金缴费较上年减少。</w:t>
      </w:r>
    </w:p>
    <w:p w14:paraId="3A02B7D0">
      <w:pPr>
        <w:spacing w:line="580" w:lineRule="exact"/>
        <w:ind w:firstLine="640"/>
        <w:jc w:val="both"/>
      </w:pPr>
      <w:r>
        <w:rPr>
          <w:rFonts w:ascii="仿宋_GB2312" w:hAnsi="仿宋_GB2312" w:eastAsia="仿宋_GB2312"/>
          <w:b w:val="0"/>
          <w:sz w:val="32"/>
        </w:rPr>
        <w:t>5.卫生健康支出(类)行政事业单位医疗(款)行政单位医疗(项):支出决算数为8.96万元，比上年决算增加4.13万元，增长85.51%,主要原因是：本年在职人员增加，在职人员工资基数调增，医疗缴费基数上涨，行政单位医疗支出较上年增加。</w:t>
      </w:r>
    </w:p>
    <w:p w14:paraId="228701CB">
      <w:pPr>
        <w:spacing w:line="580" w:lineRule="exact"/>
        <w:ind w:firstLine="640"/>
        <w:jc w:val="both"/>
      </w:pPr>
      <w:r>
        <w:rPr>
          <w:rFonts w:ascii="仿宋_GB2312" w:hAnsi="仿宋_GB2312" w:eastAsia="仿宋_GB2312"/>
          <w:b w:val="0"/>
          <w:sz w:val="32"/>
        </w:rPr>
        <w:t>6.卫生健康支出(类)行政事业单位医疗(款)公务员医疗补助(项):支出决算数为1.87万元，比上年决算增加0.83万元，增长79.81%,主要原因是：本年在职人员增加，在职人员工资基数调增，医疗缴费基数上涨，公务员医疗补助较上年增加。</w:t>
      </w:r>
    </w:p>
    <w:p w14:paraId="4997D7AE">
      <w:pPr>
        <w:spacing w:line="580" w:lineRule="exact"/>
        <w:ind w:firstLine="640"/>
        <w:jc w:val="both"/>
      </w:pPr>
      <w:r>
        <w:rPr>
          <w:rFonts w:ascii="仿宋_GB2312" w:hAnsi="仿宋_GB2312" w:eastAsia="仿宋_GB2312"/>
          <w:b w:val="0"/>
          <w:sz w:val="32"/>
        </w:rPr>
        <w:t>7.住房保障支出(类)住房改革支出(款)住房公积金(项):支出决算数为17.86万元，比上年决算增加9.82万元，增长122.14%,主要原因是：本年在职人员增加，在职人员工资基数调增，公积金缴费基数上涨，住房公积金支出较上年增加。</w:t>
      </w:r>
    </w:p>
    <w:p w14:paraId="07AA9D4C">
      <w:pPr>
        <w:spacing w:line="640" w:lineRule="exact"/>
        <w:ind w:firstLine="640"/>
        <w:jc w:val="both"/>
        <w:outlineLvl w:val="2"/>
      </w:pPr>
      <w:r>
        <w:rPr>
          <w:rFonts w:ascii="黑体" w:hAnsi="黑体" w:eastAsia="黑体"/>
          <w:sz w:val="32"/>
        </w:rPr>
        <w:t>六、一般公共预算财政拨款基本支出决算情况说明</w:t>
      </w:r>
    </w:p>
    <w:p w14:paraId="183CBB25">
      <w:pPr>
        <w:spacing w:line="580" w:lineRule="exact"/>
        <w:ind w:firstLine="640"/>
        <w:jc w:val="both"/>
      </w:pPr>
      <w:r>
        <w:rPr>
          <w:rFonts w:ascii="仿宋_GB2312" w:hAnsi="仿宋_GB2312" w:eastAsia="仿宋_GB2312"/>
          <w:b w:val="0"/>
          <w:sz w:val="32"/>
        </w:rPr>
        <w:t>2024年度一般公共预算财政拨款基本支出204.17万元，其中：</w:t>
      </w:r>
      <w:r>
        <w:rPr>
          <w:rFonts w:ascii="仿宋_GB2312" w:hAnsi="仿宋_GB2312" w:eastAsia="仿宋_GB2312"/>
          <w:b/>
          <w:sz w:val="32"/>
        </w:rPr>
        <w:t>人员经费200.79万元，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w:t>
      </w:r>
    </w:p>
    <w:p w14:paraId="0EF9F9DD">
      <w:pPr>
        <w:spacing w:line="580" w:lineRule="exact"/>
        <w:ind w:firstLine="640"/>
        <w:jc w:val="both"/>
      </w:pPr>
      <w:r>
        <w:rPr>
          <w:rFonts w:ascii="仿宋_GB2312" w:hAnsi="仿宋_GB2312" w:eastAsia="仿宋_GB2312"/>
          <w:b/>
          <w:sz w:val="32"/>
        </w:rPr>
        <w:t>公用经费3.38万元，</w:t>
      </w:r>
      <w:r>
        <w:rPr>
          <w:rFonts w:ascii="仿宋_GB2312" w:hAnsi="仿宋_GB2312" w:eastAsia="仿宋_GB2312"/>
          <w:b w:val="0"/>
          <w:sz w:val="32"/>
        </w:rPr>
        <w:t>包括：办公费、邮电费、差旅费、维修（护）费。</w:t>
      </w:r>
    </w:p>
    <w:p w14:paraId="08AF0A52">
      <w:pPr>
        <w:spacing w:line="640" w:lineRule="exact"/>
        <w:ind w:firstLine="640"/>
        <w:jc w:val="both"/>
        <w:outlineLvl w:val="2"/>
      </w:pPr>
      <w:r>
        <w:rPr>
          <w:rFonts w:ascii="黑体" w:hAnsi="黑体" w:eastAsia="黑体"/>
          <w:sz w:val="32"/>
        </w:rPr>
        <w:t>七、政府性基金预算财政拨款收入支出决算情况说明</w:t>
      </w:r>
    </w:p>
    <w:p w14:paraId="1E9C24B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92C43E1">
      <w:pPr>
        <w:spacing w:line="640" w:lineRule="exact"/>
        <w:ind w:firstLine="640"/>
        <w:jc w:val="both"/>
        <w:outlineLvl w:val="2"/>
      </w:pPr>
      <w:r>
        <w:rPr>
          <w:rFonts w:ascii="黑体" w:hAnsi="黑体" w:eastAsia="黑体"/>
          <w:sz w:val="32"/>
        </w:rPr>
        <w:t>八、国有资本经营预算财政拨款收入支出决算情况说明</w:t>
      </w:r>
    </w:p>
    <w:p w14:paraId="0A6E46C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591825A">
      <w:pPr>
        <w:spacing w:line="640" w:lineRule="exact"/>
        <w:ind w:firstLine="640"/>
        <w:jc w:val="both"/>
        <w:outlineLvl w:val="2"/>
      </w:pPr>
      <w:r>
        <w:rPr>
          <w:rFonts w:ascii="黑体" w:hAnsi="黑体" w:eastAsia="黑体"/>
          <w:sz w:val="32"/>
        </w:rPr>
        <w:t>九、财政拨款“三公”经费支出决算情况说明</w:t>
      </w:r>
    </w:p>
    <w:p w14:paraId="1C23B83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0.07万元，下降100.00%，主要原因是：严格落实中央八项规定精神，厉行节约，减少公务接待费。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减少0.07万元，下降100.00%，主要原因是：严格落实中央八项规定精神，厉行节约，减少公务接待费。</w:t>
      </w:r>
    </w:p>
    <w:p w14:paraId="353DC79A">
      <w:pPr>
        <w:spacing w:line="580" w:lineRule="exact"/>
        <w:ind w:firstLine="640"/>
        <w:jc w:val="both"/>
      </w:pPr>
      <w:r>
        <w:rPr>
          <w:rFonts w:ascii="仿宋_GB2312" w:hAnsi="仿宋_GB2312" w:eastAsia="仿宋_GB2312"/>
          <w:b/>
          <w:sz w:val="32"/>
        </w:rPr>
        <w:t>具体情况如下：</w:t>
      </w:r>
    </w:p>
    <w:p w14:paraId="3AEB24E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1896C1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37358AE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2A0905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E11024E">
      <w:pPr>
        <w:spacing w:line="640" w:lineRule="exact"/>
        <w:ind w:firstLine="640"/>
        <w:jc w:val="both"/>
        <w:outlineLvl w:val="2"/>
      </w:pPr>
      <w:r>
        <w:rPr>
          <w:rFonts w:ascii="黑体" w:hAnsi="黑体" w:eastAsia="黑体"/>
          <w:sz w:val="32"/>
        </w:rPr>
        <w:t>十、其他重要事项的情况说明</w:t>
      </w:r>
    </w:p>
    <w:p w14:paraId="41ADD8A3">
      <w:pPr>
        <w:spacing w:line="640" w:lineRule="exact"/>
        <w:ind w:firstLine="640"/>
        <w:jc w:val="both"/>
        <w:outlineLvl w:val="3"/>
      </w:pPr>
      <w:r>
        <w:rPr>
          <w:rFonts w:ascii="楷体_GB2312" w:hAnsi="楷体_GB2312" w:eastAsia="楷体_GB2312"/>
          <w:b/>
          <w:sz w:val="32"/>
        </w:rPr>
        <w:t>（一）机关运行经费及公用经费支出情况</w:t>
      </w:r>
    </w:p>
    <w:p w14:paraId="1AF5EBEA">
      <w:pPr>
        <w:spacing w:line="580" w:lineRule="exact"/>
        <w:ind w:firstLine="640"/>
        <w:jc w:val="both"/>
      </w:pPr>
      <w:r>
        <w:rPr>
          <w:rFonts w:ascii="仿宋_GB2312" w:hAnsi="仿宋_GB2312" w:eastAsia="仿宋_GB2312"/>
          <w:b w:val="0"/>
          <w:sz w:val="32"/>
        </w:rPr>
        <w:t>2024年度中共叶城县委员会机构编制委员会办公室（行政单位和参照公务员法管理事业单位）机关运行经费支出3.38万元，比上年增加0.98万元，增长40.83%，主要原因是：本年在职人员增加4人，办公费用增加。</w:t>
      </w:r>
    </w:p>
    <w:p w14:paraId="0FBD79CF">
      <w:pPr>
        <w:spacing w:line="640" w:lineRule="exact"/>
        <w:ind w:firstLine="640"/>
        <w:jc w:val="both"/>
        <w:outlineLvl w:val="3"/>
      </w:pPr>
      <w:r>
        <w:rPr>
          <w:rFonts w:ascii="楷体_GB2312" w:hAnsi="楷体_GB2312" w:eastAsia="楷体_GB2312"/>
          <w:b/>
          <w:sz w:val="32"/>
        </w:rPr>
        <w:t>（二）政府采购情况</w:t>
      </w:r>
    </w:p>
    <w:p w14:paraId="76BCB059">
      <w:pPr>
        <w:spacing w:line="580" w:lineRule="exact"/>
        <w:ind w:firstLine="640"/>
        <w:jc w:val="both"/>
      </w:pPr>
      <w:r>
        <w:rPr>
          <w:rFonts w:ascii="仿宋_GB2312" w:hAnsi="仿宋_GB2312" w:eastAsia="仿宋_GB2312"/>
          <w:b w:val="0"/>
          <w:sz w:val="32"/>
        </w:rPr>
        <w:t>2024年度政府采购支出总额1.36万元，其中：政府采购货物支出1.33万元、政府采购工程支出0.00万元、政府采购服务支出0.03万元。</w:t>
      </w:r>
    </w:p>
    <w:p w14:paraId="0E2AEC56">
      <w:pPr>
        <w:spacing w:line="580" w:lineRule="exact"/>
        <w:ind w:firstLine="640"/>
        <w:jc w:val="both"/>
      </w:pPr>
      <w:r>
        <w:rPr>
          <w:rFonts w:ascii="仿宋_GB2312" w:hAnsi="仿宋_GB2312" w:eastAsia="仿宋_GB2312"/>
          <w:b w:val="0"/>
          <w:sz w:val="32"/>
        </w:rPr>
        <w:t>授予中小企业合同金额1.36万元，占政府采购支出总额的100.00%，其中：授予小微企业合同金额1.36万元，占政府采购支出总额的100.00%。</w:t>
      </w:r>
    </w:p>
    <w:p w14:paraId="14F619C8">
      <w:pPr>
        <w:spacing w:line="640" w:lineRule="exact"/>
        <w:ind w:firstLine="640"/>
        <w:jc w:val="both"/>
        <w:outlineLvl w:val="3"/>
      </w:pPr>
      <w:r>
        <w:rPr>
          <w:rFonts w:ascii="楷体_GB2312" w:hAnsi="楷体_GB2312" w:eastAsia="楷体_GB2312"/>
          <w:b/>
          <w:sz w:val="32"/>
        </w:rPr>
        <w:t>（三）国有资产占用情况说明</w:t>
      </w:r>
    </w:p>
    <w:p w14:paraId="393F722E">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6178623">
      <w:pPr>
        <w:spacing w:line="640" w:lineRule="exact"/>
        <w:ind w:firstLine="640"/>
        <w:jc w:val="both"/>
        <w:outlineLvl w:val="2"/>
      </w:pPr>
      <w:r>
        <w:rPr>
          <w:rFonts w:ascii="黑体" w:hAnsi="黑体" w:eastAsia="黑体"/>
          <w:sz w:val="32"/>
        </w:rPr>
        <w:t>十一、预算绩效的情况说明</w:t>
      </w:r>
    </w:p>
    <w:p w14:paraId="36DFC80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204.17万元，实际执行总额204.17万元；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无项目绩效自评表。发现的问题及原因：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无项目绩效自评表。下一步改进措施：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无项目绩效自评表。具体附整体支出绩效自评表。</w:t>
      </w:r>
    </w:p>
    <w:p w14:paraId="23078B3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5A171A0">
        <w:tblPrEx>
          <w:tblCellMar>
            <w:top w:w="0" w:type="dxa"/>
            <w:left w:w="108" w:type="dxa"/>
            <w:bottom w:w="0" w:type="dxa"/>
            <w:right w:w="108" w:type="dxa"/>
          </w:tblCellMar>
        </w:tblPrEx>
        <w:tc>
          <w:tcPr>
            <w:tcW w:w="8847" w:type="dxa"/>
            <w:gridSpan w:val="9"/>
            <w:vAlign w:val="center"/>
          </w:tcPr>
          <w:p w14:paraId="40094E58">
            <w:pPr>
              <w:jc w:val="center"/>
            </w:pPr>
            <w:r>
              <w:rPr>
                <w:rFonts w:ascii="宋体" w:hAnsi="宋体" w:eastAsia="宋体"/>
                <w:sz w:val="24"/>
              </w:rPr>
              <w:t>单位整体支出绩效自评表</w:t>
            </w:r>
          </w:p>
        </w:tc>
      </w:tr>
      <w:tr w14:paraId="277875A6">
        <w:tblPrEx>
          <w:tblCellMar>
            <w:top w:w="0" w:type="dxa"/>
            <w:left w:w="108" w:type="dxa"/>
            <w:bottom w:w="0" w:type="dxa"/>
            <w:right w:w="108" w:type="dxa"/>
          </w:tblCellMar>
        </w:tblPrEx>
        <w:tc>
          <w:tcPr>
            <w:tcW w:w="8847" w:type="dxa"/>
            <w:gridSpan w:val="9"/>
            <w:vAlign w:val="center"/>
          </w:tcPr>
          <w:p w14:paraId="5AEECD3B">
            <w:pPr>
              <w:jc w:val="center"/>
            </w:pPr>
            <w:r>
              <w:rPr>
                <w:rFonts w:ascii="宋体" w:hAnsi="宋体" w:eastAsia="宋体"/>
                <w:sz w:val="24"/>
              </w:rPr>
              <w:t>（2024年度）</w:t>
            </w:r>
          </w:p>
        </w:tc>
      </w:tr>
      <w:tr w14:paraId="15BBFF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C381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B63D1E">
            <w:pPr>
              <w:jc w:val="center"/>
            </w:pPr>
            <w:r>
              <w:rPr>
                <w:rFonts w:ascii="宋体" w:hAnsi="宋体" w:eastAsia="宋体"/>
                <w:sz w:val="16"/>
              </w:rPr>
              <w:t>中共叶城县委员会机构编制委员会办公室</w:t>
            </w:r>
          </w:p>
        </w:tc>
      </w:tr>
      <w:tr w14:paraId="6752F9C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55420">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7121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F096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9382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7C17B">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327F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3248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3870B">
            <w:pPr>
              <w:jc w:val="center"/>
            </w:pPr>
            <w:r>
              <w:rPr>
                <w:rFonts w:ascii="宋体" w:hAnsi="宋体" w:eastAsia="宋体"/>
                <w:sz w:val="16"/>
              </w:rPr>
              <w:t>得分</w:t>
            </w:r>
          </w:p>
        </w:tc>
      </w:tr>
      <w:tr w14:paraId="03A5BF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07D1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E3366">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B6EBC">
            <w:pPr>
              <w:jc w:val="center"/>
            </w:pPr>
            <w:r>
              <w:rPr>
                <w:rFonts w:ascii="宋体" w:hAnsi="宋体" w:eastAsia="宋体"/>
                <w:sz w:val="16"/>
              </w:rPr>
              <w:t>177.08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E9B56">
            <w:pPr>
              <w:jc w:val="center"/>
            </w:pPr>
            <w:r>
              <w:rPr>
                <w:rFonts w:ascii="宋体" w:hAnsi="宋体" w:eastAsia="宋体"/>
                <w:sz w:val="16"/>
              </w:rPr>
              <w:t>204.17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C5810">
            <w:pPr>
              <w:jc w:val="center"/>
            </w:pPr>
            <w:r>
              <w:rPr>
                <w:rFonts w:ascii="宋体" w:hAnsi="宋体" w:eastAsia="宋体"/>
                <w:sz w:val="16"/>
              </w:rPr>
              <w:t>204.17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B83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C2DD5">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7B01E">
            <w:pPr>
              <w:jc w:val="center"/>
            </w:pPr>
            <w:r>
              <w:rPr>
                <w:rFonts w:ascii="宋体" w:hAnsi="宋体" w:eastAsia="宋体"/>
                <w:sz w:val="16"/>
              </w:rPr>
              <w:t>10</w:t>
            </w:r>
          </w:p>
        </w:tc>
      </w:tr>
      <w:tr w14:paraId="13A057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3003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99A8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DE9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640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F32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5DA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19E4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4D775">
            <w:pPr>
              <w:jc w:val="center"/>
            </w:pPr>
            <w:r>
              <w:rPr>
                <w:rFonts w:ascii="宋体" w:hAnsi="宋体" w:eastAsia="宋体"/>
                <w:sz w:val="16"/>
              </w:rPr>
              <w:t>—</w:t>
            </w:r>
          </w:p>
        </w:tc>
      </w:tr>
      <w:tr w14:paraId="41B043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2F29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9ECAB">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61952">
            <w:pPr>
              <w:jc w:val="center"/>
            </w:pPr>
            <w:r>
              <w:rPr>
                <w:rFonts w:ascii="宋体" w:hAnsi="宋体" w:eastAsia="宋体"/>
                <w:sz w:val="16"/>
              </w:rPr>
              <w:t>177.08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CFAD3">
            <w:pPr>
              <w:jc w:val="center"/>
            </w:pPr>
            <w:r>
              <w:rPr>
                <w:rFonts w:ascii="宋体" w:hAnsi="宋体" w:eastAsia="宋体"/>
                <w:sz w:val="16"/>
              </w:rPr>
              <w:t>204.17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13596">
            <w:pPr>
              <w:jc w:val="center"/>
            </w:pPr>
            <w:r>
              <w:rPr>
                <w:rFonts w:ascii="宋体" w:hAnsi="宋体" w:eastAsia="宋体"/>
                <w:sz w:val="16"/>
              </w:rPr>
              <w:t>204.17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EEAE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4139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6B646">
            <w:pPr>
              <w:jc w:val="center"/>
            </w:pPr>
            <w:r>
              <w:rPr>
                <w:rFonts w:ascii="宋体" w:hAnsi="宋体" w:eastAsia="宋体"/>
                <w:sz w:val="16"/>
              </w:rPr>
              <w:t>—</w:t>
            </w:r>
          </w:p>
        </w:tc>
      </w:tr>
      <w:tr w14:paraId="66992C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DFE5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692FA">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608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A9FD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464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511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0DCE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7E3EE">
            <w:pPr>
              <w:jc w:val="center"/>
            </w:pPr>
            <w:r>
              <w:rPr>
                <w:rFonts w:ascii="宋体" w:hAnsi="宋体" w:eastAsia="宋体"/>
                <w:sz w:val="16"/>
              </w:rPr>
              <w:t>—</w:t>
            </w:r>
          </w:p>
        </w:tc>
      </w:tr>
      <w:tr w14:paraId="44E222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A958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5BD0F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F68FE5">
            <w:pPr>
              <w:jc w:val="center"/>
            </w:pPr>
            <w:r>
              <w:rPr>
                <w:rFonts w:ascii="宋体" w:hAnsi="宋体" w:eastAsia="宋体"/>
                <w:sz w:val="16"/>
              </w:rPr>
              <w:t>实际完成情况</w:t>
            </w:r>
          </w:p>
        </w:tc>
      </w:tr>
      <w:tr w14:paraId="551C03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E5AAE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2EAC76">
            <w:pPr>
              <w:jc w:val="both"/>
            </w:pPr>
            <w:r>
              <w:rPr>
                <w:rFonts w:ascii="宋体" w:hAnsi="宋体" w:eastAsia="宋体"/>
                <w:sz w:val="16"/>
              </w:rPr>
              <w:t>统一管理全县各级党政机关，人大、政协，各社会团体机关及事业单位的机构编制管理工作；研究拟订上报县</w:t>
            </w:r>
            <w:r>
              <w:rPr>
                <w:rFonts w:hint="eastAsia" w:ascii="宋体" w:hAnsi="宋体"/>
                <w:sz w:val="16"/>
                <w:lang w:eastAsia="zh-CN"/>
              </w:rPr>
              <w:t>行政体制</w:t>
            </w:r>
            <w:r>
              <w:rPr>
                <w:rFonts w:ascii="宋体" w:hAnsi="宋体" w:eastAsia="宋体"/>
                <w:sz w:val="16"/>
              </w:rPr>
              <w:t>与机构改革的总体方案，并组织实施；负责县党政机关，人大、政协，各社会团体机关机构设置、职能配置和人员编制、领导职数的核定；审核县股级机构设置；贯彻落实事业单位分类改革方案和事业单位机构编制管理的政策、规定；审核县事业单位机构设置、职责任务和人员编制、领导职数的核定，贯彻落实《事业单位登记管理暂行条例》 贯彻落实事业单位登记管理办法；依法对县事业单位登记管理工作进行监督检查；监督检查全县行政管理体制改革、机构改革以及机构编制执行情况，报告县委机构编制委员会；完成县委、县人民政府和县委机构编制委员会交办的其他工作任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68494C">
            <w:pPr>
              <w:jc w:val="both"/>
            </w:pPr>
            <w:r>
              <w:rPr>
                <w:rFonts w:hint="eastAsia" w:ascii="宋体" w:hAnsi="宋体"/>
                <w:sz w:val="16"/>
                <w:lang w:eastAsia="zh-CN"/>
              </w:rPr>
              <w:t>截至</w:t>
            </w:r>
            <w:r>
              <w:rPr>
                <w:rFonts w:ascii="宋体" w:hAnsi="宋体" w:eastAsia="宋体"/>
                <w:sz w:val="16"/>
              </w:rPr>
              <w:t>2024年12月31日，管理事业单位数量已完成96个，完成率100%，召开编委会议已完成3次，完成率100%，执行单位机构改革编制管理完成率已完成100%，管理全县事业单位机构编制覆盖率已完成100%，机构编制实名制平台人员信息准确率已完成100%，该项目统一管理全县各级党政机关，人大、政协，各社会团体机关及事业单位的机构编制管理工作；研究拟订上报县</w:t>
            </w:r>
            <w:r>
              <w:rPr>
                <w:rFonts w:hint="eastAsia" w:ascii="宋体" w:hAnsi="宋体"/>
                <w:sz w:val="16"/>
                <w:lang w:eastAsia="zh-CN"/>
              </w:rPr>
              <w:t>行政体制</w:t>
            </w:r>
            <w:r>
              <w:rPr>
                <w:rFonts w:ascii="宋体" w:hAnsi="宋体" w:eastAsia="宋体"/>
                <w:sz w:val="16"/>
              </w:rPr>
              <w:t>与机构改革的总体方案，并组织实施；负责县党政机关，人大、政协，各社会团体机关机构设置、职能配置和人员编制、领导职数的核定；审核县股级机构设置；贯彻落实事业单位分类改革方案和事业单位机构编制管理的政策、规定；审核县事业单位机构设置、职责任务和人员编制、领导职数的核定，贯彻落实《事业单位登记管理暂行条例》 贯彻落实事业单位登记管理办法；依法对县事业单位登记管理工作进行监督检查；监督检查全县行政管理体制改革、机构改革以及机构编制执行情况，报告县委机构编制委员会；完成县委、县人民政府和县委机构编制委员会交办的其他工作任务。</w:t>
            </w:r>
          </w:p>
        </w:tc>
      </w:tr>
      <w:tr w14:paraId="58AA93B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686D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E11A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9843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95C91">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3ADC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AE32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F237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75B2F">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CACE0">
            <w:pPr>
              <w:jc w:val="center"/>
            </w:pPr>
            <w:r>
              <w:rPr>
                <w:rFonts w:ascii="宋体" w:hAnsi="宋体" w:eastAsia="宋体"/>
                <w:sz w:val="16"/>
              </w:rPr>
              <w:t>得分</w:t>
            </w:r>
          </w:p>
        </w:tc>
      </w:tr>
      <w:tr w14:paraId="5EFC63A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DBCB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B14D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E8FBC">
            <w:pPr>
              <w:jc w:val="center"/>
            </w:pPr>
            <w:r>
              <w:rPr>
                <w:rFonts w:ascii="宋体" w:hAnsi="宋体" w:eastAsia="宋体"/>
                <w:sz w:val="16"/>
              </w:rPr>
              <w:t>管理事业单位数量（个）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20EAE">
            <w:pPr>
              <w:jc w:val="center"/>
            </w:pPr>
            <w:r>
              <w:rPr>
                <w:rFonts w:ascii="宋体" w:hAnsi="宋体" w:eastAsia="宋体"/>
                <w:sz w:val="16"/>
              </w:rPr>
              <w:t>=96个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C3D32">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D49B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27BF1">
            <w:pPr>
              <w:jc w:val="center"/>
            </w:pPr>
            <w:r>
              <w:rPr>
                <w:rFonts w:ascii="宋体" w:hAnsi="宋体" w:eastAsia="宋体"/>
                <w:sz w:val="16"/>
              </w:rPr>
              <w:t>96个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D48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66549">
            <w:pPr>
              <w:jc w:val="center"/>
            </w:pPr>
            <w:r>
              <w:rPr>
                <w:rFonts w:ascii="宋体" w:hAnsi="宋体" w:eastAsia="宋体"/>
                <w:sz w:val="16"/>
              </w:rPr>
              <w:t>18</w:t>
            </w:r>
          </w:p>
        </w:tc>
      </w:tr>
      <w:tr w14:paraId="058C07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0478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B0E8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1D275">
            <w:pPr>
              <w:jc w:val="center"/>
            </w:pPr>
            <w:r>
              <w:rPr>
                <w:rFonts w:ascii="宋体" w:hAnsi="宋体" w:eastAsia="宋体"/>
                <w:sz w:val="16"/>
              </w:rPr>
              <w:t>召开编委会议</w:t>
            </w:r>
            <w:bookmarkStart w:id="0" w:name="_GoBack"/>
            <w:r>
              <w:rPr>
                <w:rFonts w:ascii="宋体" w:hAnsi="宋体" w:eastAsia="宋体"/>
                <w:sz w:val="16"/>
              </w:rPr>
              <w:t>（</w:t>
            </w:r>
            <w:bookmarkEnd w:id="0"/>
            <w:r>
              <w:rPr>
                <w:rFonts w:ascii="宋体" w:hAnsi="宋体" w:eastAsia="宋体"/>
                <w:sz w:val="16"/>
              </w:rPr>
              <w:t>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55162">
            <w:pPr>
              <w:jc w:val="center"/>
            </w:pPr>
            <w:r>
              <w:rPr>
                <w:rFonts w:ascii="宋体" w:hAnsi="宋体" w:eastAsia="宋体"/>
                <w:sz w:val="16"/>
              </w:rPr>
              <w:t>&gt;=3次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50EC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1A54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A741D">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5D41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7C51B">
            <w:pPr>
              <w:jc w:val="center"/>
            </w:pPr>
            <w:r>
              <w:rPr>
                <w:rFonts w:ascii="宋体" w:hAnsi="宋体" w:eastAsia="宋体"/>
                <w:sz w:val="16"/>
              </w:rPr>
              <w:t>18</w:t>
            </w:r>
          </w:p>
        </w:tc>
      </w:tr>
      <w:tr w14:paraId="5D1316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BBC85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89B6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C48D5">
            <w:pPr>
              <w:jc w:val="center"/>
            </w:pPr>
            <w:r>
              <w:rPr>
                <w:rFonts w:ascii="宋体" w:hAnsi="宋体" w:eastAsia="宋体"/>
                <w:sz w:val="16"/>
              </w:rPr>
              <w:t>执行单位机构改革编制管理完成率（%）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5C2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797E8">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6E32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CA5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0F7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BAAC4">
            <w:pPr>
              <w:jc w:val="center"/>
            </w:pPr>
            <w:r>
              <w:rPr>
                <w:rFonts w:ascii="宋体" w:hAnsi="宋体" w:eastAsia="宋体"/>
                <w:sz w:val="16"/>
              </w:rPr>
              <w:t>18</w:t>
            </w:r>
          </w:p>
        </w:tc>
      </w:tr>
      <w:tr w14:paraId="44ACD1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8FFD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1269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D45C2">
            <w:pPr>
              <w:jc w:val="center"/>
            </w:pPr>
            <w:r>
              <w:rPr>
                <w:rFonts w:ascii="宋体" w:hAnsi="宋体" w:eastAsia="宋体"/>
                <w:sz w:val="16"/>
              </w:rPr>
              <w:t>管理全县事业单位机构编制覆盖率（%）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8CC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02BD2">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75F9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BFE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A52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93529">
            <w:pPr>
              <w:jc w:val="center"/>
            </w:pPr>
            <w:r>
              <w:rPr>
                <w:rFonts w:ascii="宋体" w:hAnsi="宋体" w:eastAsia="宋体"/>
                <w:sz w:val="16"/>
              </w:rPr>
              <w:t>18</w:t>
            </w:r>
          </w:p>
        </w:tc>
      </w:tr>
      <w:tr w14:paraId="58AE62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D791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A484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04804">
            <w:pPr>
              <w:jc w:val="center"/>
            </w:pPr>
            <w:r>
              <w:rPr>
                <w:rFonts w:ascii="宋体" w:hAnsi="宋体" w:eastAsia="宋体"/>
                <w:sz w:val="16"/>
              </w:rPr>
              <w:t>机构编制实名制平台人员信息准确率（%）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F07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D4BE2">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7035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658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6D9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C64EC">
            <w:pPr>
              <w:jc w:val="center"/>
            </w:pPr>
            <w:r>
              <w:rPr>
                <w:rFonts w:ascii="宋体" w:hAnsi="宋体" w:eastAsia="宋体"/>
                <w:sz w:val="16"/>
              </w:rPr>
              <w:t>18</w:t>
            </w:r>
          </w:p>
        </w:tc>
      </w:tr>
    </w:tbl>
    <w:p w14:paraId="7C909722">
      <w:r>
        <w:br w:type="page"/>
      </w:r>
    </w:p>
    <w:p w14:paraId="5F115FD1">
      <w:pPr>
        <w:spacing w:line="640" w:lineRule="exact"/>
        <w:ind w:firstLine="640"/>
        <w:jc w:val="both"/>
        <w:outlineLvl w:val="2"/>
      </w:pPr>
      <w:r>
        <w:rPr>
          <w:rFonts w:ascii="黑体" w:hAnsi="黑体" w:eastAsia="黑体"/>
          <w:sz w:val="32"/>
        </w:rPr>
        <w:t>十二、其他需说明的事项</w:t>
      </w:r>
    </w:p>
    <w:p w14:paraId="6A26F6C5">
      <w:pPr>
        <w:spacing w:line="580" w:lineRule="exact"/>
        <w:ind w:firstLine="640"/>
        <w:jc w:val="both"/>
      </w:pPr>
      <w:r>
        <w:rPr>
          <w:rFonts w:ascii="仿宋_GB2312" w:hAnsi="仿宋_GB2312" w:eastAsia="仿宋_GB2312"/>
          <w:b w:val="0"/>
          <w:sz w:val="32"/>
        </w:rPr>
        <w:t>本单位无其他需说明的事项。</w:t>
      </w:r>
    </w:p>
    <w:p w14:paraId="5400316C">
      <w:r>
        <w:br w:type="page"/>
      </w:r>
    </w:p>
    <w:p w14:paraId="61C0AC2E">
      <w:pPr>
        <w:spacing w:line="240" w:lineRule="auto"/>
        <w:jc w:val="center"/>
        <w:outlineLvl w:val="1"/>
      </w:pPr>
      <w:r>
        <w:rPr>
          <w:rFonts w:ascii="黑体" w:hAnsi="黑体" w:eastAsia="黑体"/>
          <w:sz w:val="32"/>
        </w:rPr>
        <w:t>第三部分 专业名词解释</w:t>
      </w:r>
    </w:p>
    <w:p w14:paraId="1CB2E96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7C9143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400924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2990FA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AFEB84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67264D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7B4E55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18AA80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F605AC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866A6B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70DB4A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0840EF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549E5C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8EBCB3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BC42871">
      <w:r>
        <w:br w:type="page"/>
      </w:r>
    </w:p>
    <w:p w14:paraId="1FF6683E">
      <w:pPr>
        <w:spacing w:line="240" w:lineRule="auto"/>
        <w:jc w:val="center"/>
        <w:outlineLvl w:val="1"/>
      </w:pPr>
      <w:r>
        <w:rPr>
          <w:rFonts w:ascii="黑体" w:hAnsi="黑体" w:eastAsia="黑体"/>
          <w:sz w:val="32"/>
        </w:rPr>
        <w:t>第四部分 部门决算报表（见附表）</w:t>
      </w:r>
    </w:p>
    <w:p w14:paraId="1CC6ABC5">
      <w:pPr>
        <w:spacing w:line="240" w:lineRule="auto"/>
        <w:ind w:firstLine="640"/>
        <w:jc w:val="both"/>
      </w:pPr>
      <w:r>
        <w:rPr>
          <w:rFonts w:ascii="仿宋_GB2312" w:hAnsi="仿宋_GB2312" w:eastAsia="仿宋_GB2312"/>
          <w:b w:val="0"/>
          <w:sz w:val="32"/>
        </w:rPr>
        <w:t>一、《收入支出决算总表》</w:t>
      </w:r>
    </w:p>
    <w:p w14:paraId="34FF9467">
      <w:pPr>
        <w:spacing w:line="240" w:lineRule="auto"/>
        <w:ind w:firstLine="640"/>
        <w:jc w:val="both"/>
      </w:pPr>
      <w:r>
        <w:rPr>
          <w:rFonts w:ascii="仿宋_GB2312" w:hAnsi="仿宋_GB2312" w:eastAsia="仿宋_GB2312"/>
          <w:b w:val="0"/>
          <w:sz w:val="32"/>
        </w:rPr>
        <w:t>二、《收入决算表》</w:t>
      </w:r>
    </w:p>
    <w:p w14:paraId="1D370A02">
      <w:pPr>
        <w:spacing w:line="240" w:lineRule="auto"/>
        <w:ind w:firstLine="640"/>
        <w:jc w:val="both"/>
      </w:pPr>
      <w:r>
        <w:rPr>
          <w:rFonts w:ascii="仿宋_GB2312" w:hAnsi="仿宋_GB2312" w:eastAsia="仿宋_GB2312"/>
          <w:b w:val="0"/>
          <w:sz w:val="32"/>
        </w:rPr>
        <w:t>三、《支出决算表》</w:t>
      </w:r>
    </w:p>
    <w:p w14:paraId="24403A7C">
      <w:pPr>
        <w:spacing w:line="240" w:lineRule="auto"/>
        <w:ind w:firstLine="640"/>
        <w:jc w:val="both"/>
      </w:pPr>
      <w:r>
        <w:rPr>
          <w:rFonts w:ascii="仿宋_GB2312" w:hAnsi="仿宋_GB2312" w:eastAsia="仿宋_GB2312"/>
          <w:b w:val="0"/>
          <w:sz w:val="32"/>
        </w:rPr>
        <w:t>四、《财政拨款收入支出决算总表》</w:t>
      </w:r>
    </w:p>
    <w:p w14:paraId="2235D7FD">
      <w:pPr>
        <w:spacing w:line="240" w:lineRule="auto"/>
        <w:ind w:firstLine="640"/>
        <w:jc w:val="both"/>
      </w:pPr>
      <w:r>
        <w:rPr>
          <w:rFonts w:ascii="仿宋_GB2312" w:hAnsi="仿宋_GB2312" w:eastAsia="仿宋_GB2312"/>
          <w:b w:val="0"/>
          <w:sz w:val="32"/>
        </w:rPr>
        <w:t>五、《一般公共预算财政拨款支出决算表》</w:t>
      </w:r>
    </w:p>
    <w:p w14:paraId="68E80EDE">
      <w:pPr>
        <w:spacing w:line="240" w:lineRule="auto"/>
        <w:ind w:firstLine="640"/>
        <w:jc w:val="both"/>
      </w:pPr>
      <w:r>
        <w:rPr>
          <w:rFonts w:ascii="仿宋_GB2312" w:hAnsi="仿宋_GB2312" w:eastAsia="仿宋_GB2312"/>
          <w:b w:val="0"/>
          <w:sz w:val="32"/>
        </w:rPr>
        <w:t>六、《一般公共预算财政拨款基本支出决算表》</w:t>
      </w:r>
    </w:p>
    <w:p w14:paraId="31E342B8">
      <w:pPr>
        <w:spacing w:line="240" w:lineRule="auto"/>
        <w:ind w:firstLine="640"/>
        <w:jc w:val="both"/>
      </w:pPr>
      <w:r>
        <w:rPr>
          <w:rFonts w:ascii="仿宋_GB2312" w:hAnsi="仿宋_GB2312" w:eastAsia="仿宋_GB2312"/>
          <w:b w:val="0"/>
          <w:sz w:val="32"/>
        </w:rPr>
        <w:t>七、《政府性基金预算财政拨款收入支出决算表》</w:t>
      </w:r>
    </w:p>
    <w:p w14:paraId="6942388E">
      <w:pPr>
        <w:spacing w:line="240" w:lineRule="auto"/>
        <w:ind w:firstLine="640"/>
        <w:jc w:val="both"/>
      </w:pPr>
      <w:r>
        <w:rPr>
          <w:rFonts w:ascii="仿宋_GB2312" w:hAnsi="仿宋_GB2312" w:eastAsia="仿宋_GB2312"/>
          <w:b w:val="0"/>
          <w:sz w:val="32"/>
        </w:rPr>
        <w:t>八、《国有资本经营预算财政拨款收入支出决算表》</w:t>
      </w:r>
    </w:p>
    <w:p w14:paraId="72BFF70C">
      <w:pPr>
        <w:spacing w:line="240" w:lineRule="auto"/>
        <w:ind w:firstLine="640"/>
        <w:jc w:val="both"/>
      </w:pPr>
      <w:r>
        <w:rPr>
          <w:rFonts w:ascii="仿宋_GB2312" w:hAnsi="仿宋_GB2312" w:eastAsia="仿宋_GB2312"/>
          <w:b w:val="0"/>
          <w:sz w:val="32"/>
        </w:rPr>
        <w:t>九、《财政拨款“三公”经费支出决算表》</w:t>
      </w:r>
    </w:p>
    <w:p w14:paraId="1AD70C67">
      <w:pPr>
        <w:spacing w:line="240" w:lineRule="auto"/>
        <w:ind w:firstLine="640"/>
        <w:jc w:val="both"/>
      </w:pPr>
    </w:p>
    <w:p w14:paraId="7E1382E0">
      <w:pPr>
        <w:spacing w:line="240" w:lineRule="auto"/>
        <w:ind w:firstLine="640"/>
        <w:jc w:val="both"/>
      </w:pPr>
    </w:p>
    <w:p w14:paraId="29A63677">
      <w:pPr>
        <w:spacing w:line="240" w:lineRule="auto"/>
        <w:ind w:firstLine="640"/>
        <w:jc w:val="both"/>
      </w:pPr>
    </w:p>
    <w:p w14:paraId="0ACB5D74">
      <w:pPr>
        <w:spacing w:line="240" w:lineRule="auto"/>
        <w:ind w:firstLine="640"/>
        <w:jc w:val="both"/>
      </w:pPr>
    </w:p>
    <w:p w14:paraId="4F4C31E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B21AFC"/>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5F3ACE"/>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6361</Words>
  <Characters>7116</Characters>
  <Lines>0</Lines>
  <Paragraphs>0</Paragraphs>
  <TotalTime>17</TotalTime>
  <ScaleCrop>false</ScaleCrop>
  <LinksUpToDate>false</LinksUpToDate>
  <CharactersWithSpaces>7128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2025-09-29T09:53:30Z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