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中共叶城县委员会直属机关工作委员会2024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043F7E">
      <w:r>
        <w:br w:type="page"/>
      </w:r>
    </w:p>
    <w:p w14:paraId="798DDA3D">
      <w:pPr>
        <w:spacing w:line="640" w:lineRule="exact"/>
        <w:jc w:val="center"/>
        <w:outlineLvl w:val="1"/>
      </w:pPr>
      <w:r>
        <w:rPr>
          <w:rFonts w:ascii="黑体" w:hAnsi="黑体" w:eastAsia="黑体"/>
          <w:sz w:val="32"/>
        </w:rPr>
        <w:t>第一部分 单位概况</w:t>
      </w:r>
    </w:p>
    <w:p w14:paraId="417AEEA7">
      <w:pPr>
        <w:spacing w:line="640" w:lineRule="exact"/>
        <w:ind w:firstLine="640"/>
        <w:jc w:val="both"/>
        <w:outlineLvl w:val="2"/>
      </w:pPr>
      <w:r>
        <w:rPr>
          <w:rFonts w:ascii="黑体" w:hAnsi="黑体" w:eastAsia="黑体"/>
          <w:sz w:val="32"/>
        </w:rPr>
        <w:t>一、主要职能</w:t>
      </w:r>
    </w:p>
    <w:p w14:paraId="220BA7DD">
      <w:pPr>
        <w:spacing w:line="580" w:lineRule="exact"/>
        <w:ind w:firstLine="640"/>
        <w:jc w:val="both"/>
      </w:pPr>
      <w:r>
        <w:rPr>
          <w:rFonts w:ascii="仿宋_GB2312" w:hAnsi="仿宋_GB2312" w:eastAsia="仿宋_GB2312"/>
          <w:sz w:val="32"/>
        </w:rPr>
        <w:t>（一）统一组织、规划、部署县委直属机关党的工作，提出加强和改进机关党的建设的意见和建议，研究制定工作规划，并抓好组织实施。</w:t>
      </w:r>
    </w:p>
    <w:p w14:paraId="42067347">
      <w:pPr>
        <w:spacing w:line="580" w:lineRule="exact"/>
        <w:ind w:firstLine="640"/>
        <w:jc w:val="both"/>
      </w:pPr>
      <w:r>
        <w:rPr>
          <w:rFonts w:ascii="仿宋_GB2312" w:hAnsi="仿宋_GB2312" w:eastAsia="仿宋_GB2312"/>
          <w:sz w:val="32"/>
        </w:rPr>
        <w:t>（二）指导督促县委直属机关党</w:t>
      </w:r>
      <w:r>
        <w:rPr>
          <w:rFonts w:hint="eastAsia" w:ascii="仿宋_GB2312" w:hAnsi="仿宋_GB2312" w:eastAsia="仿宋_GB2312"/>
          <w:sz w:val="32"/>
          <w:lang w:eastAsia="zh-CN"/>
        </w:rPr>
        <w:t>组织</w:t>
      </w:r>
      <w:r>
        <w:rPr>
          <w:rFonts w:ascii="仿宋_GB2312" w:hAnsi="仿宋_GB2312" w:eastAsia="仿宋_GB2312"/>
          <w:sz w:val="32"/>
        </w:rPr>
        <w:t>、党总支、党支部认真履行机关党建主体责任。指导县委直属机关党的建设、思想建设、组织建设、作风建设、纪律建设，把制度建设贯穿其中，深入推进反腐败斗争。</w:t>
      </w:r>
    </w:p>
    <w:p w14:paraId="3ABD0CBE">
      <w:pPr>
        <w:spacing w:line="580" w:lineRule="exact"/>
        <w:ind w:firstLine="640"/>
        <w:jc w:val="both"/>
      </w:pPr>
      <w:r>
        <w:rPr>
          <w:rFonts w:ascii="仿宋_GB2312" w:hAnsi="仿宋_GB2312" w:eastAsia="仿宋_GB2312"/>
          <w:sz w:val="32"/>
        </w:rPr>
        <w:t>（三）指导县委直属机关党</w:t>
      </w:r>
      <w:r>
        <w:rPr>
          <w:rFonts w:hint="eastAsia" w:ascii="仿宋_GB2312" w:hAnsi="仿宋_GB2312" w:eastAsia="仿宋_GB2312"/>
          <w:sz w:val="32"/>
          <w:lang w:eastAsia="zh-CN"/>
        </w:rPr>
        <w:t>组织</w:t>
      </w:r>
      <w:r>
        <w:rPr>
          <w:rFonts w:ascii="仿宋_GB2312" w:hAnsi="仿宋_GB2312" w:eastAsia="仿宋_GB2312"/>
          <w:sz w:val="32"/>
        </w:rPr>
        <w:t>、党总支、党支部和广大党员学习马克思列宁主义、毛泽东思想、邓小平理论、“三个代表”重要思想、科学发展观、习近平新时代中国特色社会主义思想，聚焦总目标和县委中心工作，做好思想教育和武装广大党员和干部群众，使党的路线、方针、政策变为群众的统一意志和自觉行动。</w:t>
      </w:r>
    </w:p>
    <w:p w14:paraId="6AC5F120">
      <w:pPr>
        <w:spacing w:line="580" w:lineRule="exact"/>
        <w:ind w:firstLine="640"/>
        <w:jc w:val="both"/>
      </w:pPr>
      <w:r>
        <w:rPr>
          <w:rFonts w:ascii="仿宋_GB2312" w:hAnsi="仿宋_GB2312" w:eastAsia="仿宋_GB2312"/>
          <w:sz w:val="32"/>
        </w:rPr>
        <w:t>（四）对县委直属机关党</w:t>
      </w:r>
      <w:r>
        <w:rPr>
          <w:rFonts w:hint="eastAsia" w:ascii="仿宋_GB2312" w:hAnsi="仿宋_GB2312" w:eastAsia="仿宋_GB2312"/>
          <w:sz w:val="32"/>
          <w:lang w:eastAsia="zh-CN"/>
        </w:rPr>
        <w:t>组织</w:t>
      </w:r>
      <w:r>
        <w:rPr>
          <w:rFonts w:ascii="仿宋_GB2312" w:hAnsi="仿宋_GB2312" w:eastAsia="仿宋_GB2312"/>
          <w:sz w:val="32"/>
        </w:rPr>
        <w:t>、党总支、党支部、党员领导干部落实党建责任制、遵守纪律和规矩情况进行监督检查，并及时向县委报告。</w:t>
      </w:r>
    </w:p>
    <w:p w14:paraId="4E130EF9">
      <w:pPr>
        <w:spacing w:line="580" w:lineRule="exact"/>
        <w:ind w:firstLine="640"/>
        <w:jc w:val="both"/>
      </w:pPr>
      <w:r>
        <w:rPr>
          <w:rFonts w:ascii="仿宋_GB2312" w:hAnsi="仿宋_GB2312" w:eastAsia="仿宋_GB2312"/>
          <w:sz w:val="32"/>
        </w:rPr>
        <w:t>（五）指导县委直属机关党</w:t>
      </w:r>
      <w:r>
        <w:rPr>
          <w:rFonts w:hint="eastAsia" w:ascii="仿宋_GB2312" w:hAnsi="仿宋_GB2312" w:eastAsia="仿宋_GB2312"/>
          <w:sz w:val="32"/>
          <w:lang w:eastAsia="zh-CN"/>
        </w:rPr>
        <w:t>组织</w:t>
      </w:r>
      <w:r>
        <w:rPr>
          <w:rFonts w:ascii="仿宋_GB2312" w:hAnsi="仿宋_GB2312" w:eastAsia="仿宋_GB2312"/>
          <w:sz w:val="32"/>
        </w:rPr>
        <w:t>、党总支、党支部实施对党员特别是党员领导干部的监督和管理，及时向县委报告各部门领导班子、领导干部情况。</w:t>
      </w:r>
    </w:p>
    <w:p w14:paraId="5824C3A8">
      <w:pPr>
        <w:spacing w:line="580" w:lineRule="exact"/>
        <w:ind w:firstLine="640"/>
        <w:jc w:val="both"/>
      </w:pPr>
      <w:r>
        <w:rPr>
          <w:rFonts w:ascii="仿宋_GB2312" w:hAnsi="仿宋_GB2312" w:eastAsia="仿宋_GB2312"/>
          <w:sz w:val="32"/>
        </w:rPr>
        <w:t>（六）配合县委有关部门抓好县委直属机关各部门领导班子思想建设，参与对党员领导干部民主生活会和党组理论学习中心组、党总支、支部学习的督促检查和指导，了解掌握情况，按规定报送情况报告。</w:t>
      </w:r>
    </w:p>
    <w:p w14:paraId="78E9312F">
      <w:pPr>
        <w:spacing w:line="580" w:lineRule="exact"/>
        <w:ind w:firstLine="640"/>
        <w:jc w:val="both"/>
      </w:pPr>
      <w:r>
        <w:rPr>
          <w:rFonts w:ascii="仿宋_GB2312" w:hAnsi="仿宋_GB2312" w:eastAsia="仿宋_GB2312"/>
          <w:sz w:val="32"/>
        </w:rPr>
        <w:t>（七）督促指导县委直属机关各部门党</w:t>
      </w:r>
      <w:r>
        <w:rPr>
          <w:rFonts w:hint="eastAsia" w:ascii="仿宋_GB2312" w:hAnsi="仿宋_GB2312" w:eastAsia="仿宋_GB2312"/>
          <w:sz w:val="32"/>
          <w:lang w:eastAsia="zh-CN"/>
        </w:rPr>
        <w:t>组织</w:t>
      </w:r>
      <w:r>
        <w:rPr>
          <w:rFonts w:ascii="仿宋_GB2312" w:hAnsi="仿宋_GB2312" w:eastAsia="仿宋_GB2312"/>
          <w:sz w:val="32"/>
        </w:rPr>
        <w:t>、党总支、党支部按期换届，指导督促做好基层党组织领导班子成员的配备。</w:t>
      </w:r>
    </w:p>
    <w:p w14:paraId="70A36364">
      <w:pPr>
        <w:spacing w:line="580" w:lineRule="exact"/>
        <w:ind w:firstLine="640"/>
        <w:jc w:val="both"/>
      </w:pPr>
      <w:r>
        <w:rPr>
          <w:rFonts w:ascii="仿宋_GB2312" w:hAnsi="仿宋_GB2312" w:eastAsia="仿宋_GB2312"/>
          <w:sz w:val="32"/>
        </w:rPr>
        <w:t>（八）指导县委直属机关党</w:t>
      </w:r>
      <w:r>
        <w:rPr>
          <w:rFonts w:hint="eastAsia" w:ascii="仿宋_GB2312" w:hAnsi="仿宋_GB2312" w:eastAsia="仿宋_GB2312"/>
          <w:sz w:val="32"/>
          <w:lang w:eastAsia="zh-CN"/>
        </w:rPr>
        <w:t>组织</w:t>
      </w:r>
      <w:r>
        <w:rPr>
          <w:rFonts w:ascii="仿宋_GB2312" w:hAnsi="仿宋_GB2312" w:eastAsia="仿宋_GB2312"/>
          <w:sz w:val="32"/>
        </w:rPr>
        <w:t>、党总支、党支部加强基层组织建设，组织好党员发展、教育和管理等工作。</w:t>
      </w:r>
    </w:p>
    <w:p w14:paraId="1217F829">
      <w:pPr>
        <w:spacing w:line="580" w:lineRule="exact"/>
        <w:ind w:firstLine="640"/>
        <w:jc w:val="both"/>
      </w:pPr>
      <w:r>
        <w:rPr>
          <w:rFonts w:ascii="仿宋_GB2312" w:hAnsi="仿宋_GB2312" w:eastAsia="仿宋_GB2312"/>
          <w:sz w:val="32"/>
        </w:rPr>
        <w:t>（九）了解掌握县委直属机关工作人员的思想状况，指导县委直属机关党</w:t>
      </w:r>
      <w:r>
        <w:rPr>
          <w:rFonts w:hint="eastAsia" w:ascii="仿宋_GB2312" w:hAnsi="仿宋_GB2312" w:eastAsia="仿宋_GB2312"/>
          <w:sz w:val="32"/>
          <w:lang w:eastAsia="zh-CN"/>
        </w:rPr>
        <w:t>组织</w:t>
      </w:r>
      <w:r>
        <w:rPr>
          <w:rFonts w:ascii="仿宋_GB2312" w:hAnsi="仿宋_GB2312" w:eastAsia="仿宋_GB2312"/>
          <w:sz w:val="32"/>
        </w:rPr>
        <w:t>、党总支、党支部加强思想工作和精神文明建设。</w:t>
      </w:r>
    </w:p>
    <w:p w14:paraId="397EF533">
      <w:pPr>
        <w:spacing w:line="580" w:lineRule="exact"/>
        <w:ind w:firstLine="640"/>
        <w:jc w:val="both"/>
      </w:pPr>
      <w:r>
        <w:rPr>
          <w:rFonts w:ascii="仿宋_GB2312" w:hAnsi="仿宋_GB2312" w:eastAsia="仿宋_GB2312"/>
          <w:sz w:val="32"/>
        </w:rPr>
        <w:t>（十）协同有关部门指导、规划、协调、监督、检查县委直属机关干部教育培训工作，培训轮训县委直属机关党员领导干部、党务干部及党员发展对象。</w:t>
      </w:r>
    </w:p>
    <w:p w14:paraId="3C4D9C98">
      <w:pPr>
        <w:spacing w:line="580" w:lineRule="exact"/>
        <w:ind w:firstLine="640"/>
        <w:jc w:val="both"/>
      </w:pPr>
      <w:r>
        <w:rPr>
          <w:rFonts w:ascii="仿宋_GB2312" w:hAnsi="仿宋_GB2312" w:eastAsia="仿宋_GB2312"/>
          <w:sz w:val="32"/>
        </w:rPr>
        <w:t>（十一）承担安全生产工作职责。</w:t>
      </w:r>
    </w:p>
    <w:p w14:paraId="5F2D2697">
      <w:pPr>
        <w:spacing w:line="580" w:lineRule="exact"/>
        <w:ind w:firstLine="640"/>
        <w:jc w:val="both"/>
      </w:pPr>
      <w:r>
        <w:rPr>
          <w:rFonts w:ascii="仿宋_GB2312" w:hAnsi="仿宋_GB2312" w:eastAsia="仿宋_GB2312"/>
          <w:sz w:val="32"/>
        </w:rPr>
        <w:t>（十二）完成县委交办的其他任务。</w:t>
      </w:r>
    </w:p>
    <w:p w14:paraId="096F8B20">
      <w:pPr>
        <w:spacing w:line="640" w:lineRule="exact"/>
        <w:ind w:firstLine="640"/>
        <w:jc w:val="both"/>
        <w:outlineLvl w:val="2"/>
      </w:pPr>
      <w:r>
        <w:rPr>
          <w:rFonts w:ascii="黑体" w:hAnsi="黑体" w:eastAsia="黑体"/>
          <w:sz w:val="32"/>
        </w:rPr>
        <w:t>二、机构设置及人员情况</w:t>
      </w:r>
    </w:p>
    <w:p w14:paraId="15917D1C">
      <w:pPr>
        <w:spacing w:line="580" w:lineRule="exact"/>
        <w:ind w:firstLine="640"/>
        <w:jc w:val="both"/>
      </w:pPr>
      <w:r>
        <w:rPr>
          <w:rFonts w:ascii="仿宋_GB2312" w:hAnsi="仿宋_GB2312" w:eastAsia="仿宋_GB2312"/>
          <w:sz w:val="32"/>
        </w:rPr>
        <w:t>中共叶城县委员会直属机关工作委员会2024年度，实有人数8人，其中：在职人员4人，增加1人；离休人员0人，增加0人；退休人员4人,增加0人。</w:t>
      </w:r>
    </w:p>
    <w:p w14:paraId="7ECF877E">
      <w:pPr>
        <w:spacing w:line="580" w:lineRule="exact"/>
        <w:ind w:firstLine="640"/>
        <w:jc w:val="both"/>
      </w:pPr>
      <w:r>
        <w:rPr>
          <w:rFonts w:ascii="仿宋_GB2312" w:hAnsi="仿宋_GB2312" w:eastAsia="仿宋_GB2312"/>
          <w:sz w:val="32"/>
        </w:rPr>
        <w:t>中共叶城县委员会直属机关工作委员会无下属预算单位，下设1个科室，分别是：办公室。</w:t>
      </w:r>
    </w:p>
    <w:p w14:paraId="308D4B49">
      <w:r>
        <w:br w:type="page"/>
      </w:r>
    </w:p>
    <w:p w14:paraId="0CBF92FD">
      <w:pPr>
        <w:spacing w:line="240" w:lineRule="auto"/>
        <w:jc w:val="center"/>
        <w:outlineLvl w:val="1"/>
      </w:pPr>
      <w:r>
        <w:rPr>
          <w:rFonts w:ascii="黑体" w:hAnsi="黑体" w:eastAsia="黑体"/>
          <w:sz w:val="32"/>
        </w:rPr>
        <w:t>第二部分 部门决算情况说明</w:t>
      </w:r>
    </w:p>
    <w:p w14:paraId="24B547AA">
      <w:pPr>
        <w:spacing w:line="640" w:lineRule="exact"/>
        <w:ind w:firstLine="640"/>
        <w:jc w:val="both"/>
        <w:outlineLvl w:val="2"/>
      </w:pPr>
      <w:r>
        <w:rPr>
          <w:rFonts w:ascii="黑体" w:hAnsi="黑体" w:eastAsia="黑体"/>
          <w:sz w:val="32"/>
        </w:rPr>
        <w:t>一、收入支出决算总体情况说明</w:t>
      </w:r>
    </w:p>
    <w:p w14:paraId="7CE98BFE">
      <w:pPr>
        <w:spacing w:line="580" w:lineRule="exact"/>
        <w:ind w:firstLine="640"/>
        <w:jc w:val="both"/>
      </w:pPr>
      <w:r>
        <w:rPr>
          <w:rFonts w:ascii="仿宋_GB2312" w:hAnsi="仿宋_GB2312" w:eastAsia="仿宋_GB2312"/>
          <w:b/>
          <w:sz w:val="32"/>
        </w:rPr>
        <w:t>2024年度收入总计86.44万元，</w:t>
      </w:r>
      <w:r>
        <w:rPr>
          <w:rFonts w:ascii="仿宋_GB2312" w:hAnsi="仿宋_GB2312" w:eastAsia="仿宋_GB2312"/>
          <w:b w:val="0"/>
          <w:sz w:val="32"/>
        </w:rPr>
        <w:t>其中：本年收入合计86.44万元，使用非财政拨款结余（含专用结余）0.00万元，年初结转和结余0.00万元。</w:t>
      </w:r>
    </w:p>
    <w:p w14:paraId="1AC0BDFE">
      <w:pPr>
        <w:spacing w:line="580" w:lineRule="exact"/>
        <w:ind w:firstLine="640"/>
        <w:jc w:val="both"/>
      </w:pPr>
      <w:r>
        <w:rPr>
          <w:rFonts w:ascii="仿宋_GB2312" w:hAnsi="仿宋_GB2312" w:eastAsia="仿宋_GB2312"/>
          <w:b/>
          <w:sz w:val="32"/>
        </w:rPr>
        <w:t>2024年度支出总计86.44万元，</w:t>
      </w:r>
      <w:r>
        <w:rPr>
          <w:rFonts w:ascii="仿宋_GB2312" w:hAnsi="仿宋_GB2312" w:eastAsia="仿宋_GB2312"/>
          <w:b w:val="0"/>
          <w:sz w:val="32"/>
        </w:rPr>
        <w:t>其中：本年支出合计86.44万元，结余分配0.00万元，年末结转和结余0.00万元。</w:t>
      </w:r>
    </w:p>
    <w:p w14:paraId="60F8A9DC">
      <w:pPr>
        <w:spacing w:line="580" w:lineRule="exact"/>
        <w:ind w:firstLine="640"/>
        <w:jc w:val="both"/>
      </w:pPr>
      <w:r>
        <w:rPr>
          <w:rFonts w:ascii="仿宋_GB2312" w:hAnsi="仿宋_GB2312" w:eastAsia="仿宋_GB2312"/>
          <w:b w:val="0"/>
          <w:sz w:val="32"/>
        </w:rPr>
        <w:t>收入支出总体与上年相比，增加5.38万元，增长6.64%，主要原因是：本年新增调出外县人员，职业年金缴费支出增加。</w:t>
      </w:r>
    </w:p>
    <w:p w14:paraId="180F56DD">
      <w:pPr>
        <w:spacing w:line="640" w:lineRule="exact"/>
        <w:ind w:firstLine="640"/>
        <w:jc w:val="both"/>
        <w:outlineLvl w:val="2"/>
      </w:pPr>
      <w:r>
        <w:rPr>
          <w:rFonts w:ascii="黑体" w:hAnsi="黑体" w:eastAsia="黑体"/>
          <w:sz w:val="32"/>
        </w:rPr>
        <w:t>二、收入决算情况说明</w:t>
      </w:r>
    </w:p>
    <w:p w14:paraId="00ABDCD1">
      <w:pPr>
        <w:spacing w:line="580" w:lineRule="exact"/>
        <w:ind w:firstLine="640"/>
        <w:jc w:val="both"/>
      </w:pPr>
      <w:r>
        <w:rPr>
          <w:rFonts w:ascii="仿宋_GB2312" w:hAnsi="仿宋_GB2312" w:eastAsia="仿宋_GB2312"/>
          <w:b/>
          <w:sz w:val="32"/>
        </w:rPr>
        <w:t>本年收入86.44万元，</w:t>
      </w:r>
      <w:r>
        <w:rPr>
          <w:rFonts w:ascii="仿宋_GB2312" w:hAnsi="仿宋_GB2312" w:eastAsia="仿宋_GB2312"/>
          <w:b w:val="0"/>
          <w:sz w:val="32"/>
        </w:rPr>
        <w:t>其中：财政拨款收入86.44万元，占100.00%；上级补助收入0.00万元，占0.00%；事业收入0.00万元，占0.00%；经营收入0.00万元，占0.00%；附属单位上缴收入0.00万元，占0.00%；其他收入0.00万元，占0.00%。</w:t>
      </w:r>
    </w:p>
    <w:p w14:paraId="166ABAC7">
      <w:pPr>
        <w:spacing w:line="640" w:lineRule="exact"/>
        <w:ind w:firstLine="640"/>
        <w:jc w:val="both"/>
        <w:outlineLvl w:val="2"/>
      </w:pPr>
      <w:r>
        <w:rPr>
          <w:rFonts w:ascii="黑体" w:hAnsi="黑体" w:eastAsia="黑体"/>
          <w:sz w:val="32"/>
        </w:rPr>
        <w:t>三、支出决算情况说明</w:t>
      </w:r>
    </w:p>
    <w:p w14:paraId="567F5CEB">
      <w:pPr>
        <w:spacing w:line="580" w:lineRule="exact"/>
        <w:ind w:firstLine="640"/>
        <w:jc w:val="both"/>
      </w:pPr>
      <w:r>
        <w:rPr>
          <w:rFonts w:ascii="仿宋_GB2312" w:hAnsi="仿宋_GB2312" w:eastAsia="仿宋_GB2312"/>
          <w:b/>
          <w:sz w:val="32"/>
        </w:rPr>
        <w:t>本年支出86.44万元，</w:t>
      </w:r>
      <w:r>
        <w:rPr>
          <w:rFonts w:ascii="仿宋_GB2312" w:hAnsi="仿宋_GB2312" w:eastAsia="仿宋_GB2312"/>
          <w:b w:val="0"/>
          <w:sz w:val="32"/>
        </w:rPr>
        <w:t>其中：基本支出86.44万元，占100.00%；项目支出0.00万元，占0.00%；上缴上级支出0.00万元，占0.00%；经营支出0.00万元，占0.00%；对附属单位补助支出0.00万元，占0.00%。</w:t>
      </w:r>
    </w:p>
    <w:p w14:paraId="4B4858CF">
      <w:pPr>
        <w:spacing w:line="640" w:lineRule="exact"/>
        <w:ind w:firstLine="640"/>
        <w:jc w:val="both"/>
        <w:outlineLvl w:val="2"/>
      </w:pPr>
      <w:r>
        <w:rPr>
          <w:rFonts w:ascii="黑体" w:hAnsi="黑体" w:eastAsia="黑体"/>
          <w:sz w:val="32"/>
        </w:rPr>
        <w:t>四、财政拨款收入支出决算总体情况说明</w:t>
      </w:r>
    </w:p>
    <w:p w14:paraId="19D395B5">
      <w:pPr>
        <w:spacing w:line="580" w:lineRule="exact"/>
        <w:ind w:firstLine="640"/>
        <w:jc w:val="both"/>
      </w:pPr>
      <w:r>
        <w:rPr>
          <w:rFonts w:ascii="仿宋_GB2312" w:hAnsi="仿宋_GB2312" w:eastAsia="仿宋_GB2312"/>
          <w:b/>
          <w:sz w:val="32"/>
        </w:rPr>
        <w:t>2024年度财政拨款收入总计86.44万元，</w:t>
      </w:r>
      <w:r>
        <w:rPr>
          <w:rFonts w:ascii="仿宋_GB2312" w:hAnsi="仿宋_GB2312" w:eastAsia="仿宋_GB2312"/>
          <w:b w:val="0"/>
          <w:sz w:val="32"/>
        </w:rPr>
        <w:t>其中：年初财政拨款结转和结余0.00万元，本年财政拨款收入86.44万元。</w:t>
      </w:r>
      <w:r>
        <w:rPr>
          <w:rFonts w:ascii="仿宋_GB2312" w:hAnsi="仿宋_GB2312" w:eastAsia="仿宋_GB2312"/>
          <w:b/>
          <w:sz w:val="32"/>
        </w:rPr>
        <w:t>财政拨款支出总计86.44万元，</w:t>
      </w:r>
      <w:r>
        <w:rPr>
          <w:rFonts w:ascii="仿宋_GB2312" w:hAnsi="仿宋_GB2312" w:eastAsia="仿宋_GB2312"/>
          <w:b w:val="0"/>
          <w:sz w:val="32"/>
        </w:rPr>
        <w:t>其中：年末财政拨款结转和结余0.00万元，本年财政拨款支出86.44万元。</w:t>
      </w:r>
    </w:p>
    <w:p w14:paraId="7ACAD14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增加5.38万元，增长6.64%，主要原因是：本年新增调出外县人员，职业年金缴费支出增加。</w:t>
      </w:r>
      <w:r>
        <w:rPr>
          <w:rFonts w:ascii="仿宋_GB2312" w:hAnsi="仿宋_GB2312" w:eastAsia="仿宋_GB2312"/>
          <w:b/>
          <w:sz w:val="32"/>
        </w:rPr>
        <w:t>与年初预算相比，</w:t>
      </w:r>
      <w:r>
        <w:rPr>
          <w:rFonts w:ascii="仿宋_GB2312" w:hAnsi="仿宋_GB2312" w:eastAsia="仿宋_GB2312"/>
          <w:b w:val="0"/>
          <w:sz w:val="32"/>
        </w:rPr>
        <w:t>年初预算数75.08万元，决算数86.44万元，预决算差异率15.13%，主要原因是：本年在职人员增加，年中追加人员经费</w:t>
      </w:r>
      <w:r>
        <w:rPr>
          <w:rFonts w:hint="eastAsia" w:ascii="仿宋_GB2312" w:hAnsi="仿宋_GB2312" w:eastAsia="仿宋_GB2312"/>
          <w:b w:val="0"/>
          <w:sz w:val="32"/>
          <w:lang w:eastAsia="zh-CN"/>
        </w:rPr>
        <w:t>，</w:t>
      </w:r>
      <w:r>
        <w:rPr>
          <w:rFonts w:ascii="仿宋_GB2312" w:hAnsi="仿宋_GB2312" w:eastAsia="仿宋_GB2312"/>
          <w:b w:val="0"/>
          <w:sz w:val="32"/>
        </w:rPr>
        <w:t>人员工资、社保、公积金基数调增部分资金，</w:t>
      </w:r>
      <w:r>
        <w:rPr>
          <w:rFonts w:hint="eastAsia" w:ascii="仿宋_GB2312" w:hAnsi="仿宋_GB2312" w:eastAsia="仿宋_GB2312"/>
          <w:b w:val="0"/>
          <w:sz w:val="32"/>
          <w:lang w:val="en-US" w:eastAsia="zh-CN"/>
        </w:rPr>
        <w:t>调出人员职业年金，</w:t>
      </w:r>
      <w:r>
        <w:rPr>
          <w:rFonts w:ascii="仿宋_GB2312" w:hAnsi="仿宋_GB2312" w:eastAsia="仿宋_GB2312"/>
          <w:b w:val="0"/>
          <w:sz w:val="32"/>
        </w:rPr>
        <w:t>导致预决算存在差异。</w:t>
      </w:r>
    </w:p>
    <w:p w14:paraId="1DAA9955">
      <w:pPr>
        <w:spacing w:line="640" w:lineRule="exact"/>
        <w:ind w:firstLine="640"/>
        <w:jc w:val="both"/>
        <w:outlineLvl w:val="2"/>
      </w:pPr>
      <w:r>
        <w:rPr>
          <w:rFonts w:ascii="黑体" w:hAnsi="黑体" w:eastAsia="黑体"/>
          <w:sz w:val="32"/>
        </w:rPr>
        <w:t>五、一般公共预算财政拨款支出决算情况说明</w:t>
      </w:r>
    </w:p>
    <w:p w14:paraId="225B4ED2">
      <w:pPr>
        <w:spacing w:line="640" w:lineRule="exact"/>
        <w:ind w:firstLine="640"/>
        <w:jc w:val="both"/>
        <w:outlineLvl w:val="3"/>
      </w:pPr>
      <w:r>
        <w:rPr>
          <w:rFonts w:ascii="楷体_GB2312" w:hAnsi="楷体_GB2312" w:eastAsia="楷体_GB2312"/>
          <w:b/>
          <w:sz w:val="32"/>
        </w:rPr>
        <w:t>（一）一般公共预算财政拨款支出决算总体情况</w:t>
      </w:r>
    </w:p>
    <w:p w14:paraId="75479BF2">
      <w:pPr>
        <w:spacing w:line="580" w:lineRule="exact"/>
        <w:ind w:firstLine="640"/>
        <w:jc w:val="both"/>
      </w:pPr>
      <w:r>
        <w:rPr>
          <w:rFonts w:ascii="仿宋_GB2312" w:hAnsi="仿宋_GB2312" w:eastAsia="仿宋_GB2312"/>
          <w:b/>
          <w:sz w:val="32"/>
        </w:rPr>
        <w:t>2024年度一般公共预算财政拨款支出86.44万元，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增加5.38万元，增长6.64%，主要原因是：本年新增调出外县人员，职业年金缴费支出增加。</w:t>
      </w:r>
      <w:r>
        <w:rPr>
          <w:rFonts w:ascii="仿宋_GB2312" w:hAnsi="仿宋_GB2312" w:eastAsia="仿宋_GB2312"/>
          <w:b/>
          <w:sz w:val="32"/>
        </w:rPr>
        <w:t>与年初预算相比,</w:t>
      </w:r>
      <w:r>
        <w:rPr>
          <w:rFonts w:ascii="仿宋_GB2312" w:hAnsi="仿宋_GB2312" w:eastAsia="仿宋_GB2312"/>
          <w:b w:val="0"/>
          <w:sz w:val="32"/>
        </w:rPr>
        <w:t>年初预算数75.08万元，决算数86.44万元，预决算差异率15.13%，主要原因是：本年在职人员增加，年中追加人员经费</w:t>
      </w:r>
      <w:r>
        <w:rPr>
          <w:rFonts w:hint="eastAsia" w:ascii="仿宋_GB2312" w:hAnsi="仿宋_GB2312" w:eastAsia="仿宋_GB2312"/>
          <w:b w:val="0"/>
          <w:sz w:val="32"/>
          <w:lang w:eastAsia="zh-CN"/>
        </w:rPr>
        <w:t>，</w:t>
      </w:r>
      <w:r>
        <w:rPr>
          <w:rFonts w:ascii="仿宋_GB2312" w:hAnsi="仿宋_GB2312" w:eastAsia="仿宋_GB2312"/>
          <w:b w:val="0"/>
          <w:sz w:val="32"/>
        </w:rPr>
        <w:t>人员工资、社保、公积金基数调增部分资金，</w:t>
      </w:r>
      <w:r>
        <w:rPr>
          <w:rFonts w:hint="eastAsia" w:ascii="仿宋_GB2312" w:hAnsi="仿宋_GB2312" w:eastAsia="仿宋_GB2312"/>
          <w:b w:val="0"/>
          <w:sz w:val="32"/>
          <w:lang w:val="en-US" w:eastAsia="zh-CN"/>
        </w:rPr>
        <w:t>调出人员职业年金，</w:t>
      </w:r>
      <w:r>
        <w:rPr>
          <w:rFonts w:ascii="仿宋_GB2312" w:hAnsi="仿宋_GB2312" w:eastAsia="仿宋_GB2312"/>
          <w:b w:val="0"/>
          <w:sz w:val="32"/>
        </w:rPr>
        <w:t>导致预决算存在差异。</w:t>
      </w:r>
    </w:p>
    <w:p w14:paraId="3F950F70">
      <w:pPr>
        <w:spacing w:line="640" w:lineRule="exact"/>
        <w:ind w:firstLine="640"/>
        <w:jc w:val="both"/>
        <w:outlineLvl w:val="3"/>
      </w:pPr>
      <w:r>
        <w:rPr>
          <w:rFonts w:ascii="楷体_GB2312" w:hAnsi="楷体_GB2312" w:eastAsia="楷体_GB2312"/>
          <w:b/>
          <w:sz w:val="32"/>
        </w:rPr>
        <w:t>（二）一般公共预算财政拨款支出决算结构情况</w:t>
      </w:r>
    </w:p>
    <w:p w14:paraId="47DF993B">
      <w:pPr>
        <w:spacing w:line="580" w:lineRule="exact"/>
        <w:ind w:firstLine="640"/>
        <w:jc w:val="both"/>
      </w:pPr>
      <w:r>
        <w:rPr>
          <w:rFonts w:ascii="仿宋_GB2312" w:hAnsi="仿宋_GB2312" w:eastAsia="仿宋_GB2312"/>
          <w:b w:val="0"/>
          <w:sz w:val="32"/>
        </w:rPr>
        <w:t>1.一般公共服务支出(类)64.15万元,占74.21%。</w:t>
      </w:r>
    </w:p>
    <w:p w14:paraId="16AB0392">
      <w:pPr>
        <w:spacing w:line="580" w:lineRule="exact"/>
        <w:ind w:firstLine="640"/>
        <w:jc w:val="both"/>
      </w:pPr>
      <w:r>
        <w:rPr>
          <w:rFonts w:ascii="仿宋_GB2312" w:hAnsi="仿宋_GB2312" w:eastAsia="仿宋_GB2312"/>
          <w:b w:val="0"/>
          <w:sz w:val="32"/>
        </w:rPr>
        <w:t>2.社会保障和就业支出(类)15.04万元,占17.40%。</w:t>
      </w:r>
    </w:p>
    <w:p w14:paraId="7FFB70D1">
      <w:pPr>
        <w:spacing w:line="580" w:lineRule="exact"/>
        <w:ind w:firstLine="640"/>
        <w:jc w:val="both"/>
      </w:pPr>
      <w:r>
        <w:rPr>
          <w:rFonts w:ascii="仿宋_GB2312" w:hAnsi="仿宋_GB2312" w:eastAsia="仿宋_GB2312"/>
          <w:b w:val="0"/>
          <w:sz w:val="32"/>
        </w:rPr>
        <w:t>3.卫生健康支出(类)2.65万元,占3.07%。</w:t>
      </w:r>
    </w:p>
    <w:p w14:paraId="25403F9A">
      <w:pPr>
        <w:spacing w:line="580" w:lineRule="exact"/>
        <w:ind w:firstLine="640"/>
        <w:jc w:val="both"/>
      </w:pPr>
      <w:r>
        <w:rPr>
          <w:rFonts w:ascii="仿宋_GB2312" w:hAnsi="仿宋_GB2312" w:eastAsia="仿宋_GB2312"/>
          <w:b w:val="0"/>
          <w:sz w:val="32"/>
        </w:rPr>
        <w:t>4.住房保障支出(类)4.61万元,占5.33%。</w:t>
      </w:r>
    </w:p>
    <w:p w14:paraId="31C3FE4D">
      <w:pPr>
        <w:spacing w:line="640" w:lineRule="exact"/>
        <w:ind w:firstLine="640"/>
        <w:jc w:val="both"/>
        <w:outlineLvl w:val="3"/>
      </w:pPr>
      <w:r>
        <w:rPr>
          <w:rFonts w:ascii="楷体_GB2312" w:hAnsi="楷体_GB2312" w:eastAsia="楷体_GB2312"/>
          <w:b/>
          <w:sz w:val="32"/>
        </w:rPr>
        <w:t>（三）一般公共预算财政拨款支出决算具体情况</w:t>
      </w:r>
    </w:p>
    <w:p w14:paraId="71A1A420">
      <w:pPr>
        <w:spacing w:line="580" w:lineRule="exact"/>
        <w:ind w:firstLine="640"/>
        <w:jc w:val="both"/>
      </w:pPr>
      <w:r>
        <w:rPr>
          <w:rFonts w:ascii="仿宋_GB2312" w:hAnsi="仿宋_GB2312" w:eastAsia="仿宋_GB2312"/>
          <w:b w:val="0"/>
          <w:sz w:val="32"/>
        </w:rPr>
        <w:t>1.一般公共服务支出(类)组织事务(款)行政运行(项):支出决算数为64.15万元，比上年决算增加1.34万元，增长2.13%,主要原因是：本年新增在职人员，人员经费增加，导致经费较上年有所增加。</w:t>
      </w:r>
    </w:p>
    <w:p w14:paraId="236C794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2.社会保障和就业支出(类)行政事业单位养老支出(款)行政单位离退休(项):支出决算数为4.37万元，比上年决算减少0.98万元，下降18.32%,主要原因是：本年减少退休人员生活补助，行政单位退休经费较上年减少。</w:t>
      </w:r>
    </w:p>
    <w:p w14:paraId="08F40F3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4.82万元，比上年决算减少0.66万元，下降12.04%,主要原因是：本年在职人员调入调出，人员职级不同，缴费基数不同，导致养老保险缴费较上年减少。</w:t>
      </w:r>
    </w:p>
    <w:p w14:paraId="11C14D53">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5.84万元，比上年决算增加5.84万元，增长100.00%,主要原因是：本年新增调出外县人员，职业年金缴费支出增加。</w:t>
      </w:r>
    </w:p>
    <w:p w14:paraId="0FCE1B22">
      <w:pPr>
        <w:spacing w:line="580" w:lineRule="exact"/>
        <w:ind w:firstLine="640"/>
        <w:jc w:val="both"/>
      </w:pPr>
      <w:r>
        <w:rPr>
          <w:rFonts w:ascii="仿宋_GB2312" w:hAnsi="仿宋_GB2312" w:eastAsia="仿宋_GB2312"/>
          <w:b w:val="0"/>
          <w:sz w:val="32"/>
        </w:rPr>
        <w:t>5.卫生健康支出(类)行政事业单位医疗(款)行政单位医疗(项):支出决算数为2.05万元，比上年决算减少0.49万元，下降19.29%,主要原因是：本年在职人员调入调出，人员职级不同，缴费基数不同，导致行政单位医疗较上年减少。</w:t>
      </w:r>
    </w:p>
    <w:p w14:paraId="7724EF54">
      <w:pPr>
        <w:spacing w:line="580" w:lineRule="exact"/>
        <w:ind w:firstLine="640"/>
        <w:jc w:val="both"/>
      </w:pPr>
      <w:r>
        <w:rPr>
          <w:rFonts w:ascii="仿宋_GB2312" w:hAnsi="仿宋_GB2312" w:eastAsia="仿宋_GB2312"/>
          <w:b w:val="0"/>
          <w:sz w:val="32"/>
        </w:rPr>
        <w:t>6.卫生健康支出(类)行政事业单位医疗(款)公务员医疗补助(项):支出决算数为0.60万元，比上年决算减少0.18万元，下降23.08%,主要原因是：本年在职人员调入调出，人员职级不同，缴费基数不同，导致公务员医疗补助较上年减少。</w:t>
      </w:r>
    </w:p>
    <w:p w14:paraId="0CFDDADE">
      <w:pPr>
        <w:spacing w:line="580" w:lineRule="exact"/>
        <w:ind w:firstLine="640"/>
        <w:jc w:val="both"/>
      </w:pPr>
      <w:r>
        <w:rPr>
          <w:rFonts w:ascii="仿宋_GB2312" w:hAnsi="仿宋_GB2312" w:eastAsia="仿宋_GB2312"/>
          <w:b w:val="0"/>
          <w:sz w:val="32"/>
        </w:rPr>
        <w:t>7.住房保障支出(类)住房改革支出(款)住房公积金(项):支出决算数为4.61万元，比上年决算增加0.50万元，增长12.17%,主要原因是：本年在职人员工资基数调增，公积金缴费基数上涨，相应支出增加。</w:t>
      </w:r>
    </w:p>
    <w:p w14:paraId="16776AAB">
      <w:pPr>
        <w:spacing w:line="640" w:lineRule="exact"/>
        <w:ind w:firstLine="640"/>
        <w:jc w:val="both"/>
        <w:outlineLvl w:val="2"/>
      </w:pPr>
      <w:r>
        <w:rPr>
          <w:rFonts w:ascii="黑体" w:hAnsi="黑体" w:eastAsia="黑体"/>
          <w:sz w:val="32"/>
        </w:rPr>
        <w:t>六、一般公共预算财政拨款基本支出决算情况说明</w:t>
      </w:r>
    </w:p>
    <w:p w14:paraId="6326BB62">
      <w:pPr>
        <w:spacing w:line="580" w:lineRule="exact"/>
        <w:ind w:firstLine="640"/>
        <w:jc w:val="both"/>
      </w:pPr>
      <w:r>
        <w:rPr>
          <w:rFonts w:ascii="仿宋_GB2312" w:hAnsi="仿宋_GB2312" w:eastAsia="仿宋_GB2312"/>
          <w:b w:val="0"/>
          <w:sz w:val="32"/>
        </w:rPr>
        <w:t>2024年度一般公共预算财政拨款基本支出86.44万元，其中：</w:t>
      </w:r>
      <w:r>
        <w:rPr>
          <w:rFonts w:ascii="仿宋_GB2312" w:hAnsi="仿宋_GB2312" w:eastAsia="仿宋_GB2312"/>
          <w:b/>
          <w:sz w:val="32"/>
        </w:rPr>
        <w:t>人员经费84.80万元，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w:t>
      </w:r>
    </w:p>
    <w:p w14:paraId="3D29E4D2">
      <w:pPr>
        <w:spacing w:line="580" w:lineRule="exact"/>
        <w:ind w:firstLine="640"/>
        <w:jc w:val="both"/>
      </w:pPr>
      <w:r>
        <w:rPr>
          <w:rFonts w:ascii="仿宋_GB2312" w:hAnsi="仿宋_GB2312" w:eastAsia="仿宋_GB2312"/>
          <w:b/>
          <w:sz w:val="32"/>
        </w:rPr>
        <w:t>公用经费1.64万元，</w:t>
      </w:r>
      <w:r>
        <w:rPr>
          <w:rFonts w:ascii="仿宋_GB2312" w:hAnsi="仿宋_GB2312" w:eastAsia="仿宋_GB2312"/>
          <w:b w:val="0"/>
          <w:sz w:val="32"/>
        </w:rPr>
        <w:t>包括：办公费。</w:t>
      </w:r>
    </w:p>
    <w:p w14:paraId="220AAFF1">
      <w:pPr>
        <w:spacing w:line="640" w:lineRule="exact"/>
        <w:ind w:firstLine="640"/>
        <w:jc w:val="both"/>
        <w:outlineLvl w:val="2"/>
      </w:pPr>
      <w:r>
        <w:rPr>
          <w:rFonts w:ascii="黑体" w:hAnsi="黑体" w:eastAsia="黑体"/>
          <w:sz w:val="32"/>
        </w:rPr>
        <w:t>七、政府性基金预算财政拨款收入支出决算情况说明</w:t>
      </w:r>
    </w:p>
    <w:p w14:paraId="5C169F8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6F915A6">
      <w:pPr>
        <w:spacing w:line="640" w:lineRule="exact"/>
        <w:ind w:firstLine="640"/>
        <w:jc w:val="both"/>
        <w:outlineLvl w:val="2"/>
      </w:pPr>
      <w:r>
        <w:rPr>
          <w:rFonts w:ascii="黑体" w:hAnsi="黑体" w:eastAsia="黑体"/>
          <w:sz w:val="32"/>
        </w:rPr>
        <w:t>八、国有资本经营预算财政拨款收入支出决算情况说明</w:t>
      </w:r>
    </w:p>
    <w:p w14:paraId="1D86E79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42E9AB">
      <w:pPr>
        <w:spacing w:line="640" w:lineRule="exact"/>
        <w:ind w:firstLine="640"/>
        <w:jc w:val="both"/>
        <w:outlineLvl w:val="2"/>
      </w:pPr>
      <w:r>
        <w:rPr>
          <w:rFonts w:ascii="黑体" w:hAnsi="黑体" w:eastAsia="黑体"/>
          <w:sz w:val="32"/>
        </w:rPr>
        <w:t>九、财政拨款“三公”经费支出决算情况说明</w:t>
      </w:r>
    </w:p>
    <w:p w14:paraId="7B2FEE0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7120818">
      <w:pPr>
        <w:spacing w:line="580" w:lineRule="exact"/>
        <w:ind w:firstLine="640"/>
        <w:jc w:val="both"/>
      </w:pPr>
      <w:r>
        <w:rPr>
          <w:rFonts w:ascii="仿宋_GB2312" w:hAnsi="仿宋_GB2312" w:eastAsia="仿宋_GB2312"/>
          <w:b/>
          <w:sz w:val="32"/>
        </w:rPr>
        <w:t>具体情况如下：</w:t>
      </w:r>
    </w:p>
    <w:p w14:paraId="2B1A649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8F628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E57208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5502B7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w:t>
      </w:r>
      <w:bookmarkStart w:id="0" w:name="_GoBack"/>
      <w:bookmarkEnd w:id="0"/>
      <w:r>
        <w:rPr>
          <w:rFonts w:ascii="仿宋_GB2312" w:hAnsi="仿宋_GB2312" w:eastAsia="仿宋_GB2312"/>
          <w:b w:val="0"/>
          <w:sz w:val="32"/>
        </w:rPr>
        <w:t>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76EFBB0">
      <w:pPr>
        <w:spacing w:line="640" w:lineRule="exact"/>
        <w:ind w:firstLine="640"/>
        <w:jc w:val="both"/>
        <w:outlineLvl w:val="2"/>
      </w:pPr>
      <w:r>
        <w:rPr>
          <w:rFonts w:ascii="黑体" w:hAnsi="黑体" w:eastAsia="黑体"/>
          <w:sz w:val="32"/>
        </w:rPr>
        <w:t>十、其他重要事项的情况说明</w:t>
      </w:r>
    </w:p>
    <w:p w14:paraId="3EEF718F">
      <w:pPr>
        <w:spacing w:line="640" w:lineRule="exact"/>
        <w:ind w:firstLine="640"/>
        <w:jc w:val="both"/>
        <w:outlineLvl w:val="3"/>
      </w:pPr>
      <w:r>
        <w:rPr>
          <w:rFonts w:ascii="楷体_GB2312" w:hAnsi="楷体_GB2312" w:eastAsia="楷体_GB2312"/>
          <w:b/>
          <w:sz w:val="32"/>
        </w:rPr>
        <w:t>（一）机关运行经费及公用经费支出情况</w:t>
      </w:r>
    </w:p>
    <w:p w14:paraId="56FAFAD6">
      <w:pPr>
        <w:spacing w:line="580" w:lineRule="exact"/>
        <w:ind w:firstLine="640"/>
        <w:jc w:val="both"/>
      </w:pPr>
      <w:r>
        <w:rPr>
          <w:rFonts w:ascii="仿宋_GB2312" w:hAnsi="仿宋_GB2312" w:eastAsia="仿宋_GB2312"/>
          <w:b w:val="0"/>
          <w:sz w:val="32"/>
        </w:rPr>
        <w:t>2024年度中共叶城县委员会直属机关工作委员会（行政单位和参照公务员法管理事业单位）机关运行经费支出1.64万元，比上年增加0.96万元，增长141.18%，主要原因是：本年在职人员增加，办公费用增加。</w:t>
      </w:r>
    </w:p>
    <w:p w14:paraId="4121922E">
      <w:pPr>
        <w:spacing w:line="640" w:lineRule="exact"/>
        <w:ind w:firstLine="640"/>
        <w:jc w:val="both"/>
        <w:outlineLvl w:val="3"/>
      </w:pPr>
      <w:r>
        <w:rPr>
          <w:rFonts w:ascii="楷体_GB2312" w:hAnsi="楷体_GB2312" w:eastAsia="楷体_GB2312"/>
          <w:b/>
          <w:sz w:val="32"/>
        </w:rPr>
        <w:t>（二）政府采购情况</w:t>
      </w:r>
    </w:p>
    <w:p w14:paraId="56BFDD8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BB10E6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33F30A0">
      <w:pPr>
        <w:spacing w:line="640" w:lineRule="exact"/>
        <w:ind w:firstLine="640"/>
        <w:jc w:val="both"/>
        <w:outlineLvl w:val="3"/>
      </w:pPr>
      <w:r>
        <w:rPr>
          <w:rFonts w:ascii="楷体_GB2312" w:hAnsi="楷体_GB2312" w:eastAsia="楷体_GB2312"/>
          <w:b/>
          <w:sz w:val="32"/>
        </w:rPr>
        <w:t>（三）国有资产占用情况说明</w:t>
      </w:r>
    </w:p>
    <w:p w14:paraId="3386C95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91825AE">
      <w:pPr>
        <w:spacing w:line="640" w:lineRule="exact"/>
        <w:ind w:firstLine="640"/>
        <w:jc w:val="both"/>
        <w:outlineLvl w:val="2"/>
      </w:pPr>
      <w:r>
        <w:rPr>
          <w:rFonts w:ascii="黑体" w:hAnsi="黑体" w:eastAsia="黑体"/>
          <w:sz w:val="32"/>
        </w:rPr>
        <w:t>十一、预算绩效的情况说明</w:t>
      </w:r>
    </w:p>
    <w:p w14:paraId="2E3FD84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86.44万元，实际执行总额86.44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14:paraId="04169C67">
      <w:r>
        <w:br w:type="page"/>
      </w:r>
    </w:p>
    <w:tbl>
      <w:tblPr>
        <w:tblStyle w:val="9"/>
        <w:tblW w:w="9280" w:type="dxa"/>
        <w:tblInd w:w="0" w:type="dxa"/>
        <w:tblLayout w:type="autofit"/>
        <w:tblCellMar>
          <w:top w:w="0" w:type="dxa"/>
          <w:left w:w="108" w:type="dxa"/>
          <w:bottom w:w="0" w:type="dxa"/>
          <w:right w:w="108" w:type="dxa"/>
        </w:tblCellMar>
      </w:tblPr>
      <w:tblGrid>
        <w:gridCol w:w="1031"/>
        <w:gridCol w:w="1031"/>
        <w:gridCol w:w="1191"/>
        <w:gridCol w:w="871"/>
        <w:gridCol w:w="1031"/>
        <w:gridCol w:w="1031"/>
        <w:gridCol w:w="1031"/>
        <w:gridCol w:w="1031"/>
        <w:gridCol w:w="1032"/>
      </w:tblGrid>
      <w:tr w14:paraId="6F28DED9">
        <w:tblPrEx>
          <w:tblCellMar>
            <w:top w:w="0" w:type="dxa"/>
            <w:left w:w="108" w:type="dxa"/>
            <w:bottom w:w="0" w:type="dxa"/>
            <w:right w:w="108" w:type="dxa"/>
          </w:tblCellMar>
        </w:tblPrEx>
        <w:trPr>
          <w:trHeight w:val="118" w:hRule="atLeast"/>
        </w:trPr>
        <w:tc>
          <w:tcPr>
            <w:tcW w:w="9280" w:type="dxa"/>
            <w:gridSpan w:val="9"/>
            <w:vAlign w:val="center"/>
          </w:tcPr>
          <w:p w14:paraId="2458911E">
            <w:pPr>
              <w:jc w:val="center"/>
            </w:pPr>
            <w:r>
              <w:rPr>
                <w:rFonts w:ascii="宋体" w:hAnsi="宋体" w:eastAsia="宋体"/>
                <w:sz w:val="24"/>
              </w:rPr>
              <w:t>单位整体支出绩效自评表</w:t>
            </w:r>
          </w:p>
        </w:tc>
      </w:tr>
      <w:tr w14:paraId="0F94FBFE">
        <w:tblPrEx>
          <w:tblCellMar>
            <w:top w:w="0" w:type="dxa"/>
            <w:left w:w="108" w:type="dxa"/>
            <w:bottom w:w="0" w:type="dxa"/>
            <w:right w:w="108" w:type="dxa"/>
          </w:tblCellMar>
        </w:tblPrEx>
        <w:trPr>
          <w:trHeight w:val="118" w:hRule="atLeast"/>
        </w:trPr>
        <w:tc>
          <w:tcPr>
            <w:tcW w:w="9280" w:type="dxa"/>
            <w:gridSpan w:val="9"/>
            <w:vAlign w:val="center"/>
          </w:tcPr>
          <w:p w14:paraId="417B6931">
            <w:pPr>
              <w:jc w:val="center"/>
            </w:pPr>
            <w:r>
              <w:rPr>
                <w:rFonts w:ascii="宋体" w:hAnsi="宋体" w:eastAsia="宋体"/>
                <w:sz w:val="24"/>
              </w:rPr>
              <w:t>（2024年度）</w:t>
            </w:r>
          </w:p>
        </w:tc>
      </w:tr>
      <w:tr w14:paraId="2F733A45">
        <w:tblPrEx>
          <w:tblCellMar>
            <w:top w:w="0" w:type="dxa"/>
            <w:left w:w="108" w:type="dxa"/>
            <w:bottom w:w="0" w:type="dxa"/>
            <w:right w:w="108" w:type="dxa"/>
          </w:tblCellMar>
        </w:tblPrEx>
        <w:trPr>
          <w:trHeight w:val="127" w:hRule="atLeast"/>
        </w:trPr>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6C47A2B">
            <w:pPr>
              <w:jc w:val="center"/>
            </w:pPr>
            <w:r>
              <w:rPr>
                <w:rFonts w:ascii="宋体" w:hAnsi="宋体" w:eastAsia="宋体"/>
                <w:sz w:val="16"/>
              </w:rPr>
              <w:t>单位名称</w:t>
            </w:r>
          </w:p>
        </w:tc>
        <w:tc>
          <w:tcPr>
            <w:tcW w:w="824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08C696">
            <w:pPr>
              <w:jc w:val="center"/>
            </w:pPr>
            <w:r>
              <w:rPr>
                <w:rFonts w:ascii="宋体" w:hAnsi="宋体" w:eastAsia="宋体"/>
                <w:sz w:val="16"/>
              </w:rPr>
              <w:t>中共叶城县委员会直属机关工作委员会</w:t>
            </w:r>
          </w:p>
        </w:tc>
      </w:tr>
      <w:tr w14:paraId="067D9FC1">
        <w:tblPrEx>
          <w:tblCellMar>
            <w:top w:w="0" w:type="dxa"/>
            <w:left w:w="108" w:type="dxa"/>
            <w:bottom w:w="0" w:type="dxa"/>
            <w:right w:w="108" w:type="dxa"/>
          </w:tblCellMar>
        </w:tblPrEx>
        <w:trPr>
          <w:trHeight w:val="245" w:hRule="atLeast"/>
        </w:trPr>
        <w:tc>
          <w:tcPr>
            <w:tcW w:w="10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230DF">
            <w:pPr>
              <w:jc w:val="center"/>
            </w:pPr>
            <w:r>
              <w:rPr>
                <w:rFonts w:ascii="宋体" w:hAnsi="宋体" w:eastAsia="宋体"/>
                <w:sz w:val="16"/>
              </w:rPr>
              <w:t>部门资金（万元）</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0BF32F8">
            <w:pPr>
              <w:jc w:val="center"/>
            </w:pPr>
            <w:r>
              <w:rPr>
                <w:rFonts w:ascii="宋体" w:hAnsi="宋体" w:eastAsia="宋体"/>
                <w:sz w:val="16"/>
              </w:rPr>
              <w:t>资金来源</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6529BB3C">
            <w:pPr>
              <w:jc w:val="center"/>
            </w:pPr>
            <w:r>
              <w:rPr>
                <w:rFonts w:ascii="宋体" w:hAnsi="宋体" w:eastAsia="宋体"/>
                <w:sz w:val="16"/>
              </w:rPr>
              <w:t>年初预算数</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1F8D7D88">
            <w:pPr>
              <w:jc w:val="center"/>
            </w:pPr>
            <w:r>
              <w:rPr>
                <w:rFonts w:ascii="宋体" w:hAnsi="宋体" w:eastAsia="宋体"/>
                <w:sz w:val="16"/>
              </w:rPr>
              <w:t>预算数（调整后）</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701942A">
            <w:pPr>
              <w:jc w:val="center"/>
            </w:pPr>
            <w:r>
              <w:rPr>
                <w:rFonts w:ascii="宋体" w:hAnsi="宋体" w:eastAsia="宋体"/>
                <w:sz w:val="16"/>
              </w:rPr>
              <w:t>执行数</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69D63D6">
            <w:pPr>
              <w:jc w:val="center"/>
            </w:pPr>
            <w:r>
              <w:rPr>
                <w:rFonts w:ascii="宋体" w:hAnsi="宋体" w:eastAsia="宋体"/>
                <w:sz w:val="16"/>
              </w:rPr>
              <w:t>分值权重</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36C2439">
            <w:pPr>
              <w:jc w:val="center"/>
            </w:pPr>
            <w:r>
              <w:rPr>
                <w:rFonts w:ascii="宋体" w:hAnsi="宋体" w:eastAsia="宋体"/>
                <w:sz w:val="16"/>
              </w:rPr>
              <w:t>执行率</w:t>
            </w:r>
          </w:p>
        </w:tc>
        <w:tc>
          <w:tcPr>
            <w:tcW w:w="2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16E0">
            <w:pPr>
              <w:jc w:val="center"/>
            </w:pPr>
            <w:r>
              <w:rPr>
                <w:rFonts w:ascii="宋体" w:hAnsi="宋体" w:eastAsia="宋体"/>
                <w:sz w:val="16"/>
              </w:rPr>
              <w:t>得分</w:t>
            </w:r>
          </w:p>
        </w:tc>
      </w:tr>
      <w:tr w14:paraId="4B49849A">
        <w:tblPrEx>
          <w:tblCellMar>
            <w:top w:w="0" w:type="dxa"/>
            <w:left w:w="108" w:type="dxa"/>
            <w:bottom w:w="0" w:type="dxa"/>
            <w:right w:w="108" w:type="dxa"/>
          </w:tblCellMar>
        </w:tblPrEx>
        <w:trPr>
          <w:trHeight w:val="245"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1D44AC8A"/>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50DBF82">
            <w:pPr>
              <w:jc w:val="center"/>
            </w:pPr>
            <w:r>
              <w:rPr>
                <w:rFonts w:ascii="宋体" w:hAnsi="宋体" w:eastAsia="宋体"/>
                <w:sz w:val="16"/>
              </w:rPr>
              <w:t>年度总资金：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822AE12">
            <w:pPr>
              <w:jc w:val="center"/>
            </w:pPr>
            <w:r>
              <w:rPr>
                <w:rFonts w:ascii="宋体" w:hAnsi="宋体" w:eastAsia="宋体"/>
                <w:sz w:val="16"/>
              </w:rPr>
              <w:t>75.09</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226C1338">
            <w:pPr>
              <w:jc w:val="center"/>
            </w:pPr>
            <w:r>
              <w:rPr>
                <w:rFonts w:ascii="宋体" w:hAnsi="宋体" w:eastAsia="宋体"/>
                <w:sz w:val="16"/>
              </w:rPr>
              <w:t>86.44</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A6D62F4">
            <w:pPr>
              <w:jc w:val="center"/>
            </w:pPr>
            <w:r>
              <w:rPr>
                <w:rFonts w:ascii="宋体" w:hAnsi="宋体" w:eastAsia="宋体"/>
                <w:sz w:val="16"/>
              </w:rPr>
              <w:t>86.44</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16B51EA">
            <w:pPr>
              <w:jc w:val="center"/>
            </w:pPr>
            <w:r>
              <w:rPr>
                <w:rFonts w:ascii="宋体" w:hAnsi="宋体" w:eastAsia="宋体"/>
                <w:sz w:val="16"/>
              </w:rPr>
              <w:t>10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8D5F9F2">
            <w:pPr>
              <w:jc w:val="center"/>
            </w:pPr>
            <w:r>
              <w:rPr>
                <w:rFonts w:ascii="宋体" w:hAnsi="宋体" w:eastAsia="宋体"/>
                <w:sz w:val="16"/>
              </w:rPr>
              <w:t>100.00%</w:t>
            </w:r>
          </w:p>
        </w:tc>
        <w:tc>
          <w:tcPr>
            <w:tcW w:w="2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A91E">
            <w:pPr>
              <w:jc w:val="center"/>
            </w:pPr>
            <w:r>
              <w:rPr>
                <w:rFonts w:ascii="宋体" w:hAnsi="宋体" w:eastAsia="宋体"/>
                <w:sz w:val="16"/>
              </w:rPr>
              <w:t>10</w:t>
            </w:r>
          </w:p>
        </w:tc>
      </w:tr>
      <w:tr w14:paraId="0BC9846F">
        <w:tblPrEx>
          <w:tblCellMar>
            <w:top w:w="0" w:type="dxa"/>
            <w:left w:w="108" w:type="dxa"/>
            <w:bottom w:w="0" w:type="dxa"/>
            <w:right w:w="108" w:type="dxa"/>
          </w:tblCellMar>
        </w:tblPrEx>
        <w:trPr>
          <w:trHeight w:val="127"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51FF3D5C"/>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F6A62A4">
            <w:pPr>
              <w:jc w:val="center"/>
            </w:pPr>
            <w:r>
              <w:rPr>
                <w:rFonts w:ascii="宋体" w:hAnsi="宋体" w:eastAsia="宋体"/>
                <w:sz w:val="16"/>
              </w:rPr>
              <w:t>上级资金：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84EB6F1">
            <w:pPr>
              <w:jc w:val="center"/>
            </w:pPr>
            <w:r>
              <w:rPr>
                <w:rFonts w:ascii="宋体" w:hAnsi="宋体" w:eastAsia="宋体"/>
                <w:sz w:val="16"/>
              </w:rPr>
              <w:t>0.00</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7A74DF15">
            <w:pPr>
              <w:jc w:val="center"/>
            </w:pPr>
            <w:r>
              <w:rPr>
                <w:rFonts w:ascii="宋体" w:hAnsi="宋体" w:eastAsia="宋体"/>
                <w:sz w:val="16"/>
              </w:rPr>
              <w:t>0.00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19AB6F9">
            <w:pPr>
              <w:jc w:val="center"/>
            </w:pPr>
            <w:r>
              <w:rPr>
                <w:rFonts w:ascii="宋体" w:hAnsi="宋体" w:eastAsia="宋体"/>
                <w:sz w:val="16"/>
              </w:rPr>
              <w:t>0.00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A1C0071">
            <w:pPr>
              <w:jc w:val="center"/>
            </w:pPr>
            <w:r>
              <w:rPr>
                <w:rFonts w:ascii="宋体" w:hAnsi="宋体" w:eastAsia="宋体"/>
                <w:sz w:val="16"/>
              </w:rPr>
              <w:t>—</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5355A77">
            <w:pPr>
              <w:jc w:val="center"/>
            </w:pPr>
            <w:r>
              <w:rPr>
                <w:rFonts w:ascii="宋体" w:hAnsi="宋体" w:eastAsia="宋体"/>
                <w:sz w:val="16"/>
              </w:rPr>
              <w:t>—</w:t>
            </w:r>
          </w:p>
        </w:tc>
        <w:tc>
          <w:tcPr>
            <w:tcW w:w="2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1A855">
            <w:pPr>
              <w:jc w:val="center"/>
            </w:pPr>
            <w:r>
              <w:rPr>
                <w:rFonts w:ascii="宋体" w:hAnsi="宋体" w:eastAsia="宋体"/>
                <w:sz w:val="16"/>
              </w:rPr>
              <w:t>—</w:t>
            </w:r>
          </w:p>
        </w:tc>
      </w:tr>
      <w:tr w14:paraId="06849889">
        <w:tblPrEx>
          <w:tblCellMar>
            <w:top w:w="0" w:type="dxa"/>
            <w:left w:w="108" w:type="dxa"/>
            <w:bottom w:w="0" w:type="dxa"/>
            <w:right w:w="108" w:type="dxa"/>
          </w:tblCellMar>
        </w:tblPrEx>
        <w:trPr>
          <w:trHeight w:val="127"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68B50736"/>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0C9D986">
            <w:pPr>
              <w:jc w:val="center"/>
            </w:pPr>
            <w:r>
              <w:rPr>
                <w:rFonts w:ascii="宋体" w:hAnsi="宋体" w:eastAsia="宋体"/>
                <w:sz w:val="16"/>
              </w:rPr>
              <w:t>本级资金：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49FA4DD3">
            <w:pPr>
              <w:jc w:val="center"/>
            </w:pPr>
            <w:r>
              <w:rPr>
                <w:rFonts w:ascii="宋体" w:hAnsi="宋体" w:eastAsia="宋体"/>
                <w:sz w:val="16"/>
              </w:rPr>
              <w:t>75.09</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063B533B">
            <w:pPr>
              <w:jc w:val="center"/>
            </w:pPr>
            <w:r>
              <w:rPr>
                <w:rFonts w:ascii="宋体" w:hAnsi="宋体" w:eastAsia="宋体"/>
                <w:sz w:val="16"/>
              </w:rPr>
              <w:t>86.44</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326779FC">
            <w:pPr>
              <w:jc w:val="center"/>
            </w:pPr>
            <w:r>
              <w:rPr>
                <w:rFonts w:ascii="宋体" w:hAnsi="宋体" w:eastAsia="宋体"/>
                <w:sz w:val="16"/>
              </w:rPr>
              <w:t>86.44</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C6FDD29">
            <w:pPr>
              <w:jc w:val="center"/>
            </w:pPr>
            <w:r>
              <w:rPr>
                <w:rFonts w:ascii="宋体" w:hAnsi="宋体" w:eastAsia="宋体"/>
                <w:sz w:val="16"/>
              </w:rPr>
              <w:t>—</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B0BA692">
            <w:pPr>
              <w:jc w:val="center"/>
            </w:pPr>
            <w:r>
              <w:rPr>
                <w:rFonts w:ascii="宋体" w:hAnsi="宋体" w:eastAsia="宋体"/>
                <w:sz w:val="16"/>
              </w:rPr>
              <w:t>—</w:t>
            </w:r>
          </w:p>
        </w:tc>
        <w:tc>
          <w:tcPr>
            <w:tcW w:w="2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A7730">
            <w:pPr>
              <w:jc w:val="center"/>
            </w:pPr>
            <w:r>
              <w:rPr>
                <w:rFonts w:ascii="宋体" w:hAnsi="宋体" w:eastAsia="宋体"/>
                <w:sz w:val="16"/>
              </w:rPr>
              <w:t>—</w:t>
            </w:r>
          </w:p>
        </w:tc>
      </w:tr>
      <w:tr w14:paraId="12CC3C49">
        <w:tblPrEx>
          <w:tblCellMar>
            <w:top w:w="0" w:type="dxa"/>
            <w:left w:w="108" w:type="dxa"/>
            <w:bottom w:w="0" w:type="dxa"/>
            <w:right w:w="108" w:type="dxa"/>
          </w:tblCellMar>
        </w:tblPrEx>
        <w:trPr>
          <w:trHeight w:val="127"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205D16B3"/>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C57E50F">
            <w:pPr>
              <w:jc w:val="center"/>
            </w:pPr>
            <w:r>
              <w:rPr>
                <w:rFonts w:ascii="宋体" w:hAnsi="宋体" w:eastAsia="宋体"/>
                <w:sz w:val="16"/>
              </w:rPr>
              <w:t>其他资金：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0B7F8D9B">
            <w:pPr>
              <w:jc w:val="center"/>
            </w:pPr>
            <w:r>
              <w:rPr>
                <w:rFonts w:ascii="宋体" w:hAnsi="宋体" w:eastAsia="宋体"/>
                <w:sz w:val="16"/>
              </w:rPr>
              <w:t>0.00</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540AB18E">
            <w:pPr>
              <w:jc w:val="center"/>
            </w:pPr>
            <w:r>
              <w:rPr>
                <w:rFonts w:ascii="宋体" w:hAnsi="宋体" w:eastAsia="宋体"/>
                <w:sz w:val="16"/>
              </w:rPr>
              <w:t>0.00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B0535E8">
            <w:pPr>
              <w:jc w:val="center"/>
            </w:pPr>
            <w:r>
              <w:rPr>
                <w:rFonts w:ascii="宋体" w:hAnsi="宋体" w:eastAsia="宋体"/>
                <w:sz w:val="16"/>
              </w:rPr>
              <w:t>0.00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2A04ED1">
            <w:pPr>
              <w:jc w:val="center"/>
            </w:pPr>
            <w:r>
              <w:rPr>
                <w:rFonts w:ascii="宋体" w:hAnsi="宋体" w:eastAsia="宋体"/>
                <w:sz w:val="16"/>
              </w:rPr>
              <w:t>—</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1DECF85">
            <w:pPr>
              <w:jc w:val="center"/>
            </w:pPr>
            <w:r>
              <w:rPr>
                <w:rFonts w:ascii="宋体" w:hAnsi="宋体" w:eastAsia="宋体"/>
                <w:sz w:val="16"/>
              </w:rPr>
              <w:t>—</w:t>
            </w:r>
          </w:p>
        </w:tc>
        <w:tc>
          <w:tcPr>
            <w:tcW w:w="2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86F2F">
            <w:pPr>
              <w:jc w:val="center"/>
            </w:pPr>
            <w:r>
              <w:rPr>
                <w:rFonts w:ascii="宋体" w:hAnsi="宋体" w:eastAsia="宋体"/>
                <w:sz w:val="16"/>
              </w:rPr>
              <w:t>—</w:t>
            </w:r>
          </w:p>
        </w:tc>
      </w:tr>
      <w:tr w14:paraId="635A9E02">
        <w:tblPrEx>
          <w:tblCellMar>
            <w:top w:w="0" w:type="dxa"/>
            <w:left w:w="108" w:type="dxa"/>
            <w:bottom w:w="0" w:type="dxa"/>
            <w:right w:w="108" w:type="dxa"/>
          </w:tblCellMar>
        </w:tblPrEx>
        <w:trPr>
          <w:trHeight w:val="127" w:hRule="atLeast"/>
        </w:trPr>
        <w:tc>
          <w:tcPr>
            <w:tcW w:w="10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F1BEF">
            <w:pPr>
              <w:jc w:val="center"/>
            </w:pPr>
            <w:r>
              <w:rPr>
                <w:rFonts w:ascii="宋体" w:hAnsi="宋体" w:eastAsia="宋体"/>
                <w:sz w:val="16"/>
              </w:rPr>
              <w:t>年度总体目标</w:t>
            </w:r>
          </w:p>
        </w:tc>
        <w:tc>
          <w:tcPr>
            <w:tcW w:w="309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F91E41">
            <w:pPr>
              <w:jc w:val="center"/>
            </w:pPr>
            <w:r>
              <w:rPr>
                <w:rFonts w:ascii="宋体" w:hAnsi="宋体" w:eastAsia="宋体"/>
                <w:sz w:val="16"/>
              </w:rPr>
              <w:t>预期目标</w:t>
            </w:r>
          </w:p>
        </w:tc>
        <w:tc>
          <w:tcPr>
            <w:tcW w:w="51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55D66F">
            <w:pPr>
              <w:jc w:val="center"/>
            </w:pPr>
            <w:r>
              <w:rPr>
                <w:rFonts w:ascii="宋体" w:hAnsi="宋体" w:eastAsia="宋体"/>
                <w:sz w:val="16"/>
              </w:rPr>
              <w:t>实际完成情况</w:t>
            </w:r>
          </w:p>
        </w:tc>
      </w:tr>
      <w:tr w14:paraId="55DC7F9E">
        <w:tblPrEx>
          <w:tblCellMar>
            <w:top w:w="0" w:type="dxa"/>
            <w:left w:w="108" w:type="dxa"/>
            <w:bottom w:w="0" w:type="dxa"/>
            <w:right w:w="108" w:type="dxa"/>
          </w:tblCellMar>
        </w:tblPrEx>
        <w:trPr>
          <w:trHeight w:val="1536"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177E2A60"/>
        </w:tc>
        <w:tc>
          <w:tcPr>
            <w:tcW w:w="309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FF3D5E">
            <w:pPr>
              <w:jc w:val="both"/>
            </w:pPr>
            <w:r>
              <w:rPr>
                <w:rFonts w:ascii="宋体" w:hAnsi="宋体" w:eastAsia="宋体"/>
                <w:sz w:val="16"/>
              </w:rPr>
              <w:t>保障中共叶城县委员会直属机关工作委员会3人工资正常发放，社保、医保、公积金正常缴纳、单位公用经费，保障中共叶城县委员会直属机关工作委员会全年正常运转和4名退休人员补助正常发放，指导督促党组、总支（支部）履行机关党建主体责任，常态化、全覆盖抓好各支部“三会一课”、组织生活会、民主评议党员、主题党日和党员领导干部民主生活会、双重组织生活等制度的落实，用好</w:t>
            </w:r>
            <w:r>
              <w:rPr>
                <w:rFonts w:hint="eastAsia" w:ascii="宋体" w:hAnsi="宋体"/>
                <w:sz w:val="16"/>
                <w:lang w:eastAsia="zh-CN"/>
              </w:rPr>
              <w:t>批评和自我批评</w:t>
            </w:r>
            <w:r>
              <w:rPr>
                <w:rFonts w:ascii="宋体" w:hAnsi="宋体" w:eastAsia="宋体"/>
                <w:sz w:val="16"/>
              </w:rPr>
              <w:t>这个有力武器，增强党内生活的政治性、原则性、战斗性。</w:t>
            </w:r>
          </w:p>
        </w:tc>
        <w:tc>
          <w:tcPr>
            <w:tcW w:w="51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B32F8">
            <w:pPr>
              <w:jc w:val="both"/>
            </w:pPr>
            <w:r>
              <w:rPr>
                <w:rFonts w:ascii="宋体" w:hAnsi="宋体" w:eastAsia="宋体"/>
                <w:sz w:val="16"/>
              </w:rPr>
              <w:t>一是以建强机构为基石，增强支部政治功能。认真做好县直机关党支部成立、撤销、党组织改选、补选等工作，通过现场指导选举程序、材料审核把关、支部成员政治审查等方式，今年以来，新成立党支部10个，撤销4个，党支部改选、补选21个，党支部的政治功能和服务功能进一步突显，党的政治建设、思想建设和组织建设进一步增强。</w:t>
            </w:r>
            <w:r>
              <w:rPr>
                <w:rFonts w:ascii="宋体" w:hAnsi="宋体" w:eastAsia="宋体"/>
                <w:sz w:val="16"/>
              </w:rPr>
              <w:br w:type="textWrapping"/>
            </w:r>
            <w:r>
              <w:rPr>
                <w:rFonts w:ascii="宋体" w:hAnsi="宋体" w:eastAsia="宋体"/>
                <w:sz w:val="16"/>
              </w:rPr>
              <w:t>二是以发展壮大党员队伍为抓手，全面提升党员队伍质量。今年6月在县委党校举办了为期三天的发展对象培训班，县直各系统党（工）委110名发展对象参加了培训并进行了结业考试。机关工委全年新发展党员198名，预备党员转正45名，培养入党积极分子120名，递交入党申请书70名。</w:t>
            </w:r>
          </w:p>
        </w:tc>
      </w:tr>
      <w:tr w14:paraId="4B5C91BC">
        <w:tblPrEx>
          <w:tblCellMar>
            <w:top w:w="0" w:type="dxa"/>
            <w:left w:w="108" w:type="dxa"/>
            <w:bottom w:w="0" w:type="dxa"/>
            <w:right w:w="108" w:type="dxa"/>
          </w:tblCellMar>
        </w:tblPrEx>
        <w:trPr>
          <w:trHeight w:val="245" w:hRule="atLeast"/>
        </w:trPr>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6CC01A3">
            <w:pPr>
              <w:jc w:val="center"/>
            </w:pPr>
            <w:r>
              <w:rPr>
                <w:rFonts w:ascii="宋体" w:hAnsi="宋体" w:eastAsia="宋体"/>
                <w:sz w:val="16"/>
              </w:rPr>
              <w:t>一级指标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81BDFE5">
            <w:pPr>
              <w:jc w:val="center"/>
            </w:pPr>
            <w:r>
              <w:rPr>
                <w:rFonts w:ascii="宋体" w:hAnsi="宋体" w:eastAsia="宋体"/>
                <w:sz w:val="16"/>
              </w:rPr>
              <w:t>二级指标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6F67DDA3">
            <w:pPr>
              <w:jc w:val="center"/>
            </w:pPr>
            <w:r>
              <w:rPr>
                <w:rFonts w:ascii="宋体" w:hAnsi="宋体" w:eastAsia="宋体"/>
                <w:sz w:val="16"/>
              </w:rPr>
              <w:t>三级指标</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127E3CFD">
            <w:pPr>
              <w:jc w:val="center"/>
            </w:pPr>
            <w:r>
              <w:rPr>
                <w:rFonts w:ascii="宋体" w:hAnsi="宋体" w:eastAsia="宋体"/>
                <w:sz w:val="16"/>
              </w:rPr>
              <w:t>指标值</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68E18A6">
            <w:pPr>
              <w:jc w:val="center"/>
            </w:pPr>
            <w:r>
              <w:rPr>
                <w:rFonts w:ascii="宋体" w:hAnsi="宋体" w:eastAsia="宋体"/>
                <w:sz w:val="16"/>
              </w:rPr>
              <w:t>指标值设定依据</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A37EDA5">
            <w:pPr>
              <w:jc w:val="center"/>
            </w:pPr>
            <w:r>
              <w:rPr>
                <w:rFonts w:ascii="宋体" w:hAnsi="宋体" w:eastAsia="宋体"/>
                <w:sz w:val="16"/>
              </w:rPr>
              <w:t>分值权重</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010DB34">
            <w:pPr>
              <w:jc w:val="center"/>
            </w:pPr>
            <w:r>
              <w:rPr>
                <w:rFonts w:ascii="宋体" w:hAnsi="宋体" w:eastAsia="宋体"/>
                <w:sz w:val="16"/>
              </w:rPr>
              <w:t>实际完成值</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2A5F9BF">
            <w:pPr>
              <w:jc w:val="center"/>
            </w:pPr>
            <w:r>
              <w:rPr>
                <w:rFonts w:ascii="宋体" w:hAnsi="宋体" w:eastAsia="宋体"/>
                <w:sz w:val="16"/>
              </w:rPr>
              <w:t>完成率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C13787F">
            <w:pPr>
              <w:jc w:val="center"/>
            </w:pPr>
            <w:r>
              <w:rPr>
                <w:rFonts w:ascii="宋体" w:hAnsi="宋体" w:eastAsia="宋体"/>
                <w:sz w:val="16"/>
              </w:rPr>
              <w:t>得分</w:t>
            </w:r>
          </w:p>
        </w:tc>
      </w:tr>
      <w:tr w14:paraId="09E77665">
        <w:tblPrEx>
          <w:tblCellMar>
            <w:top w:w="0" w:type="dxa"/>
            <w:left w:w="108" w:type="dxa"/>
            <w:bottom w:w="0" w:type="dxa"/>
            <w:right w:w="108" w:type="dxa"/>
          </w:tblCellMar>
        </w:tblPrEx>
        <w:trPr>
          <w:trHeight w:val="362" w:hRule="atLeast"/>
        </w:trPr>
        <w:tc>
          <w:tcPr>
            <w:tcW w:w="10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9ED69">
            <w:pPr>
              <w:jc w:val="center"/>
            </w:pPr>
            <w:r>
              <w:rPr>
                <w:rFonts w:ascii="宋体" w:hAnsi="宋体" w:eastAsia="宋体"/>
                <w:sz w:val="16"/>
              </w:rPr>
              <w:t>履职效能</w:t>
            </w:r>
          </w:p>
        </w:tc>
        <w:tc>
          <w:tcPr>
            <w:tcW w:w="10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78471">
            <w:pPr>
              <w:jc w:val="center"/>
            </w:pPr>
            <w:r>
              <w:rPr>
                <w:rFonts w:ascii="宋体" w:hAnsi="宋体" w:eastAsia="宋体"/>
                <w:sz w:val="16"/>
              </w:rPr>
              <w:t>数量指标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18C3B130">
            <w:pPr>
              <w:jc w:val="center"/>
            </w:pPr>
            <w:r>
              <w:rPr>
                <w:rFonts w:ascii="宋体" w:hAnsi="宋体" w:eastAsia="宋体"/>
                <w:sz w:val="16"/>
              </w:rPr>
              <w:t>到</w:t>
            </w:r>
            <w:r>
              <w:rPr>
                <w:rFonts w:hint="eastAsia" w:ascii="宋体" w:hAnsi="宋体"/>
                <w:sz w:val="16"/>
                <w:lang w:eastAsia="zh-CN"/>
              </w:rPr>
              <w:t>为民办实事</w:t>
            </w:r>
            <w:r>
              <w:rPr>
                <w:rFonts w:ascii="宋体" w:hAnsi="宋体" w:eastAsia="宋体"/>
                <w:sz w:val="16"/>
              </w:rPr>
              <w:t>点帮扶调研次数</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0FE2DFC7">
            <w:pPr>
              <w:jc w:val="center"/>
            </w:pPr>
            <w:r>
              <w:rPr>
                <w:rFonts w:ascii="宋体" w:hAnsi="宋体" w:eastAsia="宋体"/>
                <w:sz w:val="16"/>
              </w:rPr>
              <w:t>=1次/月</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D79A129">
            <w:pPr>
              <w:jc w:val="center"/>
            </w:pPr>
            <w:r>
              <w:rPr>
                <w:rFonts w:ascii="宋体" w:hAnsi="宋体" w:eastAsia="宋体"/>
                <w:sz w:val="16"/>
              </w:rPr>
              <w:t>工作计划</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BA40F59">
            <w:pPr>
              <w:jc w:val="center"/>
            </w:pPr>
            <w:r>
              <w:rPr>
                <w:rFonts w:ascii="宋体" w:hAnsi="宋体" w:eastAsia="宋体"/>
                <w:sz w:val="16"/>
              </w:rPr>
              <w:t>18</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E83FFE4">
            <w:pPr>
              <w:jc w:val="center"/>
            </w:pPr>
            <w:r>
              <w:rPr>
                <w:rFonts w:ascii="宋体" w:hAnsi="宋体" w:eastAsia="宋体"/>
                <w:sz w:val="16"/>
              </w:rPr>
              <w:t>10次/月</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68B1E2F">
            <w:pPr>
              <w:jc w:val="center"/>
            </w:pPr>
            <w:r>
              <w:rPr>
                <w:rFonts w:ascii="宋体" w:hAnsi="宋体" w:eastAsia="宋体"/>
                <w:sz w:val="16"/>
              </w:rPr>
              <w:t>83.3</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0DE1324">
            <w:pPr>
              <w:jc w:val="center"/>
            </w:pPr>
            <w:r>
              <w:rPr>
                <w:rFonts w:ascii="宋体" w:hAnsi="宋体" w:eastAsia="宋体"/>
                <w:sz w:val="16"/>
              </w:rPr>
              <w:t>15</w:t>
            </w:r>
          </w:p>
        </w:tc>
      </w:tr>
      <w:tr w14:paraId="10EA49E6">
        <w:tblPrEx>
          <w:tblCellMar>
            <w:top w:w="0" w:type="dxa"/>
            <w:left w:w="108" w:type="dxa"/>
            <w:bottom w:w="0" w:type="dxa"/>
            <w:right w:w="108" w:type="dxa"/>
          </w:tblCellMar>
        </w:tblPrEx>
        <w:trPr>
          <w:trHeight w:val="245"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12838734"/>
        </w:tc>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714D29B6"/>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FAD5569">
            <w:pPr>
              <w:jc w:val="center"/>
            </w:pPr>
            <w:r>
              <w:rPr>
                <w:rFonts w:ascii="宋体" w:hAnsi="宋体" w:eastAsia="宋体"/>
                <w:sz w:val="16"/>
              </w:rPr>
              <w:t>创建党支部数量</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445FD291">
            <w:pPr>
              <w:jc w:val="center"/>
            </w:pPr>
            <w:r>
              <w:rPr>
                <w:rFonts w:ascii="宋体" w:hAnsi="宋体" w:eastAsia="宋体"/>
                <w:sz w:val="16"/>
              </w:rPr>
              <w:t>=220个</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57BE16A">
            <w:pPr>
              <w:jc w:val="center"/>
            </w:pPr>
            <w:r>
              <w:rPr>
                <w:rFonts w:ascii="宋体" w:hAnsi="宋体" w:eastAsia="宋体"/>
                <w:sz w:val="16"/>
              </w:rPr>
              <w:t>工作计划</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C02EA6F">
            <w:pPr>
              <w:jc w:val="center"/>
            </w:pPr>
            <w:r>
              <w:rPr>
                <w:rFonts w:ascii="宋体" w:hAnsi="宋体" w:eastAsia="宋体"/>
                <w:sz w:val="16"/>
              </w:rPr>
              <w:t>18</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7FB9AAB">
            <w:pPr>
              <w:jc w:val="center"/>
            </w:pPr>
            <w:r>
              <w:rPr>
                <w:rFonts w:ascii="宋体" w:hAnsi="宋体" w:eastAsia="宋体"/>
                <w:sz w:val="16"/>
              </w:rPr>
              <w:t>215个</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2F68A7E">
            <w:pPr>
              <w:jc w:val="center"/>
            </w:pPr>
            <w:r>
              <w:rPr>
                <w:rFonts w:ascii="宋体" w:hAnsi="宋体" w:eastAsia="宋体"/>
                <w:sz w:val="16"/>
              </w:rPr>
              <w:t>97.7</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F536BA8">
            <w:pPr>
              <w:jc w:val="center"/>
            </w:pPr>
            <w:r>
              <w:rPr>
                <w:rFonts w:ascii="宋体" w:hAnsi="宋体" w:eastAsia="宋体"/>
                <w:sz w:val="16"/>
              </w:rPr>
              <w:t>17.59</w:t>
            </w:r>
          </w:p>
        </w:tc>
      </w:tr>
      <w:tr w14:paraId="74B4938D">
        <w:tblPrEx>
          <w:tblCellMar>
            <w:top w:w="0" w:type="dxa"/>
            <w:left w:w="108" w:type="dxa"/>
            <w:bottom w:w="0" w:type="dxa"/>
            <w:right w:w="108" w:type="dxa"/>
          </w:tblCellMar>
        </w:tblPrEx>
        <w:trPr>
          <w:trHeight w:val="362"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555DEFA6"/>
        </w:tc>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0A6E2C0D"/>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0A03571B">
            <w:pPr>
              <w:jc w:val="center"/>
            </w:pPr>
            <w:r>
              <w:rPr>
                <w:rFonts w:ascii="宋体" w:hAnsi="宋体" w:eastAsia="宋体"/>
                <w:sz w:val="16"/>
              </w:rPr>
              <w:t>开展党务干部业务培训期数</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572E3C76">
            <w:pPr>
              <w:jc w:val="center"/>
            </w:pPr>
            <w:r>
              <w:rPr>
                <w:rFonts w:ascii="宋体" w:hAnsi="宋体" w:eastAsia="宋体"/>
                <w:sz w:val="16"/>
              </w:rPr>
              <w:t>=4期</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51F94DF">
            <w:pPr>
              <w:jc w:val="center"/>
            </w:pPr>
            <w:r>
              <w:rPr>
                <w:rFonts w:ascii="宋体" w:hAnsi="宋体" w:eastAsia="宋体"/>
                <w:sz w:val="16"/>
              </w:rPr>
              <w:t>工作计划</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DD7633C">
            <w:pPr>
              <w:jc w:val="center"/>
            </w:pPr>
            <w:r>
              <w:rPr>
                <w:rFonts w:ascii="宋体" w:hAnsi="宋体" w:eastAsia="宋体"/>
                <w:sz w:val="16"/>
              </w:rPr>
              <w:t>18</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C4D5C38">
            <w:pPr>
              <w:jc w:val="center"/>
            </w:pPr>
            <w:r>
              <w:rPr>
                <w:rFonts w:ascii="宋体" w:hAnsi="宋体" w:eastAsia="宋体"/>
                <w:sz w:val="16"/>
              </w:rPr>
              <w:t>4期</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499EF76">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432E3B7">
            <w:pPr>
              <w:jc w:val="center"/>
            </w:pPr>
            <w:r>
              <w:rPr>
                <w:rFonts w:ascii="宋体" w:hAnsi="宋体" w:eastAsia="宋体"/>
                <w:sz w:val="16"/>
              </w:rPr>
              <w:t>18</w:t>
            </w:r>
          </w:p>
        </w:tc>
      </w:tr>
      <w:tr w14:paraId="7E52404A">
        <w:tblPrEx>
          <w:tblCellMar>
            <w:top w:w="0" w:type="dxa"/>
            <w:left w:w="108" w:type="dxa"/>
            <w:bottom w:w="0" w:type="dxa"/>
            <w:right w:w="108" w:type="dxa"/>
          </w:tblCellMar>
        </w:tblPrEx>
        <w:trPr>
          <w:trHeight w:val="479"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675D7B60"/>
        </w:tc>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1BC7D030"/>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2DAB05A">
            <w:pPr>
              <w:jc w:val="center"/>
            </w:pPr>
            <w:r>
              <w:rPr>
                <w:rFonts w:ascii="宋体" w:hAnsi="宋体" w:eastAsia="宋体"/>
                <w:sz w:val="16"/>
              </w:rPr>
              <w:t>选</w:t>
            </w:r>
            <w:r>
              <w:rPr>
                <w:rFonts w:hint="eastAsia" w:ascii="宋体" w:hAnsi="宋体"/>
                <w:sz w:val="16"/>
                <w:lang w:eastAsia="zh-CN"/>
              </w:rPr>
              <w:t>树</w:t>
            </w:r>
            <w:r>
              <w:rPr>
                <w:rFonts w:ascii="宋体" w:hAnsi="宋体" w:eastAsia="宋体"/>
                <w:sz w:val="16"/>
              </w:rPr>
              <w:t>创建县级“五个好”党支部数量</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1344E4D0">
            <w:pPr>
              <w:jc w:val="center"/>
            </w:pPr>
            <w:r>
              <w:rPr>
                <w:rFonts w:ascii="宋体" w:hAnsi="宋体" w:eastAsia="宋体"/>
                <w:sz w:val="16"/>
              </w:rPr>
              <w:t>=10个</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C43D0A2">
            <w:pPr>
              <w:jc w:val="center"/>
            </w:pPr>
            <w:r>
              <w:rPr>
                <w:rFonts w:ascii="宋体" w:hAnsi="宋体" w:eastAsia="宋体"/>
                <w:sz w:val="16"/>
              </w:rPr>
              <w:t>工作计划</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7BAB61A">
            <w:pPr>
              <w:jc w:val="center"/>
            </w:pPr>
            <w:r>
              <w:rPr>
                <w:rFonts w:ascii="宋体" w:hAnsi="宋体" w:eastAsia="宋体"/>
                <w:sz w:val="16"/>
              </w:rPr>
              <w:t>18</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3D595A0C">
            <w:pPr>
              <w:jc w:val="center"/>
            </w:pPr>
            <w:r>
              <w:rPr>
                <w:rFonts w:ascii="宋体" w:hAnsi="宋体" w:eastAsia="宋体"/>
                <w:sz w:val="16"/>
              </w:rPr>
              <w:t>10个</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B407A6D">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78347BE">
            <w:pPr>
              <w:jc w:val="center"/>
            </w:pPr>
            <w:r>
              <w:rPr>
                <w:rFonts w:ascii="宋体" w:hAnsi="宋体" w:eastAsia="宋体"/>
                <w:sz w:val="16"/>
              </w:rPr>
              <w:t>18</w:t>
            </w:r>
          </w:p>
        </w:tc>
      </w:tr>
      <w:tr w14:paraId="19EC721A">
        <w:tblPrEx>
          <w:tblCellMar>
            <w:top w:w="0" w:type="dxa"/>
            <w:left w:w="108" w:type="dxa"/>
            <w:bottom w:w="0" w:type="dxa"/>
            <w:right w:w="108" w:type="dxa"/>
          </w:tblCellMar>
        </w:tblPrEx>
        <w:trPr>
          <w:trHeight w:val="137" w:hRule="atLeast"/>
        </w:trPr>
        <w:tc>
          <w:tcPr>
            <w:tcW w:w="1031" w:type="dxa"/>
            <w:vMerge w:val="continue"/>
            <w:tcBorders>
              <w:top w:val="single" w:color="auto" w:sz="10" w:space="0"/>
              <w:left w:val="single" w:color="auto" w:sz="10" w:space="0"/>
              <w:bottom w:val="single" w:color="auto" w:sz="10" w:space="0"/>
              <w:right w:val="single" w:color="auto" w:sz="10" w:space="0"/>
              <w:insideV w:val="single" w:sz="10" w:space="0"/>
            </w:tcBorders>
          </w:tcPr>
          <w:p w14:paraId="2A553EDC"/>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B054D69">
            <w:pPr>
              <w:jc w:val="center"/>
            </w:pPr>
            <w:r>
              <w:rPr>
                <w:rFonts w:ascii="宋体" w:hAnsi="宋体" w:eastAsia="宋体"/>
                <w:sz w:val="16"/>
              </w:rPr>
              <w:t>质量指标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F937D27">
            <w:pPr>
              <w:jc w:val="center"/>
            </w:pPr>
            <w:r>
              <w:rPr>
                <w:rFonts w:ascii="宋体" w:hAnsi="宋体" w:eastAsia="宋体"/>
                <w:sz w:val="16"/>
              </w:rPr>
              <w:t>所属党支部建立党建活动阵地率</w:t>
            </w:r>
          </w:p>
        </w:tc>
        <w:tc>
          <w:tcPr>
            <w:tcW w:w="871" w:type="dxa"/>
            <w:tcBorders>
              <w:top w:val="single" w:color="auto" w:sz="10" w:space="0"/>
              <w:left w:val="single" w:color="auto" w:sz="10" w:space="0"/>
              <w:bottom w:val="single" w:color="auto" w:sz="10" w:space="0"/>
              <w:right w:val="single" w:color="auto" w:sz="10" w:space="0"/>
              <w:insideV w:val="single" w:sz="10" w:space="0"/>
            </w:tcBorders>
            <w:vAlign w:val="center"/>
          </w:tcPr>
          <w:p w14:paraId="5FFA3FA5">
            <w:pPr>
              <w:jc w:val="center"/>
            </w:pPr>
            <w:r>
              <w:rPr>
                <w:rFonts w:ascii="宋体" w:hAnsi="宋体" w:eastAsia="宋体"/>
                <w:sz w:val="16"/>
              </w:rPr>
              <w:t>&gt;=95%</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7C81217">
            <w:pPr>
              <w:jc w:val="center"/>
            </w:pPr>
            <w:r>
              <w:rPr>
                <w:rFonts w:ascii="宋体" w:hAnsi="宋体" w:eastAsia="宋体"/>
                <w:sz w:val="16"/>
              </w:rPr>
              <w:t>工作计划</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D0661E0">
            <w:pPr>
              <w:jc w:val="center"/>
            </w:pPr>
            <w:r>
              <w:rPr>
                <w:rFonts w:ascii="宋体" w:hAnsi="宋体" w:eastAsia="宋体"/>
                <w:sz w:val="16"/>
              </w:rPr>
              <w:t>18</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E5EF117">
            <w:pPr>
              <w:jc w:val="center"/>
            </w:pPr>
            <w:r>
              <w:rPr>
                <w:rFonts w:ascii="宋体" w:hAnsi="宋体" w:eastAsia="宋体"/>
                <w:sz w:val="16"/>
              </w:rPr>
              <w:t>90%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AD8CB2D">
            <w:pPr>
              <w:jc w:val="center"/>
            </w:pPr>
            <w:r>
              <w:rPr>
                <w:rFonts w:ascii="宋体" w:hAnsi="宋体" w:eastAsia="宋体"/>
                <w:sz w:val="16"/>
              </w:rPr>
              <w:t>94.7</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7D806E9">
            <w:pPr>
              <w:jc w:val="center"/>
            </w:pPr>
            <w:r>
              <w:rPr>
                <w:rFonts w:ascii="宋体" w:hAnsi="宋体" w:eastAsia="宋体"/>
                <w:sz w:val="16"/>
              </w:rPr>
              <w:t>17</w:t>
            </w:r>
          </w:p>
        </w:tc>
      </w:tr>
    </w:tbl>
    <w:p w14:paraId="6FE9DFD7">
      <w:r>
        <w:br w:type="page"/>
      </w:r>
    </w:p>
    <w:p w14:paraId="41AF5D26">
      <w:pPr>
        <w:spacing w:line="640" w:lineRule="exact"/>
        <w:ind w:firstLine="640"/>
        <w:jc w:val="both"/>
        <w:outlineLvl w:val="2"/>
      </w:pPr>
      <w:r>
        <w:rPr>
          <w:rFonts w:ascii="黑体" w:hAnsi="黑体" w:eastAsia="黑体"/>
          <w:sz w:val="32"/>
        </w:rPr>
        <w:t>十二、其他需说明的事项</w:t>
      </w:r>
    </w:p>
    <w:p w14:paraId="40327DB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BEF696B">
      <w:r>
        <w:br w:type="page"/>
      </w:r>
    </w:p>
    <w:p w14:paraId="78B1C6E0">
      <w:pPr>
        <w:spacing w:line="240" w:lineRule="auto"/>
        <w:jc w:val="center"/>
        <w:outlineLvl w:val="1"/>
      </w:pPr>
      <w:r>
        <w:rPr>
          <w:rFonts w:ascii="黑体" w:hAnsi="黑体" w:eastAsia="黑体"/>
          <w:sz w:val="32"/>
        </w:rPr>
        <w:t>第三部分 专业名词解释</w:t>
      </w:r>
    </w:p>
    <w:p w14:paraId="0E2656C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32EA5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E7380C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764E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62A8D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33148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286147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A4D6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2B04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E66800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CC324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8A287F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96EB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5D6C4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A886DA0">
      <w:r>
        <w:br w:type="page"/>
      </w:r>
    </w:p>
    <w:p w14:paraId="53C59AEA">
      <w:pPr>
        <w:spacing w:line="240" w:lineRule="auto"/>
        <w:jc w:val="center"/>
        <w:outlineLvl w:val="1"/>
      </w:pPr>
      <w:r>
        <w:rPr>
          <w:rFonts w:ascii="黑体" w:hAnsi="黑体" w:eastAsia="黑体"/>
          <w:sz w:val="32"/>
        </w:rPr>
        <w:t>第四部分 部门决算报表（见附表）</w:t>
      </w:r>
    </w:p>
    <w:p w14:paraId="1F8EEF23">
      <w:pPr>
        <w:spacing w:line="240" w:lineRule="auto"/>
        <w:ind w:firstLine="640"/>
        <w:jc w:val="both"/>
      </w:pPr>
      <w:r>
        <w:rPr>
          <w:rFonts w:ascii="仿宋_GB2312" w:hAnsi="仿宋_GB2312" w:eastAsia="仿宋_GB2312"/>
          <w:b w:val="0"/>
          <w:sz w:val="32"/>
        </w:rPr>
        <w:t>一、《收入支出决算总表》</w:t>
      </w:r>
    </w:p>
    <w:p w14:paraId="1B3DD163">
      <w:pPr>
        <w:spacing w:line="240" w:lineRule="auto"/>
        <w:ind w:firstLine="640"/>
        <w:jc w:val="both"/>
      </w:pPr>
      <w:r>
        <w:rPr>
          <w:rFonts w:ascii="仿宋_GB2312" w:hAnsi="仿宋_GB2312" w:eastAsia="仿宋_GB2312"/>
          <w:b w:val="0"/>
          <w:sz w:val="32"/>
        </w:rPr>
        <w:t>二、《收入决算表》</w:t>
      </w:r>
    </w:p>
    <w:p w14:paraId="00F75EFD">
      <w:pPr>
        <w:spacing w:line="240" w:lineRule="auto"/>
        <w:ind w:firstLine="640"/>
        <w:jc w:val="both"/>
      </w:pPr>
      <w:r>
        <w:rPr>
          <w:rFonts w:ascii="仿宋_GB2312" w:hAnsi="仿宋_GB2312" w:eastAsia="仿宋_GB2312"/>
          <w:b w:val="0"/>
          <w:sz w:val="32"/>
        </w:rPr>
        <w:t>三、《支出决算表》</w:t>
      </w:r>
    </w:p>
    <w:p w14:paraId="1880E4F0">
      <w:pPr>
        <w:spacing w:line="240" w:lineRule="auto"/>
        <w:ind w:firstLine="640"/>
        <w:jc w:val="both"/>
      </w:pPr>
      <w:r>
        <w:rPr>
          <w:rFonts w:ascii="仿宋_GB2312" w:hAnsi="仿宋_GB2312" w:eastAsia="仿宋_GB2312"/>
          <w:b w:val="0"/>
          <w:sz w:val="32"/>
        </w:rPr>
        <w:t>四、《财政拨款收入支出决算总表》</w:t>
      </w:r>
    </w:p>
    <w:p w14:paraId="501CFCEC">
      <w:pPr>
        <w:spacing w:line="240" w:lineRule="auto"/>
        <w:ind w:firstLine="640"/>
        <w:jc w:val="both"/>
      </w:pPr>
      <w:r>
        <w:rPr>
          <w:rFonts w:ascii="仿宋_GB2312" w:hAnsi="仿宋_GB2312" w:eastAsia="仿宋_GB2312"/>
          <w:b w:val="0"/>
          <w:sz w:val="32"/>
        </w:rPr>
        <w:t>五、《一般公共预算财政拨款支出决算表》</w:t>
      </w:r>
    </w:p>
    <w:p w14:paraId="6642F270">
      <w:pPr>
        <w:spacing w:line="240" w:lineRule="auto"/>
        <w:ind w:firstLine="640"/>
        <w:jc w:val="both"/>
      </w:pPr>
      <w:r>
        <w:rPr>
          <w:rFonts w:ascii="仿宋_GB2312" w:hAnsi="仿宋_GB2312" w:eastAsia="仿宋_GB2312"/>
          <w:b w:val="0"/>
          <w:sz w:val="32"/>
        </w:rPr>
        <w:t>六、《一般公共预算财政拨款基本支出决算表》</w:t>
      </w:r>
    </w:p>
    <w:p w14:paraId="1B7D8450">
      <w:pPr>
        <w:spacing w:line="240" w:lineRule="auto"/>
        <w:ind w:firstLine="640"/>
        <w:jc w:val="both"/>
      </w:pPr>
      <w:r>
        <w:rPr>
          <w:rFonts w:ascii="仿宋_GB2312" w:hAnsi="仿宋_GB2312" w:eastAsia="仿宋_GB2312"/>
          <w:b w:val="0"/>
          <w:sz w:val="32"/>
        </w:rPr>
        <w:t>七、《政府性基金预算财政拨款收入支出决算表》</w:t>
      </w:r>
    </w:p>
    <w:p w14:paraId="342123FA">
      <w:pPr>
        <w:spacing w:line="240" w:lineRule="auto"/>
        <w:ind w:firstLine="640"/>
        <w:jc w:val="both"/>
      </w:pPr>
      <w:r>
        <w:rPr>
          <w:rFonts w:ascii="仿宋_GB2312" w:hAnsi="仿宋_GB2312" w:eastAsia="仿宋_GB2312"/>
          <w:b w:val="0"/>
          <w:sz w:val="32"/>
        </w:rPr>
        <w:t>八、《国有资本经营预算财政拨款收入支出决算表》</w:t>
      </w:r>
    </w:p>
    <w:p w14:paraId="09FC72D7">
      <w:pPr>
        <w:spacing w:line="240" w:lineRule="auto"/>
        <w:ind w:firstLine="640"/>
        <w:jc w:val="both"/>
      </w:pPr>
      <w:r>
        <w:rPr>
          <w:rFonts w:ascii="仿宋_GB2312" w:hAnsi="仿宋_GB2312" w:eastAsia="仿宋_GB2312"/>
          <w:b w:val="0"/>
          <w:sz w:val="32"/>
        </w:rPr>
        <w:t>九、《财政拨款“三公”经费支出决算表》</w:t>
      </w:r>
    </w:p>
    <w:p w14:paraId="0FDC0953">
      <w:pPr>
        <w:spacing w:line="240" w:lineRule="auto"/>
        <w:ind w:firstLine="640"/>
        <w:jc w:val="both"/>
      </w:pPr>
    </w:p>
    <w:p w14:paraId="1E64D211">
      <w:pPr>
        <w:spacing w:line="240" w:lineRule="auto"/>
        <w:ind w:firstLine="640"/>
        <w:jc w:val="both"/>
      </w:pPr>
    </w:p>
    <w:p w14:paraId="3ACB1975">
      <w:pPr>
        <w:spacing w:line="240" w:lineRule="auto"/>
        <w:ind w:firstLine="640"/>
        <w:jc w:val="both"/>
      </w:pPr>
    </w:p>
    <w:p w14:paraId="41104981">
      <w:pPr>
        <w:spacing w:line="240" w:lineRule="auto"/>
        <w:ind w:firstLine="640"/>
        <w:jc w:val="both"/>
      </w:pPr>
    </w:p>
    <w:p w14:paraId="1ECDE96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0550D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DC6EE6"/>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6139</Words>
  <Characters>6850</Characters>
  <Lines>0</Lines>
  <Paragraphs>0</Paragraphs>
  <TotalTime>5</TotalTime>
  <ScaleCrop>false</ScaleCrop>
  <LinksUpToDate>false</LinksUpToDate>
  <CharactersWithSpaces>6859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2025-09-29T08:14:17Z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