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97C5EC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中共叶城县纪律检查委员会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473D3D8">
      <w:r>
        <w:br w:type="page"/>
      </w:r>
    </w:p>
    <w:p w14:paraId="51413926">
      <w:pPr>
        <w:spacing w:line="640" w:lineRule="exact"/>
        <w:jc w:val="center"/>
        <w:outlineLvl w:val="1"/>
      </w:pPr>
      <w:r>
        <w:rPr>
          <w:rFonts w:ascii="黑体" w:hAnsi="黑体" w:eastAsia="黑体"/>
          <w:sz w:val="32"/>
        </w:rPr>
        <w:t>第一部分 单位概况</w:t>
      </w:r>
    </w:p>
    <w:p w14:paraId="79A648A4">
      <w:pPr>
        <w:spacing w:line="640" w:lineRule="exact"/>
        <w:ind w:firstLine="640"/>
        <w:jc w:val="both"/>
        <w:outlineLvl w:val="2"/>
      </w:pPr>
      <w:r>
        <w:rPr>
          <w:rFonts w:ascii="黑体" w:hAnsi="黑体" w:eastAsia="黑体"/>
          <w:sz w:val="32"/>
        </w:rPr>
        <w:t>一、主要职能</w:t>
      </w:r>
    </w:p>
    <w:p w14:paraId="22B42FD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党的中央纪律检查委员会在党的中央委员会领导下进行工作。党的地方各级纪律检查委员会和基层纪律检查委员会在同级党的委员会和上级纪律检查委员会双重领导下进行工作。</w:t>
      </w:r>
    </w:p>
    <w:p w14:paraId="4301935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党的各级纪律检查委员会的主要任务是</w:t>
      </w:r>
      <w:bookmarkStart w:id="0" w:name="_GoBack"/>
      <w:r>
        <w:rPr>
          <w:rFonts w:ascii="仿宋_GB2312" w:hAnsi="仿宋_GB2312" w:eastAsia="仿宋_GB2312"/>
          <w:sz w:val="32"/>
        </w:rPr>
        <w:t>:</w:t>
      </w:r>
      <w:bookmarkEnd w:id="0"/>
      <w:r>
        <w:rPr>
          <w:rFonts w:ascii="仿宋_GB2312" w:hAnsi="仿宋_GB2312" w:eastAsia="仿宋_GB2312"/>
          <w:sz w:val="32"/>
        </w:rPr>
        <w:t>维护党的章程和其他党内法规，检查党的路线、方针、政策和决议的执行情况，协助党的委员会推进全面从严治党、加强党风建设和组织协调反腐败工作。</w:t>
      </w:r>
    </w:p>
    <w:p w14:paraId="2DD02534">
      <w:pPr>
        <w:spacing w:line="640" w:lineRule="exact"/>
        <w:ind w:firstLine="640"/>
        <w:jc w:val="both"/>
        <w:outlineLvl w:val="2"/>
      </w:pPr>
      <w:r>
        <w:rPr>
          <w:rFonts w:ascii="黑体" w:hAnsi="黑体" w:eastAsia="黑体"/>
          <w:sz w:val="32"/>
        </w:rPr>
        <w:t>二、机构设置及人员情况</w:t>
      </w:r>
    </w:p>
    <w:p w14:paraId="78F3C03F">
      <w:pPr>
        <w:spacing w:line="580" w:lineRule="exact"/>
        <w:ind w:firstLine="640"/>
        <w:jc w:val="both"/>
      </w:pPr>
      <w:r>
        <w:rPr>
          <w:rFonts w:ascii="仿宋_GB2312" w:hAnsi="仿宋_GB2312" w:eastAsia="仿宋_GB2312"/>
          <w:sz w:val="32"/>
        </w:rPr>
        <w:t>中共叶城县纪律检查委员会2024年度，实有人数152人，其中：在职人员132人，增加12人；离休人员0人，增加0人；退休人员20人,增加6人。</w:t>
      </w:r>
    </w:p>
    <w:p w14:paraId="32CD17BF">
      <w:pPr>
        <w:spacing w:line="580" w:lineRule="exact"/>
        <w:ind w:firstLine="640"/>
        <w:jc w:val="both"/>
      </w:pPr>
      <w:r>
        <w:rPr>
          <w:rFonts w:ascii="仿宋_GB2312" w:hAnsi="仿宋_GB2312" w:eastAsia="仿宋_GB2312"/>
          <w:sz w:val="32"/>
        </w:rPr>
        <w:t>中共叶城县纪律检查委员会无下属预算单位，下设14个科室，分别是：审理室、案管室、办公室、组宣部、第一纪检监察室、第二纪检监察室、第三纪检监察室、第四纪检监察室、第一派驻纪检监察组、第二派驻纪检监察组、第三派驻纪检监察组、第四派驻纪检监察组、第五派驻纪检监察组、第六派驻纪检监察组。</w:t>
      </w:r>
    </w:p>
    <w:p w14:paraId="2C977439">
      <w:r>
        <w:br w:type="page"/>
      </w:r>
    </w:p>
    <w:p w14:paraId="30832485">
      <w:pPr>
        <w:spacing w:line="240" w:lineRule="auto"/>
        <w:jc w:val="center"/>
        <w:outlineLvl w:val="1"/>
      </w:pPr>
      <w:r>
        <w:rPr>
          <w:rFonts w:ascii="黑体" w:hAnsi="黑体" w:eastAsia="黑体"/>
          <w:sz w:val="32"/>
        </w:rPr>
        <w:t>第二部分 部门决算情况说明</w:t>
      </w:r>
    </w:p>
    <w:p w14:paraId="2CFC6B05">
      <w:pPr>
        <w:spacing w:line="640" w:lineRule="exact"/>
        <w:ind w:firstLine="640"/>
        <w:jc w:val="both"/>
        <w:outlineLvl w:val="2"/>
      </w:pPr>
      <w:r>
        <w:rPr>
          <w:rFonts w:ascii="黑体" w:hAnsi="黑体" w:eastAsia="黑体"/>
          <w:sz w:val="32"/>
        </w:rPr>
        <w:t>一、收入支出决算总体情况说明</w:t>
      </w:r>
    </w:p>
    <w:p w14:paraId="736C00AF">
      <w:pPr>
        <w:spacing w:line="580" w:lineRule="exact"/>
        <w:ind w:firstLine="640"/>
        <w:jc w:val="both"/>
      </w:pPr>
      <w:r>
        <w:rPr>
          <w:rFonts w:ascii="仿宋_GB2312" w:hAnsi="仿宋_GB2312" w:eastAsia="仿宋_GB2312"/>
          <w:b/>
          <w:sz w:val="32"/>
        </w:rPr>
        <w:t>2024年度收入总计3,145.47万元，</w:t>
      </w:r>
      <w:r>
        <w:rPr>
          <w:rFonts w:ascii="仿宋_GB2312" w:hAnsi="仿宋_GB2312" w:eastAsia="仿宋_GB2312"/>
          <w:b w:val="0"/>
          <w:sz w:val="32"/>
        </w:rPr>
        <w:t>其中：本年收入合计3,145.47万元，使用非财政拨款结余（含专用结余）0.00万元，年初结转和结余0.00万元。</w:t>
      </w:r>
    </w:p>
    <w:p w14:paraId="0866AF03">
      <w:pPr>
        <w:spacing w:line="580" w:lineRule="exact"/>
        <w:ind w:firstLine="640"/>
        <w:jc w:val="both"/>
      </w:pPr>
      <w:r>
        <w:rPr>
          <w:rFonts w:ascii="仿宋_GB2312" w:hAnsi="仿宋_GB2312" w:eastAsia="仿宋_GB2312"/>
          <w:b/>
          <w:sz w:val="32"/>
        </w:rPr>
        <w:t>2024年度支出总计3,145.47万元，</w:t>
      </w:r>
      <w:r>
        <w:rPr>
          <w:rFonts w:ascii="仿宋_GB2312" w:hAnsi="仿宋_GB2312" w:eastAsia="仿宋_GB2312"/>
          <w:b w:val="0"/>
          <w:sz w:val="32"/>
        </w:rPr>
        <w:t>其中：本年支出合计3,145.47万元，结余分配0.00万元，年末结转和结余0.00万元。</w:t>
      </w:r>
    </w:p>
    <w:p w14:paraId="78281FDE">
      <w:pPr>
        <w:spacing w:line="580" w:lineRule="exact"/>
        <w:ind w:firstLine="640"/>
        <w:jc w:val="both"/>
      </w:pPr>
      <w:r>
        <w:rPr>
          <w:rFonts w:ascii="仿宋_GB2312" w:hAnsi="仿宋_GB2312" w:eastAsia="仿宋_GB2312"/>
          <w:b w:val="0"/>
          <w:sz w:val="32"/>
        </w:rPr>
        <w:t>收入支出总体与上年相比，增加364.17万元，增长13.09%，主要原因是：本年在职人员增加，在职人员工资调增、社保、公积金基数调增，人员经费增加。</w:t>
      </w:r>
    </w:p>
    <w:p w14:paraId="7DB21C13">
      <w:pPr>
        <w:spacing w:line="640" w:lineRule="exact"/>
        <w:ind w:firstLine="640"/>
        <w:jc w:val="both"/>
        <w:outlineLvl w:val="2"/>
      </w:pPr>
      <w:r>
        <w:rPr>
          <w:rFonts w:ascii="黑体" w:hAnsi="黑体" w:eastAsia="黑体"/>
          <w:sz w:val="32"/>
        </w:rPr>
        <w:t>二、收入决算情况说明</w:t>
      </w:r>
    </w:p>
    <w:p w14:paraId="5995D581">
      <w:pPr>
        <w:spacing w:line="580" w:lineRule="exact"/>
        <w:ind w:firstLine="640"/>
        <w:jc w:val="both"/>
      </w:pPr>
      <w:r>
        <w:rPr>
          <w:rFonts w:ascii="仿宋_GB2312" w:hAnsi="仿宋_GB2312" w:eastAsia="仿宋_GB2312"/>
          <w:b/>
          <w:sz w:val="32"/>
        </w:rPr>
        <w:t>本年收入3,145.47万元，</w:t>
      </w:r>
      <w:r>
        <w:rPr>
          <w:rFonts w:ascii="仿宋_GB2312" w:hAnsi="仿宋_GB2312" w:eastAsia="仿宋_GB2312"/>
          <w:b w:val="0"/>
          <w:sz w:val="32"/>
        </w:rPr>
        <w:t>其中：财政拨款收入3,145.47万元，占100.00%；上级补助收入0.00万元，占0.00%；事业收入0.00万元，占0.00%；经营收入0.00万元，占0.00%；附属单位上缴收入0.00万元，占0.00%；其他收入0.00万元，占0.00%。</w:t>
      </w:r>
    </w:p>
    <w:p w14:paraId="17E00D67">
      <w:pPr>
        <w:spacing w:line="640" w:lineRule="exact"/>
        <w:ind w:firstLine="640"/>
        <w:jc w:val="both"/>
        <w:outlineLvl w:val="2"/>
      </w:pPr>
      <w:r>
        <w:rPr>
          <w:rFonts w:ascii="黑体" w:hAnsi="黑体" w:eastAsia="黑体"/>
          <w:sz w:val="32"/>
        </w:rPr>
        <w:t>三、支出决算情况说明</w:t>
      </w:r>
    </w:p>
    <w:p w14:paraId="1C419F2E">
      <w:pPr>
        <w:spacing w:line="580" w:lineRule="exact"/>
        <w:ind w:firstLine="640"/>
        <w:jc w:val="both"/>
      </w:pPr>
      <w:r>
        <w:rPr>
          <w:rFonts w:ascii="仿宋_GB2312" w:hAnsi="仿宋_GB2312" w:eastAsia="仿宋_GB2312"/>
          <w:b/>
          <w:sz w:val="32"/>
        </w:rPr>
        <w:t>本年支出3,145.47万元，</w:t>
      </w:r>
      <w:r>
        <w:rPr>
          <w:rFonts w:ascii="仿宋_GB2312" w:hAnsi="仿宋_GB2312" w:eastAsia="仿宋_GB2312"/>
          <w:b w:val="0"/>
          <w:sz w:val="32"/>
        </w:rPr>
        <w:t>其中：基本支出3,129.06万元，占99.48%；项目支出16.40万元，占0.52%；上缴上级支出0.00万元，占0.00%；经营支出0.00万元，占0.00%；对附属单位补助支出0.00万元，占0.00%。</w:t>
      </w:r>
    </w:p>
    <w:p w14:paraId="5919332B">
      <w:pPr>
        <w:spacing w:line="640" w:lineRule="exact"/>
        <w:ind w:firstLine="640"/>
        <w:jc w:val="both"/>
        <w:outlineLvl w:val="2"/>
      </w:pPr>
      <w:r>
        <w:rPr>
          <w:rFonts w:ascii="黑体" w:hAnsi="黑体" w:eastAsia="黑体"/>
          <w:sz w:val="32"/>
        </w:rPr>
        <w:t>四、财政拨款收入支出决算总体情况说明</w:t>
      </w:r>
    </w:p>
    <w:p w14:paraId="5527299B">
      <w:pPr>
        <w:spacing w:line="580" w:lineRule="exact"/>
        <w:ind w:firstLine="640"/>
        <w:jc w:val="both"/>
      </w:pPr>
      <w:r>
        <w:rPr>
          <w:rFonts w:ascii="仿宋_GB2312" w:hAnsi="仿宋_GB2312" w:eastAsia="仿宋_GB2312"/>
          <w:b/>
          <w:sz w:val="32"/>
        </w:rPr>
        <w:t>2024年度财政拨款收入总计3,145.47万元，</w:t>
      </w:r>
      <w:r>
        <w:rPr>
          <w:rFonts w:ascii="仿宋_GB2312" w:hAnsi="仿宋_GB2312" w:eastAsia="仿宋_GB2312"/>
          <w:b w:val="0"/>
          <w:sz w:val="32"/>
        </w:rPr>
        <w:t>其中：年初财政拨款结转和结余0.00万元，本年财政拨款收入3,145.47万元。</w:t>
      </w:r>
      <w:r>
        <w:rPr>
          <w:rFonts w:ascii="仿宋_GB2312" w:hAnsi="仿宋_GB2312" w:eastAsia="仿宋_GB2312"/>
          <w:b/>
          <w:sz w:val="32"/>
        </w:rPr>
        <w:t>财政拨款支出总计3,145.47万元，</w:t>
      </w:r>
      <w:r>
        <w:rPr>
          <w:rFonts w:ascii="仿宋_GB2312" w:hAnsi="仿宋_GB2312" w:eastAsia="仿宋_GB2312"/>
          <w:b w:val="0"/>
          <w:sz w:val="32"/>
        </w:rPr>
        <w:t>其中：年末财政拨款结转和结余0.00万元，本年财政拨款支出3,145.47万元。</w:t>
      </w:r>
    </w:p>
    <w:p w14:paraId="2366FD2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增加364.17万元，增长13.09%，主要原因是：本年在职人员增加，在职人员工资调增、社保、公积金基数调增，人员经费增加。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年初预算数2,851.19万元，决算数3,145.47万元，预决算差异率10.32%，主要原因是：本年在职人员增加，年中追加人员经费及人员工资、社保、公积金基数调增部分资金，导致预决算存在差异。</w:t>
      </w:r>
    </w:p>
    <w:p w14:paraId="2CF498C9">
      <w:pPr>
        <w:spacing w:line="640" w:lineRule="exact"/>
        <w:ind w:firstLine="640"/>
        <w:jc w:val="both"/>
        <w:outlineLvl w:val="2"/>
      </w:pPr>
      <w:r>
        <w:rPr>
          <w:rFonts w:ascii="黑体" w:hAnsi="黑体" w:eastAsia="黑体"/>
          <w:sz w:val="32"/>
        </w:rPr>
        <w:t>五、一般公共预算财政拨款支出决算情况说明</w:t>
      </w:r>
    </w:p>
    <w:p w14:paraId="30975D12">
      <w:pPr>
        <w:spacing w:line="640" w:lineRule="exact"/>
        <w:ind w:firstLine="640"/>
        <w:jc w:val="both"/>
        <w:outlineLvl w:val="3"/>
      </w:pPr>
      <w:r>
        <w:rPr>
          <w:rFonts w:ascii="楷体_GB2312" w:hAnsi="楷体_GB2312" w:eastAsia="楷体_GB2312"/>
          <w:b/>
          <w:sz w:val="32"/>
        </w:rPr>
        <w:t>（一）一般公共预算财政拨款支出决算总体情况</w:t>
      </w:r>
    </w:p>
    <w:p w14:paraId="412933D8">
      <w:pPr>
        <w:spacing w:line="580" w:lineRule="exact"/>
        <w:ind w:firstLine="640"/>
        <w:jc w:val="both"/>
      </w:pPr>
      <w:r>
        <w:rPr>
          <w:rFonts w:ascii="仿宋_GB2312" w:hAnsi="仿宋_GB2312" w:eastAsia="仿宋_GB2312"/>
          <w:b/>
          <w:sz w:val="32"/>
        </w:rPr>
        <w:t>2024年度一般公共预算财政拨款支出3,145.47万元，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增加364.17万元，增长13.09%，主要原因是：本年在职人员增加，在职人员工资调增、社保、公积金基数调增，人员经费增加。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年初预算数2,851.19万元，决算数3,145.47万元，预决算差异率10.32%，主要原因是：本年在职人员增加，年中追加人员经费及人员工资、社保、公积金基数调增部分资金，导致预决算存在差异。</w:t>
      </w:r>
    </w:p>
    <w:p w14:paraId="06BBD01B">
      <w:pPr>
        <w:spacing w:line="640" w:lineRule="exact"/>
        <w:ind w:firstLine="640"/>
        <w:jc w:val="both"/>
        <w:outlineLvl w:val="3"/>
      </w:pPr>
      <w:r>
        <w:rPr>
          <w:rFonts w:ascii="楷体_GB2312" w:hAnsi="楷体_GB2312" w:eastAsia="楷体_GB2312"/>
          <w:b/>
          <w:sz w:val="32"/>
        </w:rPr>
        <w:t>（二）一般公共预算财政拨款支出决算结构情况</w:t>
      </w:r>
    </w:p>
    <w:p w14:paraId="2C0E0AEA">
      <w:pPr>
        <w:spacing w:line="580" w:lineRule="exact"/>
        <w:ind w:firstLine="640"/>
        <w:jc w:val="both"/>
      </w:pPr>
      <w:r>
        <w:rPr>
          <w:rFonts w:ascii="仿宋_GB2312" w:hAnsi="仿宋_GB2312" w:eastAsia="仿宋_GB2312"/>
          <w:b w:val="0"/>
          <w:sz w:val="32"/>
        </w:rPr>
        <w:t>1.一般公共服务支出(类)2,414.49万元,占76.76%。</w:t>
      </w:r>
    </w:p>
    <w:p w14:paraId="5860410F">
      <w:pPr>
        <w:spacing w:line="580" w:lineRule="exact"/>
        <w:ind w:firstLine="640"/>
        <w:jc w:val="both"/>
      </w:pPr>
      <w:r>
        <w:rPr>
          <w:rFonts w:ascii="仿宋_GB2312" w:hAnsi="仿宋_GB2312" w:eastAsia="仿宋_GB2312"/>
          <w:b w:val="0"/>
          <w:sz w:val="32"/>
        </w:rPr>
        <w:t>2.社会保障和就业支出(类)330.60万元,占10.51%。</w:t>
      </w:r>
    </w:p>
    <w:p w14:paraId="59F28E29">
      <w:pPr>
        <w:spacing w:line="580" w:lineRule="exact"/>
        <w:ind w:firstLine="640"/>
        <w:jc w:val="both"/>
      </w:pPr>
      <w:r>
        <w:rPr>
          <w:rFonts w:ascii="仿宋_GB2312" w:hAnsi="仿宋_GB2312" w:eastAsia="仿宋_GB2312"/>
          <w:b w:val="0"/>
          <w:sz w:val="32"/>
        </w:rPr>
        <w:t>3.卫生健康支出(类)169.37万元,占5.38%。</w:t>
      </w:r>
    </w:p>
    <w:p w14:paraId="5B599DD2">
      <w:pPr>
        <w:spacing w:line="580" w:lineRule="exact"/>
        <w:ind w:firstLine="640"/>
        <w:jc w:val="both"/>
      </w:pPr>
      <w:r>
        <w:rPr>
          <w:rFonts w:ascii="仿宋_GB2312" w:hAnsi="仿宋_GB2312" w:eastAsia="仿宋_GB2312"/>
          <w:b w:val="0"/>
          <w:sz w:val="32"/>
        </w:rPr>
        <w:t>4.住房保障支出(类)231.02万元,占7.34%。</w:t>
      </w:r>
    </w:p>
    <w:p w14:paraId="6F624725">
      <w:pPr>
        <w:spacing w:line="640" w:lineRule="exact"/>
        <w:ind w:firstLine="640"/>
        <w:jc w:val="both"/>
        <w:outlineLvl w:val="3"/>
      </w:pPr>
      <w:r>
        <w:rPr>
          <w:rFonts w:ascii="楷体_GB2312" w:hAnsi="楷体_GB2312" w:eastAsia="楷体_GB2312"/>
          <w:b/>
          <w:sz w:val="32"/>
        </w:rPr>
        <w:t>（三）一般公共预算财政拨款支出决算具体情况</w:t>
      </w:r>
    </w:p>
    <w:p w14:paraId="2F9C6F52">
      <w:pPr>
        <w:spacing w:line="580" w:lineRule="exact"/>
        <w:ind w:firstLine="640"/>
        <w:jc w:val="both"/>
      </w:pPr>
      <w:r>
        <w:rPr>
          <w:rFonts w:ascii="仿宋_GB2312" w:hAnsi="仿宋_GB2312" w:eastAsia="仿宋_GB2312"/>
          <w:b w:val="0"/>
          <w:sz w:val="32"/>
        </w:rPr>
        <w:t>1.一般公共服务支出(类)统计信息事务(款)行政运行(项):支出决算数为2.63万元，比上年决算增加2.63万元，增长100.00%,主要原因是：本年增加在职人员其他社会保障缴费，导致相关经费增加。</w:t>
      </w:r>
    </w:p>
    <w:p w14:paraId="35149CDA">
      <w:pPr>
        <w:spacing w:line="580" w:lineRule="exact"/>
        <w:ind w:firstLine="640"/>
        <w:jc w:val="both"/>
      </w:pPr>
      <w:r>
        <w:rPr>
          <w:rFonts w:ascii="仿宋_GB2312" w:hAnsi="仿宋_GB2312" w:eastAsia="仿宋_GB2312"/>
          <w:b w:val="0"/>
          <w:sz w:val="32"/>
        </w:rPr>
        <w:t>2.一般公共服务支出(类)纪检监察事务(款)行政运行(项):支出决算数为2,395.45万元，比上年决算增加171.39万元，增长7.71%,主要原因是：本年新增在职人员，人员经费增加，导致经费较上年有所增加。</w:t>
      </w:r>
    </w:p>
    <w:p w14:paraId="643BD846">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3.一般公共服务支出(类)纪检监察事务(款)其他纪检监察事务支出(项):支出决算数为16.40万元，比上年决算减少75.60万元，下降82.17%,主要原因是：本年减少专项项目经费，导致相关经费减少。</w:t>
      </w:r>
    </w:p>
    <w:p w14:paraId="07E1AD88">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4.社会保障和就业支出(类)行政事业单位养老支出(款)行政单位离退休(项):支出决算数为21.72万元，比上年决算增加1.55万元，增长7.68%,主要原因是：本年退休人员增加，退休费支出增加。</w:t>
      </w:r>
    </w:p>
    <w:p w14:paraId="0920BF65">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5.社会保障和就业支出(类)行政事业单位养老支出(款)机关事业单位基本养老保险缴费支出(项):支出决算数为308.88万元，比上年决算增加116.26万元，增长60.36%,主要原因是：本年在职人员增加，养老保险缴费</w:t>
      </w:r>
      <w:r>
        <w:rPr>
          <w:rFonts w:hint="eastAsia" w:ascii="仿宋_GB2312" w:hAnsi="仿宋_GB2312" w:eastAsia="仿宋_GB2312"/>
          <w:b w:val="0"/>
          <w:sz w:val="32"/>
          <w:lang w:val="en-US" w:eastAsia="zh-CN"/>
        </w:rPr>
        <w:t>基数增加，支出</w:t>
      </w:r>
      <w:r>
        <w:rPr>
          <w:rFonts w:ascii="仿宋_GB2312" w:hAnsi="仿宋_GB2312" w:eastAsia="仿宋_GB2312"/>
          <w:b w:val="0"/>
          <w:sz w:val="32"/>
        </w:rPr>
        <w:t>较上年增加。</w:t>
      </w:r>
    </w:p>
    <w:p w14:paraId="166CE457">
      <w:pPr>
        <w:spacing w:line="580" w:lineRule="exact"/>
        <w:ind w:firstLine="640"/>
        <w:jc w:val="both"/>
      </w:pPr>
      <w:r>
        <w:rPr>
          <w:rFonts w:ascii="仿宋_GB2312" w:hAnsi="仿宋_GB2312" w:eastAsia="仿宋_GB2312"/>
          <w:b w:val="0"/>
          <w:sz w:val="32"/>
        </w:rPr>
        <w:t>6.卫生健康支出(类)行政事业单位医疗(款)行政单位医疗(项):支出决算数为131.27万元，比上年决算增加47.60万元，增长56.89%,主要原因是：本年在职人员增加，行政单位医疗</w:t>
      </w:r>
      <w:r>
        <w:rPr>
          <w:rFonts w:hint="eastAsia" w:ascii="仿宋_GB2312" w:hAnsi="仿宋_GB2312" w:eastAsia="仿宋_GB2312"/>
          <w:b w:val="0"/>
          <w:sz w:val="32"/>
          <w:lang w:val="en-US" w:eastAsia="zh-CN"/>
        </w:rPr>
        <w:t>缴费基数增加，</w:t>
      </w:r>
      <w:r>
        <w:rPr>
          <w:rFonts w:ascii="仿宋_GB2312" w:hAnsi="仿宋_GB2312" w:eastAsia="仿宋_GB2312"/>
          <w:b w:val="0"/>
          <w:sz w:val="32"/>
        </w:rPr>
        <w:t>支出较上年增加。</w:t>
      </w:r>
    </w:p>
    <w:p w14:paraId="11301723">
      <w:pPr>
        <w:spacing w:line="580" w:lineRule="exact"/>
        <w:ind w:firstLine="640"/>
        <w:jc w:val="both"/>
      </w:pPr>
      <w:r>
        <w:rPr>
          <w:rFonts w:ascii="仿宋_GB2312" w:hAnsi="仿宋_GB2312" w:eastAsia="仿宋_GB2312"/>
          <w:b w:val="0"/>
          <w:sz w:val="32"/>
        </w:rPr>
        <w:t>7.卫生健康支出(类)行政事业单位医疗(款)公务员医疗补助(项):支出决算数为38.09万元，比上年决算增加9.04万元，增长31.12%,主要原因是：本年在职人员增加，公务员医疗补助较上年增加。</w:t>
      </w:r>
    </w:p>
    <w:p w14:paraId="25B4BD5C">
      <w:pPr>
        <w:spacing w:line="580" w:lineRule="exact"/>
        <w:ind w:firstLine="640"/>
        <w:jc w:val="both"/>
      </w:pPr>
      <w:r>
        <w:rPr>
          <w:rFonts w:ascii="仿宋_GB2312" w:hAnsi="仿宋_GB2312" w:eastAsia="仿宋_GB2312"/>
          <w:b w:val="0"/>
          <w:sz w:val="32"/>
        </w:rPr>
        <w:t>8.住房保障支出(类)住房改革支出(款)住房公积金(项):支出决算数为231.02万元，比上年决算增加91.30万元，增长65.34%,主要原因是：本年在职人员增加，住房公积金</w:t>
      </w:r>
      <w:r>
        <w:rPr>
          <w:rFonts w:hint="eastAsia" w:ascii="仿宋_GB2312" w:hAnsi="仿宋_GB2312" w:eastAsia="仿宋_GB2312"/>
          <w:b w:val="0"/>
          <w:sz w:val="32"/>
          <w:lang w:val="en-US" w:eastAsia="zh-CN"/>
        </w:rPr>
        <w:t>缴费基数增加，</w:t>
      </w:r>
      <w:r>
        <w:rPr>
          <w:rFonts w:ascii="仿宋_GB2312" w:hAnsi="仿宋_GB2312" w:eastAsia="仿宋_GB2312"/>
          <w:b w:val="0"/>
          <w:sz w:val="32"/>
        </w:rPr>
        <w:t>支出较上年增加。</w:t>
      </w:r>
    </w:p>
    <w:p w14:paraId="3A638CC5">
      <w:pPr>
        <w:spacing w:line="640" w:lineRule="exact"/>
        <w:ind w:firstLine="640"/>
        <w:jc w:val="both"/>
        <w:outlineLvl w:val="2"/>
      </w:pPr>
      <w:r>
        <w:rPr>
          <w:rFonts w:ascii="黑体" w:hAnsi="黑体" w:eastAsia="黑体"/>
          <w:sz w:val="32"/>
        </w:rPr>
        <w:t>六、一般公共预算财政拨款基本支出决算情况说明</w:t>
      </w:r>
    </w:p>
    <w:p w14:paraId="73D3EE64">
      <w:pPr>
        <w:spacing w:line="580" w:lineRule="exact"/>
        <w:ind w:firstLine="640"/>
        <w:jc w:val="both"/>
      </w:pPr>
      <w:r>
        <w:rPr>
          <w:rFonts w:ascii="仿宋_GB2312" w:hAnsi="仿宋_GB2312" w:eastAsia="仿宋_GB2312"/>
          <w:b w:val="0"/>
          <w:sz w:val="32"/>
        </w:rPr>
        <w:t>2024年度一般公共预算财政拨款基本支出3,129.06万元，其中：</w:t>
      </w:r>
      <w:r>
        <w:rPr>
          <w:rFonts w:ascii="仿宋_GB2312" w:hAnsi="仿宋_GB2312" w:eastAsia="仿宋_GB2312"/>
          <w:b/>
          <w:sz w:val="32"/>
        </w:rPr>
        <w:t>人员经费2,967.93万元，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包括：基本工资、津贴补贴、奖金、绩效工资、机关事业单位基本养老保险缴费、职工基本医疗保险缴费、公务员医疗补助缴费、其他社会保障缴费、住房公积金、退休费、抚恤金、生活补助、奖励金。</w:t>
      </w:r>
    </w:p>
    <w:p w14:paraId="5B2D183C">
      <w:pPr>
        <w:spacing w:line="580" w:lineRule="exact"/>
        <w:ind w:firstLine="640"/>
        <w:jc w:val="both"/>
      </w:pPr>
      <w:r>
        <w:rPr>
          <w:rFonts w:ascii="仿宋_GB2312" w:hAnsi="仿宋_GB2312" w:eastAsia="仿宋_GB2312"/>
          <w:b/>
          <w:sz w:val="32"/>
        </w:rPr>
        <w:t>公用经费161.13万元，</w:t>
      </w:r>
      <w:r>
        <w:rPr>
          <w:rFonts w:ascii="仿宋_GB2312" w:hAnsi="仿宋_GB2312" w:eastAsia="仿宋_GB2312"/>
          <w:b w:val="0"/>
          <w:sz w:val="32"/>
        </w:rPr>
        <w:t>包括：办公费、印刷费、水费、邮电费、取暖费、物业管理费、差旅费、维修（护）费、公务接待费、劳务费、公务用车运行维护费、其他交通费用。</w:t>
      </w:r>
    </w:p>
    <w:p w14:paraId="59C0B7EA">
      <w:pPr>
        <w:spacing w:line="640" w:lineRule="exact"/>
        <w:ind w:firstLine="640"/>
        <w:jc w:val="both"/>
        <w:outlineLvl w:val="2"/>
      </w:pPr>
      <w:r>
        <w:rPr>
          <w:rFonts w:ascii="黑体" w:hAnsi="黑体" w:eastAsia="黑体"/>
          <w:sz w:val="32"/>
        </w:rPr>
        <w:t>七、政府性基金预算财政拨款收入支出决算情况说明</w:t>
      </w:r>
    </w:p>
    <w:p w14:paraId="410A7B4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CD174D6">
      <w:pPr>
        <w:spacing w:line="640" w:lineRule="exact"/>
        <w:ind w:firstLine="640"/>
        <w:jc w:val="both"/>
        <w:outlineLvl w:val="2"/>
      </w:pPr>
      <w:r>
        <w:rPr>
          <w:rFonts w:ascii="黑体" w:hAnsi="黑体" w:eastAsia="黑体"/>
          <w:sz w:val="32"/>
        </w:rPr>
        <w:t>八、国有资本经营预算财政拨款收入支出决算情况说明</w:t>
      </w:r>
    </w:p>
    <w:p w14:paraId="3BB1EF9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D4EE3FD">
      <w:pPr>
        <w:spacing w:line="640" w:lineRule="exact"/>
        <w:ind w:firstLine="640"/>
        <w:jc w:val="both"/>
        <w:outlineLvl w:val="2"/>
      </w:pPr>
      <w:r>
        <w:rPr>
          <w:rFonts w:ascii="黑体" w:hAnsi="黑体" w:eastAsia="黑体"/>
          <w:sz w:val="32"/>
        </w:rPr>
        <w:t>九、财政拨款“三公”经费支出决算情况说明</w:t>
      </w:r>
    </w:p>
    <w:p w14:paraId="349A2292">
      <w:pPr>
        <w:spacing w:line="580" w:lineRule="exact"/>
        <w:ind w:firstLine="640"/>
        <w:jc w:val="both"/>
      </w:pPr>
      <w:r>
        <w:rPr>
          <w:rFonts w:ascii="仿宋_GB2312" w:hAnsi="仿宋_GB2312" w:eastAsia="仿宋_GB2312"/>
          <w:b/>
          <w:sz w:val="32"/>
        </w:rPr>
        <w:t>2024年度财政拨款“三公”经费支出6.67万元，</w:t>
      </w:r>
      <w:r>
        <w:rPr>
          <w:rFonts w:ascii="仿宋_GB2312" w:hAnsi="仿宋_GB2312" w:eastAsia="仿宋_GB2312"/>
          <w:b w:val="0"/>
          <w:sz w:val="32"/>
        </w:rPr>
        <w:t>比上年减少5.33万元，下降44.42%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1.42万元，占21.29%，比上年减少10.58万元，下降88.17%，主要原因是：严格落实中央八项规定精神，厉行节约，减少公务用车运行维护费。公务接待费支出5.25万元，占78.71%，比上年增加5.25万元，增长100.00%，主要原因是：本年因业务需求，增加公务接待工作，导致公务接待费较上年增加。</w:t>
      </w:r>
    </w:p>
    <w:p w14:paraId="5C1C9ABB">
      <w:pPr>
        <w:spacing w:line="580" w:lineRule="exact"/>
        <w:ind w:firstLine="640"/>
        <w:jc w:val="both"/>
      </w:pPr>
      <w:r>
        <w:rPr>
          <w:rFonts w:ascii="仿宋_GB2312" w:hAnsi="仿宋_GB2312" w:eastAsia="仿宋_GB2312"/>
          <w:b/>
          <w:sz w:val="32"/>
        </w:rPr>
        <w:t>具体情况如下：</w:t>
      </w:r>
    </w:p>
    <w:p w14:paraId="5F4A79B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4A9FF1">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加油费、维修费、保险费、审车费、过路费。公务用车购置数0辆，公务用车保有量4辆。国有资产占用情况中固定资产车辆12辆，与公务用车保有量差异原因是：差异车辆为一般业务用车，预算未安排公务用车运行维护费。</w:t>
      </w:r>
    </w:p>
    <w:p w14:paraId="4887B6BC">
      <w:pPr>
        <w:spacing w:line="580" w:lineRule="exact"/>
        <w:ind w:firstLine="640"/>
        <w:jc w:val="both"/>
      </w:pPr>
      <w:r>
        <w:rPr>
          <w:rFonts w:ascii="仿宋_GB2312" w:hAnsi="仿宋_GB2312" w:eastAsia="仿宋_GB2312"/>
          <w:b w:val="0"/>
          <w:sz w:val="32"/>
        </w:rPr>
        <w:t>公务接待费5.25万元，开支内容包括因督导检查工作需要，接待上级领导督导组产生的就餐费。单位全年安排的国内公务接待82批次，410人次。</w:t>
      </w:r>
    </w:p>
    <w:p w14:paraId="09BDB31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6.67万元，决算数6.67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5.25万元，决算数5.25万元，预决算差异率0.00%，主要原因是：严格按照预算执行，预决算无差异。</w:t>
      </w:r>
    </w:p>
    <w:p w14:paraId="0B512422">
      <w:pPr>
        <w:spacing w:line="640" w:lineRule="exact"/>
        <w:ind w:firstLine="640"/>
        <w:jc w:val="both"/>
        <w:outlineLvl w:val="2"/>
      </w:pPr>
      <w:r>
        <w:rPr>
          <w:rFonts w:ascii="黑体" w:hAnsi="黑体" w:eastAsia="黑体"/>
          <w:sz w:val="32"/>
        </w:rPr>
        <w:t>十、其他重要事项的情况说明</w:t>
      </w:r>
    </w:p>
    <w:p w14:paraId="12A59960">
      <w:pPr>
        <w:spacing w:line="640" w:lineRule="exact"/>
        <w:ind w:firstLine="640"/>
        <w:jc w:val="both"/>
        <w:outlineLvl w:val="3"/>
      </w:pPr>
      <w:r>
        <w:rPr>
          <w:rFonts w:ascii="楷体_GB2312" w:hAnsi="楷体_GB2312" w:eastAsia="楷体_GB2312"/>
          <w:b/>
          <w:sz w:val="32"/>
        </w:rPr>
        <w:t>（一）机关运行经费及公用经费支出情况</w:t>
      </w:r>
    </w:p>
    <w:p w14:paraId="59550DD3">
      <w:pPr>
        <w:spacing w:line="580" w:lineRule="exact"/>
        <w:ind w:firstLine="640"/>
        <w:jc w:val="both"/>
      </w:pPr>
      <w:r>
        <w:rPr>
          <w:rFonts w:ascii="仿宋_GB2312" w:hAnsi="仿宋_GB2312" w:eastAsia="仿宋_GB2312"/>
          <w:b w:val="0"/>
          <w:sz w:val="32"/>
        </w:rPr>
        <w:t>2024年度中共叶城县纪律检查委员会（行政单位和参照公务员法管理事业单位）机关运行经费支出161.13万元，比上年减少2.82万元，下降1.72%，主要原因是：严控经费支出，厉行节约，减少经费支出。</w:t>
      </w:r>
    </w:p>
    <w:p w14:paraId="5CBD573D">
      <w:pPr>
        <w:spacing w:line="640" w:lineRule="exact"/>
        <w:ind w:firstLine="640"/>
        <w:jc w:val="both"/>
        <w:outlineLvl w:val="3"/>
      </w:pPr>
      <w:r>
        <w:rPr>
          <w:rFonts w:ascii="楷体_GB2312" w:hAnsi="楷体_GB2312" w:eastAsia="楷体_GB2312"/>
          <w:b/>
          <w:sz w:val="32"/>
        </w:rPr>
        <w:t>（二）政府采购情况</w:t>
      </w:r>
    </w:p>
    <w:p w14:paraId="1C068716">
      <w:pPr>
        <w:spacing w:line="580" w:lineRule="exact"/>
        <w:ind w:firstLine="640"/>
        <w:jc w:val="both"/>
      </w:pPr>
      <w:r>
        <w:rPr>
          <w:rFonts w:ascii="仿宋_GB2312" w:hAnsi="仿宋_GB2312" w:eastAsia="仿宋_GB2312"/>
          <w:b w:val="0"/>
          <w:sz w:val="32"/>
        </w:rPr>
        <w:t>2024年度政府采购支出总额91.83万元，其中：政府采购货物支出70.08万元、政府采购工程支出6.66万元、政府采购服务支出15.09万元。</w:t>
      </w:r>
    </w:p>
    <w:p w14:paraId="7AC16F4A">
      <w:pPr>
        <w:spacing w:line="580" w:lineRule="exact"/>
        <w:ind w:firstLine="640"/>
        <w:jc w:val="both"/>
      </w:pPr>
      <w:r>
        <w:rPr>
          <w:rFonts w:ascii="仿宋_GB2312" w:hAnsi="仿宋_GB2312" w:eastAsia="仿宋_GB2312"/>
          <w:b w:val="0"/>
          <w:sz w:val="32"/>
        </w:rPr>
        <w:t>授予中小企业合同金额84.49万元，占政府采购支出总额的92.01%，其中：授予小微企业合同金额75.36万元，占政府采购支出总额的82.06%。</w:t>
      </w:r>
    </w:p>
    <w:p w14:paraId="4C14ED00">
      <w:pPr>
        <w:spacing w:line="640" w:lineRule="exact"/>
        <w:ind w:firstLine="640"/>
        <w:jc w:val="both"/>
        <w:outlineLvl w:val="3"/>
      </w:pPr>
      <w:r>
        <w:rPr>
          <w:rFonts w:ascii="楷体_GB2312" w:hAnsi="楷体_GB2312" w:eastAsia="楷体_GB2312"/>
          <w:b/>
          <w:sz w:val="32"/>
        </w:rPr>
        <w:t>（三）国有资产占用情况说明</w:t>
      </w:r>
    </w:p>
    <w:p w14:paraId="71FCEDAE">
      <w:pPr>
        <w:spacing w:line="580" w:lineRule="exact"/>
        <w:ind w:firstLine="640"/>
        <w:jc w:val="both"/>
      </w:pPr>
      <w:r>
        <w:rPr>
          <w:rFonts w:ascii="仿宋_GB2312" w:hAnsi="仿宋_GB2312" w:eastAsia="仿宋_GB2312"/>
          <w:b w:val="0"/>
          <w:sz w:val="32"/>
        </w:rPr>
        <w:t>截至2024年12月31日，房屋70.00平方米，价值58.29万元。车辆12辆，价值142.85万元，其中：副部（省）级及以上领导用车0辆、主要负责人用车0辆、机要通信用车0辆、应急保障用车0辆、执法执勤用车8辆、特种专业技术用车0辆、离退休干部服务用车0辆、其他用车4辆，其他用车主要是：一般公务用车和单位业务用车。单价100万元（含）以上设备（不含车辆）1台（套）。</w:t>
      </w:r>
    </w:p>
    <w:p w14:paraId="313A5DF1">
      <w:pPr>
        <w:spacing w:line="640" w:lineRule="exact"/>
        <w:ind w:firstLine="640"/>
        <w:jc w:val="both"/>
        <w:outlineLvl w:val="2"/>
      </w:pPr>
      <w:r>
        <w:rPr>
          <w:rFonts w:ascii="黑体" w:hAnsi="黑体" w:eastAsia="黑体"/>
          <w:sz w:val="32"/>
        </w:rPr>
        <w:t>十一、预算绩效的情况说明</w:t>
      </w:r>
    </w:p>
    <w:p w14:paraId="32A1486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3,145.46万元，实际执行总额3,145.46万元；预算绩效评价项目0个，全年预算数0.00万元，全年执行数0.00万元。预算绩效管理取得的成效：本单位本年无项目支出绩效自评表。发现的问题及原因：本单位本年无项目支出绩效自评表。下一步改进措施：本单位本年无项目支出绩效自评表。具体附整体支出绩效自评表。</w:t>
      </w:r>
    </w:p>
    <w:p w14:paraId="1FD7E4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2A2B8D">
        <w:tblPrEx>
          <w:tblCellMar>
            <w:top w:w="0" w:type="dxa"/>
            <w:left w:w="108" w:type="dxa"/>
            <w:bottom w:w="0" w:type="dxa"/>
            <w:right w:w="108" w:type="dxa"/>
          </w:tblCellMar>
        </w:tblPrEx>
        <w:tc>
          <w:tcPr>
            <w:tcW w:w="8847" w:type="dxa"/>
            <w:gridSpan w:val="9"/>
            <w:vAlign w:val="center"/>
          </w:tcPr>
          <w:p w14:paraId="77BC2A94">
            <w:pPr>
              <w:jc w:val="center"/>
            </w:pPr>
            <w:r>
              <w:rPr>
                <w:rFonts w:ascii="宋体" w:hAnsi="宋体" w:eastAsia="宋体"/>
                <w:sz w:val="24"/>
              </w:rPr>
              <w:t>单位整体支出绩效自评表</w:t>
            </w:r>
          </w:p>
        </w:tc>
      </w:tr>
      <w:tr w14:paraId="2D6104DF">
        <w:tblPrEx>
          <w:tblCellMar>
            <w:top w:w="0" w:type="dxa"/>
            <w:left w:w="108" w:type="dxa"/>
            <w:bottom w:w="0" w:type="dxa"/>
            <w:right w:w="108" w:type="dxa"/>
          </w:tblCellMar>
        </w:tblPrEx>
        <w:tc>
          <w:tcPr>
            <w:tcW w:w="8847" w:type="dxa"/>
            <w:gridSpan w:val="9"/>
            <w:vAlign w:val="center"/>
          </w:tcPr>
          <w:p w14:paraId="6D47B7D0">
            <w:pPr>
              <w:jc w:val="center"/>
            </w:pPr>
            <w:r>
              <w:rPr>
                <w:rFonts w:ascii="宋体" w:hAnsi="宋体" w:eastAsia="宋体"/>
                <w:sz w:val="24"/>
              </w:rPr>
              <w:t>（2024年度）</w:t>
            </w:r>
          </w:p>
        </w:tc>
      </w:tr>
      <w:tr w14:paraId="4EEBE3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87CF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D6CF7E">
            <w:pPr>
              <w:jc w:val="center"/>
            </w:pPr>
            <w:r>
              <w:rPr>
                <w:rFonts w:ascii="宋体" w:hAnsi="宋体" w:eastAsia="宋体"/>
                <w:sz w:val="16"/>
              </w:rPr>
              <w:t>中共叶城县纪律检查委员会</w:t>
            </w:r>
          </w:p>
        </w:tc>
      </w:tr>
      <w:tr w14:paraId="7831D9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6C59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8990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7DB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4F5E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9F93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E46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44B3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A7021">
            <w:pPr>
              <w:jc w:val="center"/>
            </w:pPr>
            <w:r>
              <w:rPr>
                <w:rFonts w:ascii="宋体" w:hAnsi="宋体" w:eastAsia="宋体"/>
                <w:sz w:val="16"/>
              </w:rPr>
              <w:t>得分</w:t>
            </w:r>
          </w:p>
        </w:tc>
      </w:tr>
      <w:tr w14:paraId="46BE6F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9B2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231C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C8201">
            <w:pPr>
              <w:jc w:val="center"/>
            </w:pPr>
            <w:r>
              <w:rPr>
                <w:rFonts w:ascii="宋体" w:hAnsi="宋体" w:eastAsia="宋体"/>
                <w:sz w:val="16"/>
              </w:rPr>
              <w:t>2,851.19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7056F">
            <w:pPr>
              <w:jc w:val="center"/>
            </w:pPr>
            <w:r>
              <w:rPr>
                <w:rFonts w:ascii="宋体" w:hAnsi="宋体" w:eastAsia="宋体"/>
                <w:sz w:val="16"/>
              </w:rPr>
              <w:t>3,145.46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D0662">
            <w:pPr>
              <w:jc w:val="center"/>
            </w:pPr>
            <w:r>
              <w:rPr>
                <w:rFonts w:ascii="宋体" w:hAnsi="宋体" w:eastAsia="宋体"/>
                <w:sz w:val="16"/>
              </w:rPr>
              <w:t>3,145.46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DEC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1D36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D1B72">
            <w:pPr>
              <w:jc w:val="center"/>
            </w:pPr>
            <w:r>
              <w:rPr>
                <w:rFonts w:ascii="宋体" w:hAnsi="宋体" w:eastAsia="宋体"/>
                <w:sz w:val="16"/>
              </w:rPr>
              <w:t>10</w:t>
            </w:r>
          </w:p>
        </w:tc>
      </w:tr>
      <w:tr w14:paraId="3D4691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B54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A9D9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4AC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BA7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E16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11A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440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22C80">
            <w:pPr>
              <w:jc w:val="center"/>
            </w:pPr>
            <w:r>
              <w:rPr>
                <w:rFonts w:ascii="宋体" w:hAnsi="宋体" w:eastAsia="宋体"/>
                <w:sz w:val="16"/>
              </w:rPr>
              <w:t>—</w:t>
            </w:r>
          </w:p>
        </w:tc>
      </w:tr>
      <w:tr w14:paraId="43819A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59C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B9CD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5AE62">
            <w:pPr>
              <w:jc w:val="center"/>
            </w:pPr>
            <w:r>
              <w:rPr>
                <w:rFonts w:ascii="宋体" w:hAnsi="宋体" w:eastAsia="宋体"/>
                <w:sz w:val="16"/>
              </w:rPr>
              <w:t>2,851.19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1294F">
            <w:pPr>
              <w:jc w:val="center"/>
            </w:pPr>
            <w:r>
              <w:rPr>
                <w:rFonts w:ascii="宋体" w:hAnsi="宋体" w:eastAsia="宋体"/>
                <w:sz w:val="16"/>
              </w:rPr>
              <w:t>3,145.46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53114">
            <w:pPr>
              <w:jc w:val="center"/>
            </w:pPr>
            <w:r>
              <w:rPr>
                <w:rFonts w:ascii="宋体" w:hAnsi="宋体" w:eastAsia="宋体"/>
                <w:sz w:val="16"/>
              </w:rPr>
              <w:t>3,145.46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BEE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3E55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5F2AD">
            <w:pPr>
              <w:jc w:val="center"/>
            </w:pPr>
            <w:r>
              <w:rPr>
                <w:rFonts w:ascii="宋体" w:hAnsi="宋体" w:eastAsia="宋体"/>
                <w:sz w:val="16"/>
              </w:rPr>
              <w:t>—</w:t>
            </w:r>
          </w:p>
        </w:tc>
      </w:tr>
      <w:tr w14:paraId="310F26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C20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F0AF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E87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A06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88E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384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7B19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1AFE8">
            <w:pPr>
              <w:jc w:val="center"/>
            </w:pPr>
            <w:r>
              <w:rPr>
                <w:rFonts w:ascii="宋体" w:hAnsi="宋体" w:eastAsia="宋体"/>
                <w:sz w:val="16"/>
              </w:rPr>
              <w:t>—</w:t>
            </w:r>
          </w:p>
        </w:tc>
      </w:tr>
      <w:tr w14:paraId="5933D9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3E6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BA50A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789C7C">
            <w:pPr>
              <w:jc w:val="center"/>
            </w:pPr>
            <w:r>
              <w:rPr>
                <w:rFonts w:ascii="宋体" w:hAnsi="宋体" w:eastAsia="宋体"/>
                <w:sz w:val="16"/>
              </w:rPr>
              <w:t>实际完成情况</w:t>
            </w:r>
          </w:p>
        </w:tc>
      </w:tr>
      <w:tr w14:paraId="5A7786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281C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6EEECF">
            <w:pPr>
              <w:jc w:val="both"/>
            </w:pPr>
            <w:r>
              <w:rPr>
                <w:rFonts w:ascii="宋体" w:hAnsi="宋体" w:eastAsia="宋体"/>
                <w:sz w:val="16"/>
              </w:rPr>
              <w:t>负责维护党的章程和其他</w:t>
            </w:r>
            <w:r>
              <w:rPr>
                <w:rFonts w:hint="eastAsia" w:ascii="宋体" w:hAnsi="宋体"/>
                <w:sz w:val="16"/>
                <w:lang w:eastAsia="zh-CN"/>
              </w:rPr>
              <w:t>党内法规</w:t>
            </w:r>
            <w:r>
              <w:rPr>
                <w:rFonts w:ascii="宋体" w:hAnsi="宋体" w:eastAsia="宋体"/>
                <w:sz w:val="16"/>
              </w:rPr>
              <w:t>、检查党的路线、方针、政策和决议的执行情况；协助党的委员会加强党风建设和组织协调反腐败工作的主要任务；受理处置党员群众举报，开展谈话提醒、约谈函询；按照有关规定、检查、处理党组织和党员</w:t>
            </w:r>
            <w:r>
              <w:rPr>
                <w:rFonts w:hint="eastAsia" w:ascii="宋体" w:hAnsi="宋体"/>
                <w:sz w:val="16"/>
                <w:lang w:eastAsia="zh-CN"/>
              </w:rPr>
              <w:t>违反</w:t>
            </w:r>
            <w:r>
              <w:rPr>
                <w:rFonts w:ascii="宋体" w:hAnsi="宋体" w:eastAsia="宋体"/>
                <w:sz w:val="16"/>
              </w:rPr>
              <w:t>党章和其他党内法规的案件，决定或者取消对这些案件中党员的处分；进行问责或者提出责任追究的建议。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410CF5">
            <w:pPr>
              <w:jc w:val="both"/>
            </w:pPr>
            <w:r>
              <w:rPr>
                <w:rFonts w:hint="eastAsia" w:ascii="宋体" w:hAnsi="宋体"/>
                <w:sz w:val="16"/>
                <w:lang w:eastAsia="zh-CN"/>
              </w:rPr>
              <w:t>截至</w:t>
            </w:r>
            <w:r>
              <w:rPr>
                <w:rFonts w:ascii="宋体" w:hAnsi="宋体" w:eastAsia="宋体"/>
                <w:sz w:val="16"/>
              </w:rPr>
              <w:t>2024年12月31日，常规巡视</w:t>
            </w:r>
            <w:r>
              <w:rPr>
                <w:rFonts w:hint="eastAsia" w:ascii="宋体" w:hAnsi="宋体"/>
                <w:sz w:val="16"/>
                <w:lang w:eastAsia="zh-CN"/>
              </w:rPr>
              <w:t>巡察</w:t>
            </w:r>
            <w:r>
              <w:rPr>
                <w:rFonts w:ascii="宋体" w:hAnsi="宋体" w:eastAsia="宋体"/>
                <w:sz w:val="16"/>
              </w:rPr>
              <w:t>单位已完成30个达到100%，侦查反馈案件已完成30个达到100%，纪律监察培训已完成3次，处理信访案件已完成20件，群众参与党纪监督率达到100%，已完成维护党的章程和其他</w:t>
            </w:r>
            <w:r>
              <w:rPr>
                <w:rFonts w:hint="eastAsia" w:ascii="宋体" w:hAnsi="宋体"/>
                <w:sz w:val="16"/>
                <w:lang w:eastAsia="zh-CN"/>
              </w:rPr>
              <w:t>党内法规</w:t>
            </w:r>
            <w:r>
              <w:rPr>
                <w:rFonts w:ascii="宋体" w:hAnsi="宋体" w:eastAsia="宋体"/>
                <w:sz w:val="16"/>
              </w:rPr>
              <w:t>、检查党的路线、方针、政策和决议的执行情况；协助党的委员会加强党风建设和组织协调反腐败工作的主要任务；受理处置党员群众举报，开展谈话提醒、约谈函询；按照有关规定、检查、处理党组织和党员</w:t>
            </w:r>
            <w:r>
              <w:rPr>
                <w:rFonts w:hint="eastAsia" w:ascii="宋体" w:hAnsi="宋体"/>
                <w:sz w:val="16"/>
                <w:lang w:eastAsia="zh-CN"/>
              </w:rPr>
              <w:t>违反</w:t>
            </w:r>
            <w:r>
              <w:rPr>
                <w:rFonts w:ascii="宋体" w:hAnsi="宋体" w:eastAsia="宋体"/>
                <w:sz w:val="16"/>
              </w:rPr>
              <w:t>党章和其他党内法规的案件，决定或者取消对这些案件中党员的处分；进行问责或者提出责任追究的建议。</w:t>
            </w:r>
          </w:p>
        </w:tc>
      </w:tr>
      <w:tr w14:paraId="309AC8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432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3157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05C9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F053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47F3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911C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8522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80D8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88C41">
            <w:pPr>
              <w:jc w:val="center"/>
            </w:pPr>
            <w:r>
              <w:rPr>
                <w:rFonts w:ascii="宋体" w:hAnsi="宋体" w:eastAsia="宋体"/>
                <w:sz w:val="16"/>
              </w:rPr>
              <w:t>得分</w:t>
            </w:r>
          </w:p>
        </w:tc>
      </w:tr>
      <w:tr w14:paraId="16DF92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3D69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B49C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69F3A">
            <w:pPr>
              <w:jc w:val="center"/>
            </w:pPr>
            <w:r>
              <w:rPr>
                <w:rFonts w:ascii="宋体" w:hAnsi="宋体" w:eastAsia="宋体"/>
                <w:sz w:val="16"/>
              </w:rPr>
              <w:t>常规巡视巡查单位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1E8DB">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F80B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093A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D1ED0">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B15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C69C8">
            <w:pPr>
              <w:jc w:val="center"/>
            </w:pPr>
            <w:r>
              <w:rPr>
                <w:rFonts w:ascii="宋体" w:hAnsi="宋体" w:eastAsia="宋体"/>
                <w:sz w:val="16"/>
              </w:rPr>
              <w:t>18</w:t>
            </w:r>
          </w:p>
        </w:tc>
      </w:tr>
      <w:tr w14:paraId="35665E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01F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3BA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3FA2E">
            <w:pPr>
              <w:jc w:val="center"/>
            </w:pPr>
            <w:r>
              <w:rPr>
                <w:rFonts w:ascii="宋体" w:hAnsi="宋体" w:eastAsia="宋体"/>
                <w:sz w:val="16"/>
              </w:rPr>
              <w:t>侦查反馈案件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AFDD9">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075A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BFBD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BF7DF">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137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93DA2">
            <w:pPr>
              <w:jc w:val="center"/>
            </w:pPr>
            <w:r>
              <w:rPr>
                <w:rFonts w:ascii="宋体" w:hAnsi="宋体" w:eastAsia="宋体"/>
                <w:sz w:val="16"/>
              </w:rPr>
              <w:t>18</w:t>
            </w:r>
          </w:p>
        </w:tc>
      </w:tr>
      <w:tr w14:paraId="1F892F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5E8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A98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C1EC1">
            <w:pPr>
              <w:jc w:val="center"/>
            </w:pPr>
            <w:r>
              <w:rPr>
                <w:rFonts w:ascii="宋体" w:hAnsi="宋体" w:eastAsia="宋体"/>
                <w:sz w:val="16"/>
              </w:rPr>
              <w:t>纪律监察培训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953D3">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CB91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41D2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EB331">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6D0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C1DA">
            <w:pPr>
              <w:jc w:val="center"/>
            </w:pPr>
            <w:r>
              <w:rPr>
                <w:rFonts w:ascii="宋体" w:hAnsi="宋体" w:eastAsia="宋体"/>
                <w:sz w:val="16"/>
              </w:rPr>
              <w:t>18</w:t>
            </w:r>
          </w:p>
        </w:tc>
      </w:tr>
      <w:tr w14:paraId="1B77AC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C6E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2FA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FC770">
            <w:pPr>
              <w:jc w:val="center"/>
            </w:pPr>
            <w:r>
              <w:rPr>
                <w:rFonts w:ascii="宋体" w:hAnsi="宋体" w:eastAsia="宋体"/>
                <w:sz w:val="16"/>
              </w:rPr>
              <w:t>处理信访案件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E2328">
            <w:pPr>
              <w:jc w:val="center"/>
            </w:pPr>
            <w:r>
              <w:rPr>
                <w:rFonts w:ascii="宋体" w:hAnsi="宋体" w:eastAsia="宋体"/>
                <w:sz w:val="16"/>
              </w:rPr>
              <w:t>=20件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DC5F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8EAC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0E4B1">
            <w:pPr>
              <w:jc w:val="center"/>
            </w:pPr>
            <w:r>
              <w:rPr>
                <w:rFonts w:ascii="宋体" w:hAnsi="宋体" w:eastAsia="宋体"/>
                <w:sz w:val="16"/>
              </w:rPr>
              <w:t>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FD2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591F9">
            <w:pPr>
              <w:jc w:val="center"/>
            </w:pPr>
            <w:r>
              <w:rPr>
                <w:rFonts w:ascii="宋体" w:hAnsi="宋体" w:eastAsia="宋体"/>
                <w:sz w:val="16"/>
              </w:rPr>
              <w:t>18</w:t>
            </w:r>
          </w:p>
        </w:tc>
      </w:tr>
      <w:tr w14:paraId="0950F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95B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8E2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A4EC7">
            <w:pPr>
              <w:jc w:val="center"/>
            </w:pPr>
            <w:r>
              <w:rPr>
                <w:rFonts w:ascii="宋体" w:hAnsi="宋体" w:eastAsia="宋体"/>
                <w:sz w:val="16"/>
              </w:rPr>
              <w:t>群众参与党纪监督率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AEBB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A947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7E3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0E19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AC0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1FE4">
            <w:pPr>
              <w:jc w:val="center"/>
            </w:pPr>
            <w:r>
              <w:rPr>
                <w:rFonts w:ascii="宋体" w:hAnsi="宋体" w:eastAsia="宋体"/>
                <w:sz w:val="16"/>
              </w:rPr>
              <w:t>18</w:t>
            </w:r>
          </w:p>
        </w:tc>
      </w:tr>
    </w:tbl>
    <w:p w14:paraId="08414013">
      <w:r>
        <w:br w:type="page"/>
      </w:r>
    </w:p>
    <w:p w14:paraId="15ED2DFD">
      <w:pPr>
        <w:spacing w:line="640" w:lineRule="exact"/>
        <w:ind w:firstLine="640"/>
        <w:jc w:val="both"/>
        <w:outlineLvl w:val="2"/>
      </w:pPr>
      <w:r>
        <w:rPr>
          <w:rFonts w:ascii="黑体" w:hAnsi="黑体" w:eastAsia="黑体"/>
          <w:sz w:val="32"/>
        </w:rPr>
        <w:t>十二、其他需说明的事项</w:t>
      </w:r>
    </w:p>
    <w:p w14:paraId="150205EB">
      <w:pPr>
        <w:spacing w:line="580" w:lineRule="exact"/>
        <w:ind w:firstLine="640"/>
        <w:jc w:val="both"/>
      </w:pPr>
      <w:r>
        <w:rPr>
          <w:rFonts w:ascii="仿宋_GB2312" w:hAnsi="仿宋_GB2312" w:eastAsia="仿宋_GB2312"/>
          <w:b w:val="0"/>
          <w:sz w:val="32"/>
        </w:rPr>
        <w:t>本单位无其他需说明的事项。</w:t>
      </w:r>
    </w:p>
    <w:p w14:paraId="00E5EDEC">
      <w:r>
        <w:br w:type="page"/>
      </w:r>
    </w:p>
    <w:p w14:paraId="605FA52B">
      <w:pPr>
        <w:spacing w:line="240" w:lineRule="auto"/>
        <w:jc w:val="center"/>
        <w:outlineLvl w:val="1"/>
      </w:pPr>
      <w:r>
        <w:rPr>
          <w:rFonts w:ascii="黑体" w:hAnsi="黑体" w:eastAsia="黑体"/>
          <w:sz w:val="32"/>
        </w:rPr>
        <w:t>第三部分 专业名词解释</w:t>
      </w:r>
    </w:p>
    <w:p w14:paraId="2DF33F5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46BDB4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0C47C2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AAAE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02291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DCEE82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4E2F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6D53FA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F39E2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EB9EF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A4B9A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0A3BD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7D2B5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CDE72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CF73203">
      <w:r>
        <w:br w:type="page"/>
      </w:r>
    </w:p>
    <w:p w14:paraId="34F84F20">
      <w:pPr>
        <w:spacing w:line="240" w:lineRule="auto"/>
        <w:jc w:val="center"/>
        <w:outlineLvl w:val="1"/>
      </w:pPr>
      <w:r>
        <w:rPr>
          <w:rFonts w:ascii="黑体" w:hAnsi="黑体" w:eastAsia="黑体"/>
          <w:sz w:val="32"/>
        </w:rPr>
        <w:t>第四部分 部门决算报表（见附表）</w:t>
      </w:r>
    </w:p>
    <w:p w14:paraId="3FC76FDF">
      <w:pPr>
        <w:spacing w:line="240" w:lineRule="auto"/>
        <w:ind w:firstLine="640"/>
        <w:jc w:val="both"/>
      </w:pPr>
      <w:r>
        <w:rPr>
          <w:rFonts w:ascii="仿宋_GB2312" w:hAnsi="仿宋_GB2312" w:eastAsia="仿宋_GB2312"/>
          <w:b w:val="0"/>
          <w:sz w:val="32"/>
        </w:rPr>
        <w:t>一、《收入支出决算总表》</w:t>
      </w:r>
    </w:p>
    <w:p w14:paraId="4B03FB91">
      <w:pPr>
        <w:spacing w:line="240" w:lineRule="auto"/>
        <w:ind w:firstLine="640"/>
        <w:jc w:val="both"/>
      </w:pPr>
      <w:r>
        <w:rPr>
          <w:rFonts w:ascii="仿宋_GB2312" w:hAnsi="仿宋_GB2312" w:eastAsia="仿宋_GB2312"/>
          <w:b w:val="0"/>
          <w:sz w:val="32"/>
        </w:rPr>
        <w:t>二、《收入决算表》</w:t>
      </w:r>
    </w:p>
    <w:p w14:paraId="3A1DC5DC">
      <w:pPr>
        <w:spacing w:line="240" w:lineRule="auto"/>
        <w:ind w:firstLine="640"/>
        <w:jc w:val="both"/>
      </w:pPr>
      <w:r>
        <w:rPr>
          <w:rFonts w:ascii="仿宋_GB2312" w:hAnsi="仿宋_GB2312" w:eastAsia="仿宋_GB2312"/>
          <w:b w:val="0"/>
          <w:sz w:val="32"/>
        </w:rPr>
        <w:t>三、《支出决算表》</w:t>
      </w:r>
    </w:p>
    <w:p w14:paraId="53317E8E">
      <w:pPr>
        <w:spacing w:line="240" w:lineRule="auto"/>
        <w:ind w:firstLine="640"/>
        <w:jc w:val="both"/>
      </w:pPr>
      <w:r>
        <w:rPr>
          <w:rFonts w:ascii="仿宋_GB2312" w:hAnsi="仿宋_GB2312" w:eastAsia="仿宋_GB2312"/>
          <w:b w:val="0"/>
          <w:sz w:val="32"/>
        </w:rPr>
        <w:t>四、《财政拨款收入支出决算总表》</w:t>
      </w:r>
    </w:p>
    <w:p w14:paraId="49E5C639">
      <w:pPr>
        <w:spacing w:line="240" w:lineRule="auto"/>
        <w:ind w:firstLine="640"/>
        <w:jc w:val="both"/>
      </w:pPr>
      <w:r>
        <w:rPr>
          <w:rFonts w:ascii="仿宋_GB2312" w:hAnsi="仿宋_GB2312" w:eastAsia="仿宋_GB2312"/>
          <w:b w:val="0"/>
          <w:sz w:val="32"/>
        </w:rPr>
        <w:t>五、《一般公共预算财政拨款支出决算表》</w:t>
      </w:r>
    </w:p>
    <w:p w14:paraId="5C50D075">
      <w:pPr>
        <w:spacing w:line="240" w:lineRule="auto"/>
        <w:ind w:firstLine="640"/>
        <w:jc w:val="both"/>
      </w:pPr>
      <w:r>
        <w:rPr>
          <w:rFonts w:ascii="仿宋_GB2312" w:hAnsi="仿宋_GB2312" w:eastAsia="仿宋_GB2312"/>
          <w:b w:val="0"/>
          <w:sz w:val="32"/>
        </w:rPr>
        <w:t>六、《一般公共预算财政拨款基本支出决算表》</w:t>
      </w:r>
    </w:p>
    <w:p w14:paraId="41BEFA7F">
      <w:pPr>
        <w:spacing w:line="240" w:lineRule="auto"/>
        <w:ind w:firstLine="640"/>
        <w:jc w:val="both"/>
      </w:pPr>
      <w:r>
        <w:rPr>
          <w:rFonts w:ascii="仿宋_GB2312" w:hAnsi="仿宋_GB2312" w:eastAsia="仿宋_GB2312"/>
          <w:b w:val="0"/>
          <w:sz w:val="32"/>
        </w:rPr>
        <w:t>七、《政府性基金预算财政拨款收入支出决算表》</w:t>
      </w:r>
    </w:p>
    <w:p w14:paraId="1983C7E7">
      <w:pPr>
        <w:spacing w:line="240" w:lineRule="auto"/>
        <w:ind w:firstLine="640"/>
        <w:jc w:val="both"/>
      </w:pPr>
      <w:r>
        <w:rPr>
          <w:rFonts w:ascii="仿宋_GB2312" w:hAnsi="仿宋_GB2312" w:eastAsia="仿宋_GB2312"/>
          <w:b w:val="0"/>
          <w:sz w:val="32"/>
        </w:rPr>
        <w:t>八、《国有资本经营预算财政拨款收入支出决算表》</w:t>
      </w:r>
    </w:p>
    <w:p w14:paraId="1A267901">
      <w:pPr>
        <w:spacing w:line="240" w:lineRule="auto"/>
        <w:ind w:firstLine="640"/>
        <w:jc w:val="both"/>
      </w:pPr>
      <w:r>
        <w:rPr>
          <w:rFonts w:ascii="仿宋_GB2312" w:hAnsi="仿宋_GB2312" w:eastAsia="仿宋_GB2312"/>
          <w:b w:val="0"/>
          <w:sz w:val="32"/>
        </w:rPr>
        <w:t>九、《财政拨款“三公”经费支出决算表》</w:t>
      </w:r>
    </w:p>
    <w:p w14:paraId="68716A7C">
      <w:pPr>
        <w:spacing w:line="240" w:lineRule="auto"/>
        <w:ind w:firstLine="640"/>
        <w:jc w:val="both"/>
      </w:pPr>
    </w:p>
    <w:p w14:paraId="69EE768A">
      <w:pPr>
        <w:spacing w:line="240" w:lineRule="auto"/>
        <w:ind w:firstLine="640"/>
        <w:jc w:val="both"/>
      </w:pPr>
    </w:p>
    <w:p w14:paraId="7E650884">
      <w:pPr>
        <w:spacing w:line="240" w:lineRule="auto"/>
        <w:ind w:firstLine="640"/>
        <w:jc w:val="both"/>
      </w:pPr>
    </w:p>
    <w:p w14:paraId="30AC853B">
      <w:pPr>
        <w:spacing w:line="240" w:lineRule="auto"/>
        <w:ind w:firstLine="640"/>
        <w:jc w:val="both"/>
      </w:pPr>
    </w:p>
    <w:p w14:paraId="1B61E39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6117BB-9066-495B-A880-56783A27CD3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58074CF-D44F-4099-B801-CD59D8C78E5F}"/>
  </w:font>
  <w:font w:name="仿宋_GB2312">
    <w:panose1 w:val="02010609030101010101"/>
    <w:charset w:val="86"/>
    <w:family w:val="modern"/>
    <w:pitch w:val="default"/>
    <w:sig w:usb0="00000001" w:usb1="080E0000" w:usb2="00000000" w:usb3="00000000" w:csb0="00040000" w:csb1="00000000"/>
    <w:embedRegular r:id="rId3" w:fontKey="{0CFAB36C-5303-4063-A49C-94387DC9535D}"/>
  </w:font>
  <w:font w:name="楷体_GB2312">
    <w:panose1 w:val="02010609030101010101"/>
    <w:charset w:val="86"/>
    <w:family w:val="auto"/>
    <w:pitch w:val="default"/>
    <w:sig w:usb0="00000001" w:usb1="080E0000" w:usb2="00000000" w:usb3="00000000" w:csb0="00040000" w:csb1="00000000"/>
    <w:embedRegular r:id="rId4" w:fontKey="{D11F6209-5C41-4FB4-BF6C-48A26E81329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531A8F"/>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ED6274"/>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6066</Words>
  <Characters>6923</Characters>
  <Lines>0</Lines>
  <Paragraphs>0</Paragraphs>
  <TotalTime>5</TotalTime>
  <ScaleCrop>false</ScaleCrop>
  <LinksUpToDate>false</LinksUpToDate>
  <CharactersWithSpaces>6933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2025-09-29T07:49:29Z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