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中国人民政治协商会议叶城县委员会办公室2024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EEB622">
      <w:r>
        <w:br w:type="page"/>
      </w:r>
    </w:p>
    <w:p w14:paraId="38A01B1B">
      <w:pPr>
        <w:spacing w:line="640" w:lineRule="exact"/>
        <w:jc w:val="center"/>
        <w:outlineLvl w:val="1"/>
      </w:pPr>
      <w:r>
        <w:rPr>
          <w:rFonts w:ascii="黑体" w:hAnsi="黑体" w:eastAsia="黑体"/>
          <w:sz w:val="32"/>
        </w:rPr>
        <w:t>第一部分 单位概况</w:t>
      </w:r>
    </w:p>
    <w:p w14:paraId="36435267">
      <w:pPr>
        <w:spacing w:line="640" w:lineRule="exact"/>
        <w:ind w:firstLine="640"/>
        <w:jc w:val="both"/>
        <w:outlineLvl w:val="2"/>
      </w:pPr>
      <w:r>
        <w:rPr>
          <w:rFonts w:ascii="黑体" w:hAnsi="黑体" w:eastAsia="黑体"/>
          <w:sz w:val="32"/>
        </w:rPr>
        <w:t>一、主要职能</w:t>
      </w:r>
    </w:p>
    <w:p w14:paraId="38F7912E">
      <w:pPr>
        <w:spacing w:line="580" w:lineRule="exact"/>
        <w:ind w:firstLine="640"/>
        <w:jc w:val="both"/>
      </w:pPr>
      <w:r>
        <w:rPr>
          <w:rFonts w:ascii="仿宋_GB2312" w:hAnsi="仿宋_GB2312" w:eastAsia="仿宋_GB2312"/>
          <w:sz w:val="32"/>
        </w:rPr>
        <w:t>（1）政协办公</w:t>
      </w:r>
      <w:r>
        <w:rPr>
          <w:rFonts w:hint="eastAsia" w:ascii="仿宋_GB2312" w:hAnsi="仿宋_GB2312" w:eastAsia="仿宋_GB2312"/>
          <w:sz w:val="32"/>
          <w:lang w:eastAsia="zh-CN"/>
        </w:rPr>
        <w:t>室的</w:t>
      </w:r>
      <w:r>
        <w:rPr>
          <w:rFonts w:ascii="仿宋_GB2312" w:hAnsi="仿宋_GB2312" w:eastAsia="仿宋_GB2312"/>
          <w:sz w:val="32"/>
        </w:rPr>
        <w:t>主要工作职能：承办县政协党组、主席办公会、常委会决定的事项；负责起草政协党组、主席办公会、常委会相关文件、请示、报告，负责编发县政协办公室文件和简报；统筹协调各委室工作，负责协调处理上级政协、县委、县政府、人大及相关部门的日常联系工作。负责政协机关日常行政、事务、人事、后勤管理和接待工作；承办政协全体会议、</w:t>
      </w:r>
      <w:r>
        <w:rPr>
          <w:rFonts w:hint="eastAsia" w:ascii="仿宋_GB2312" w:hAnsi="仿宋_GB2312" w:eastAsia="仿宋_GB2312"/>
          <w:sz w:val="32"/>
          <w:lang w:eastAsia="zh-CN"/>
        </w:rPr>
        <w:t>常委会会议</w:t>
      </w:r>
      <w:r>
        <w:rPr>
          <w:rFonts w:ascii="仿宋_GB2312" w:hAnsi="仿宋_GB2312" w:eastAsia="仿宋_GB2312"/>
          <w:sz w:val="32"/>
        </w:rPr>
        <w:t>、主席会议等相关活动；负责政协有关文件、资料的收集、整理、归档和保密工作；负责组织政协党建、精神文明建设、工青妇、老干部工作和来信来访接待；抓好政协机关干部学习教育工作；当好领导参谋助手，做好服务保障工作；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0CDCE1CA">
      <w:pPr>
        <w:spacing w:line="580" w:lineRule="exact"/>
        <w:ind w:firstLine="640"/>
        <w:jc w:val="both"/>
      </w:pPr>
      <w:r>
        <w:rPr>
          <w:rFonts w:ascii="仿宋_GB2312" w:hAnsi="仿宋_GB2312" w:eastAsia="仿宋_GB2312"/>
          <w:sz w:val="32"/>
        </w:rPr>
        <w:t>（2）提案委员会工作职能：制定本届提案工作方案和委员会年度工作计划并组织实施；向县政协全体会议、</w:t>
      </w:r>
      <w:r>
        <w:rPr>
          <w:rFonts w:hint="eastAsia" w:ascii="仿宋_GB2312" w:hAnsi="仿宋_GB2312" w:eastAsia="仿宋_GB2312"/>
          <w:sz w:val="32"/>
          <w:lang w:eastAsia="zh-CN"/>
        </w:rPr>
        <w:t>常委会会议</w:t>
      </w:r>
      <w:r>
        <w:rPr>
          <w:rFonts w:ascii="仿宋_GB2312" w:hAnsi="仿宋_GB2312" w:eastAsia="仿宋_GB2312"/>
          <w:sz w:val="32"/>
        </w:rPr>
        <w:t>和主席会议报告工作；负责委员提案的征集、审查、汇总、立案等工作，起草提案工作报告和提案审查报告；加强与县委办、政府办和提案承办单位的联系，做好委员提案的交办、督办和提案办理情况的反馈工作；负责优秀提案和先进承办单位提名表彰工作；加强与地区政协和兄弟县市政协提案委员会的联系，互相沟通情况，交流经验；加强与政协委员、政协其他专委会、人民团体、各界别委员的联系。加强同承办单位的相互沟通、交流；组织收集整理社情民意和各界人士的意见、建议，积极开展学习、调研、视察等活动；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22E700D9">
      <w:pPr>
        <w:spacing w:line="580" w:lineRule="exact"/>
        <w:ind w:firstLine="640"/>
        <w:jc w:val="both"/>
      </w:pPr>
      <w:r>
        <w:rPr>
          <w:rFonts w:ascii="仿宋_GB2312" w:hAnsi="仿宋_GB2312" w:eastAsia="仿宋_GB2312"/>
          <w:sz w:val="32"/>
        </w:rPr>
        <w:t>（3）经科教文卫委员会主要工作职能：学习宣传贯彻党和国家的基本路线和有关方针、政策，推动经科教文卫界别的委员参政议政；负责</w:t>
      </w:r>
      <w:r>
        <w:rPr>
          <w:rFonts w:hint="eastAsia" w:ascii="仿宋_GB2312" w:hAnsi="仿宋_GB2312" w:eastAsia="仿宋_GB2312"/>
          <w:sz w:val="32"/>
          <w:lang w:eastAsia="zh-CN"/>
        </w:rPr>
        <w:t>制定</w:t>
      </w:r>
      <w:r>
        <w:rPr>
          <w:rFonts w:ascii="仿宋_GB2312" w:hAnsi="仿宋_GB2312" w:eastAsia="仿宋_GB2312"/>
          <w:sz w:val="32"/>
        </w:rPr>
        <w:t>委员会年度工作计划并组织实施，向政协</w:t>
      </w:r>
      <w:r>
        <w:rPr>
          <w:rFonts w:hint="eastAsia" w:ascii="仿宋_GB2312" w:hAnsi="仿宋_GB2312" w:eastAsia="仿宋_GB2312"/>
          <w:sz w:val="32"/>
          <w:lang w:eastAsia="zh-CN"/>
        </w:rPr>
        <w:t>常委会会议</w:t>
      </w:r>
      <w:r>
        <w:rPr>
          <w:rFonts w:ascii="仿宋_GB2312" w:hAnsi="仿宋_GB2312" w:eastAsia="仿宋_GB2312"/>
          <w:sz w:val="32"/>
        </w:rPr>
        <w:t>和主席会议报告工作；负责就县域城市经济、农业农村经济、人力资源、科学技术教育、文化、体育、卫生、环境工作等方面的重要问题组织委员开展专题调研和视察，收集、反映委员的意见和建议；组织委员撰写提案、反映社情民意信息；加强与有关部门的对口联系，围绕加快发展经科教文卫事业、开展各项协商、资政、交流和交往活动；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7C598EED">
      <w:pPr>
        <w:spacing w:line="580" w:lineRule="exact"/>
        <w:ind w:firstLine="640"/>
        <w:jc w:val="both"/>
      </w:pPr>
      <w:r>
        <w:rPr>
          <w:rFonts w:ascii="仿宋_GB2312" w:hAnsi="仿宋_GB2312" w:eastAsia="仿宋_GB2312"/>
          <w:sz w:val="32"/>
        </w:rPr>
        <w:t>（4）法治委员会主要职能：学习宣传贯彻国家宪法和各项法律、法规工作的方针、政策，帮助委员了解法律等工作和法治建设情况；制定委员会年度工作计划并组织实施，向政协</w:t>
      </w:r>
      <w:r>
        <w:rPr>
          <w:rFonts w:hint="eastAsia" w:ascii="仿宋_GB2312" w:hAnsi="仿宋_GB2312" w:eastAsia="仿宋_GB2312"/>
          <w:sz w:val="32"/>
          <w:lang w:eastAsia="zh-CN"/>
        </w:rPr>
        <w:t>常委会会议</w:t>
      </w:r>
      <w:r>
        <w:rPr>
          <w:rFonts w:ascii="仿宋_GB2312" w:hAnsi="仿宋_GB2312" w:eastAsia="仿宋_GB2312"/>
          <w:sz w:val="32"/>
        </w:rPr>
        <w:t>和主席会议报告工作；组织本委委员和联系相关界别委员、各界代表人士，围绕有关法治方面的重大问题，开展座谈、调研和交流等活动，并提出意见和建议；密切联系代表人士，听取和反映他们的意见和建议，及时收集上报社情民意；加强与县统战、政法、公检法司部门的联系，发挥法治、侨联界人士在反对分裂、维护祖国统一、深化“五个认同”等方面的积极作用；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委员联络室职能：负责委员联络、管理、服务工作；掌握委员工作变动情况，协助做好届中委员调整工作；组织推动委员联络组活动，编制活动简报；负责搞好专题调研、社情民意收集，协助完成调研报告起草工作；组织协调县政协委员学习、教育、培训、调研、视察等工作；负责政协委员来信来访的接待受理工作；负责县政协委员履职信息档案的建立和管理工作；负责优秀政协委员的评比、推荐工作；负责县政协委员主要活动的组织工作；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53E515CE">
      <w:pPr>
        <w:spacing w:line="580" w:lineRule="exact"/>
        <w:ind w:firstLine="640"/>
        <w:jc w:val="both"/>
      </w:pPr>
      <w:r>
        <w:rPr>
          <w:rFonts w:ascii="仿宋_GB2312" w:hAnsi="仿宋_GB2312" w:eastAsia="仿宋_GB2312"/>
          <w:sz w:val="32"/>
        </w:rPr>
        <w:t>（5）宣传学习和文史委员会主要职能：负责组织、推动全体委员的宣传学习培训工作，组织委员学习</w:t>
      </w:r>
      <w:r>
        <w:rPr>
          <w:rFonts w:hint="eastAsia" w:ascii="仿宋_GB2312" w:hAnsi="仿宋_GB2312" w:eastAsia="仿宋_GB2312"/>
          <w:sz w:val="32"/>
          <w:lang w:eastAsia="zh-CN"/>
        </w:rPr>
        <w:t>习近平新时代中国特色社会主义思想</w:t>
      </w:r>
      <w:r>
        <w:rPr>
          <w:rFonts w:ascii="仿宋_GB2312" w:hAnsi="仿宋_GB2312" w:eastAsia="仿宋_GB2312"/>
          <w:sz w:val="32"/>
        </w:rPr>
        <w:t>；学习党的路线、方针、政策；学习习近平总书记关于加强和改进人民政协工作的重要讲话精神；学习统战理论和人民政协理论；学习时事，提高委员履职能力和水平。负责制定委员会年度计划并组织实施，向政协</w:t>
      </w:r>
      <w:r>
        <w:rPr>
          <w:rFonts w:hint="eastAsia" w:ascii="仿宋_GB2312" w:hAnsi="仿宋_GB2312" w:eastAsia="仿宋_GB2312"/>
          <w:sz w:val="32"/>
          <w:lang w:eastAsia="zh-CN"/>
        </w:rPr>
        <w:t>常委会会议</w:t>
      </w:r>
      <w:r>
        <w:rPr>
          <w:rFonts w:ascii="仿宋_GB2312" w:hAnsi="仿宋_GB2312" w:eastAsia="仿宋_GB2312"/>
          <w:sz w:val="32"/>
        </w:rPr>
        <w:t>和主席会议报告工作。组织全体委员在各自界别群体中深入宣传党的各项政策，加强思想引领，广泛凝聚共识，不断巩固共同思想基础。负责有关文史资料的征集、整理、研究、编撰和出版工作。组织本委委员撰写提案，反映社情民意信息，开展座谈、调研、视察、考察等活动及情况通报，形成意见和建议，进行协商。组织委员与有关部门联合开展学术交流、文化交往和理论政策研究。完成县政协常委会和主席会议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44E67865">
      <w:pPr>
        <w:spacing w:line="640" w:lineRule="exact"/>
        <w:ind w:firstLine="640"/>
        <w:jc w:val="both"/>
        <w:outlineLvl w:val="2"/>
      </w:pPr>
      <w:r>
        <w:rPr>
          <w:rFonts w:ascii="黑体" w:hAnsi="黑体" w:eastAsia="黑体"/>
          <w:sz w:val="32"/>
        </w:rPr>
        <w:t>二、机构设置及人员情况</w:t>
      </w:r>
    </w:p>
    <w:p w14:paraId="6514E4ED">
      <w:pPr>
        <w:spacing w:line="580" w:lineRule="exact"/>
        <w:ind w:firstLine="640"/>
        <w:jc w:val="both"/>
      </w:pPr>
      <w:r>
        <w:rPr>
          <w:rFonts w:ascii="仿宋_GB2312" w:hAnsi="仿宋_GB2312" w:eastAsia="仿宋_GB2312"/>
          <w:sz w:val="32"/>
        </w:rPr>
        <w:t>中国人民政治协商会议叶城县委员会办公室2024年度，实有人数44人，其中：在职人员21人，增加5人；离休人员0人，增加0人；退休人员23人,增加2人。</w:t>
      </w:r>
    </w:p>
    <w:p w14:paraId="0F35ADDE">
      <w:pPr>
        <w:spacing w:line="580" w:lineRule="exact"/>
        <w:ind w:firstLine="640"/>
        <w:jc w:val="both"/>
      </w:pPr>
      <w:r>
        <w:rPr>
          <w:rFonts w:ascii="仿宋_GB2312" w:hAnsi="仿宋_GB2312" w:eastAsia="仿宋_GB2312"/>
          <w:sz w:val="32"/>
        </w:rPr>
        <w:t>中国人民政治协商会议叶城县委员会办公室无下属预算单位，下设4个科室，分别是：经科教文卫委员会、提案委员会、办公室、宣传学习和文史委员会。</w:t>
      </w:r>
    </w:p>
    <w:p w14:paraId="17DFBAAE">
      <w:r>
        <w:br w:type="page"/>
      </w:r>
    </w:p>
    <w:p w14:paraId="36D9274B">
      <w:pPr>
        <w:spacing w:line="240" w:lineRule="auto"/>
        <w:jc w:val="center"/>
        <w:outlineLvl w:val="1"/>
      </w:pPr>
      <w:r>
        <w:rPr>
          <w:rFonts w:ascii="黑体" w:hAnsi="黑体" w:eastAsia="黑体"/>
          <w:sz w:val="32"/>
        </w:rPr>
        <w:t>第二部分 部门决算情况说明</w:t>
      </w:r>
    </w:p>
    <w:p w14:paraId="163C9FB2">
      <w:pPr>
        <w:spacing w:line="640" w:lineRule="exact"/>
        <w:ind w:firstLine="640"/>
        <w:jc w:val="both"/>
        <w:outlineLvl w:val="2"/>
      </w:pPr>
      <w:r>
        <w:rPr>
          <w:rFonts w:ascii="黑体" w:hAnsi="黑体" w:eastAsia="黑体"/>
          <w:sz w:val="32"/>
        </w:rPr>
        <w:t>一、收入支出决算总体情况说明</w:t>
      </w:r>
    </w:p>
    <w:p w14:paraId="7D44DC76">
      <w:pPr>
        <w:spacing w:line="580" w:lineRule="exact"/>
        <w:ind w:firstLine="640"/>
        <w:jc w:val="both"/>
      </w:pPr>
      <w:r>
        <w:rPr>
          <w:rFonts w:ascii="仿宋_GB2312" w:hAnsi="仿宋_GB2312" w:eastAsia="仿宋_GB2312"/>
          <w:b/>
          <w:sz w:val="32"/>
        </w:rPr>
        <w:t>2024年度收入总计529.45万元，</w:t>
      </w:r>
      <w:r>
        <w:rPr>
          <w:rFonts w:ascii="仿宋_GB2312" w:hAnsi="仿宋_GB2312" w:eastAsia="仿宋_GB2312"/>
          <w:b w:val="0"/>
          <w:sz w:val="32"/>
        </w:rPr>
        <w:t>其中：本年收入合计529.45万元，使用非财政拨款结余（含专用结余）0.00万元，年初结转和结余0.00万元。</w:t>
      </w:r>
    </w:p>
    <w:p w14:paraId="2C379AAD">
      <w:pPr>
        <w:spacing w:line="580" w:lineRule="exact"/>
        <w:ind w:firstLine="640"/>
        <w:jc w:val="both"/>
      </w:pPr>
      <w:r>
        <w:rPr>
          <w:rFonts w:ascii="仿宋_GB2312" w:hAnsi="仿宋_GB2312" w:eastAsia="仿宋_GB2312"/>
          <w:b/>
          <w:sz w:val="32"/>
        </w:rPr>
        <w:t>2024年度支出总计529.45万元，</w:t>
      </w:r>
      <w:r>
        <w:rPr>
          <w:rFonts w:ascii="仿宋_GB2312" w:hAnsi="仿宋_GB2312" w:eastAsia="仿宋_GB2312"/>
          <w:b w:val="0"/>
          <w:sz w:val="32"/>
        </w:rPr>
        <w:t>其中：本年支出合计529.45万元，结余分配0.00万元，年末结转和结余0.00万元。</w:t>
      </w:r>
    </w:p>
    <w:p w14:paraId="64BE14FA">
      <w:pPr>
        <w:spacing w:line="580" w:lineRule="exact"/>
        <w:ind w:firstLine="640"/>
        <w:jc w:val="both"/>
      </w:pPr>
      <w:r>
        <w:rPr>
          <w:rFonts w:ascii="仿宋_GB2312" w:hAnsi="仿宋_GB2312" w:eastAsia="仿宋_GB2312"/>
          <w:b w:val="0"/>
          <w:sz w:val="32"/>
        </w:rPr>
        <w:t>收入支出总体与上年相比，增加25.22万元，增长5.00%，主要原因是：</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本年在职人员工资调增，社保、公积金基数调增，人员经费增加。</w:t>
      </w:r>
    </w:p>
    <w:p w14:paraId="72E77469">
      <w:pPr>
        <w:spacing w:line="640" w:lineRule="exact"/>
        <w:ind w:firstLine="640"/>
        <w:jc w:val="both"/>
        <w:outlineLvl w:val="2"/>
      </w:pPr>
      <w:r>
        <w:rPr>
          <w:rFonts w:ascii="黑体" w:hAnsi="黑体" w:eastAsia="黑体"/>
          <w:sz w:val="32"/>
        </w:rPr>
        <w:t>二、收入决算情况说明</w:t>
      </w:r>
    </w:p>
    <w:p w14:paraId="61688EE9">
      <w:pPr>
        <w:spacing w:line="580" w:lineRule="exact"/>
        <w:ind w:firstLine="640"/>
        <w:jc w:val="both"/>
      </w:pPr>
      <w:r>
        <w:rPr>
          <w:rFonts w:ascii="仿宋_GB2312" w:hAnsi="仿宋_GB2312" w:eastAsia="仿宋_GB2312"/>
          <w:b/>
          <w:sz w:val="32"/>
        </w:rPr>
        <w:t>本年收入529.45万元，</w:t>
      </w:r>
      <w:r>
        <w:rPr>
          <w:rFonts w:ascii="仿宋_GB2312" w:hAnsi="仿宋_GB2312" w:eastAsia="仿宋_GB2312"/>
          <w:b w:val="0"/>
          <w:sz w:val="32"/>
        </w:rPr>
        <w:t>其中：财政拨款收入529.45万元，占100.00%；上级补助收入0.00万元，占0.00%；事业收入0.00万元，占0.00%；经营收入0.00万元，占0.00%；附属单位上缴收入0.00万元，占0.00%；其他收入0.00万元，占0.00%。</w:t>
      </w:r>
    </w:p>
    <w:p w14:paraId="7BF91C6C">
      <w:pPr>
        <w:spacing w:line="640" w:lineRule="exact"/>
        <w:ind w:firstLine="640"/>
        <w:jc w:val="both"/>
        <w:outlineLvl w:val="2"/>
      </w:pPr>
      <w:r>
        <w:rPr>
          <w:rFonts w:ascii="黑体" w:hAnsi="黑体" w:eastAsia="黑体"/>
          <w:sz w:val="32"/>
        </w:rPr>
        <w:t>三、支出决算情况说明</w:t>
      </w:r>
    </w:p>
    <w:p w14:paraId="4E6999D8">
      <w:pPr>
        <w:spacing w:line="580" w:lineRule="exact"/>
        <w:ind w:firstLine="640"/>
        <w:jc w:val="both"/>
      </w:pPr>
      <w:r>
        <w:rPr>
          <w:rFonts w:ascii="仿宋_GB2312" w:hAnsi="仿宋_GB2312" w:eastAsia="仿宋_GB2312"/>
          <w:b/>
          <w:sz w:val="32"/>
        </w:rPr>
        <w:t>本年支出529.45万元，</w:t>
      </w:r>
      <w:r>
        <w:rPr>
          <w:rFonts w:ascii="仿宋_GB2312" w:hAnsi="仿宋_GB2312" w:eastAsia="仿宋_GB2312"/>
          <w:b w:val="0"/>
          <w:sz w:val="32"/>
        </w:rPr>
        <w:t>其中：基本支出492.19万元，占92.96%；项目支出37.26万元，占7.04%；上缴上级支出0.00万元，占0.00%；经营支出0.00万元，占0.00%；对附属单位补助支出0.00万元，占0.00%。</w:t>
      </w:r>
    </w:p>
    <w:p w14:paraId="6A0F0B97">
      <w:pPr>
        <w:spacing w:line="640" w:lineRule="exact"/>
        <w:ind w:firstLine="640"/>
        <w:jc w:val="both"/>
        <w:outlineLvl w:val="2"/>
      </w:pPr>
      <w:r>
        <w:rPr>
          <w:rFonts w:ascii="黑体" w:hAnsi="黑体" w:eastAsia="黑体"/>
          <w:sz w:val="32"/>
        </w:rPr>
        <w:t>四、财政拨款收入支出决算总体情况说明</w:t>
      </w:r>
    </w:p>
    <w:p w14:paraId="3F2D3702">
      <w:pPr>
        <w:spacing w:line="580" w:lineRule="exact"/>
        <w:ind w:firstLine="640"/>
        <w:jc w:val="both"/>
      </w:pPr>
      <w:r>
        <w:rPr>
          <w:rFonts w:ascii="仿宋_GB2312" w:hAnsi="仿宋_GB2312" w:eastAsia="仿宋_GB2312"/>
          <w:b/>
          <w:sz w:val="32"/>
        </w:rPr>
        <w:t>2024年度财政拨款收入总计529.45万元，</w:t>
      </w:r>
      <w:r>
        <w:rPr>
          <w:rFonts w:ascii="仿宋_GB2312" w:hAnsi="仿宋_GB2312" w:eastAsia="仿宋_GB2312"/>
          <w:b w:val="0"/>
          <w:sz w:val="32"/>
        </w:rPr>
        <w:t>其中：年初财政拨款结转和结余0.00万元，本年财政拨款收入529.45万元。</w:t>
      </w:r>
      <w:r>
        <w:rPr>
          <w:rFonts w:ascii="仿宋_GB2312" w:hAnsi="仿宋_GB2312" w:eastAsia="仿宋_GB2312"/>
          <w:b/>
          <w:sz w:val="32"/>
        </w:rPr>
        <w:t>财政拨款支出总计529.45万元，</w:t>
      </w:r>
      <w:r>
        <w:rPr>
          <w:rFonts w:ascii="仿宋_GB2312" w:hAnsi="仿宋_GB2312" w:eastAsia="仿宋_GB2312"/>
          <w:b w:val="0"/>
          <w:sz w:val="32"/>
        </w:rPr>
        <w:t>其中：年末财政拨款结转和结余0.00万元，本年财政拨款支出529.45万元。</w:t>
      </w:r>
    </w:p>
    <w:p w14:paraId="1EE92A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增加25.22万元，增长5.00%，主要原因是：</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年初预算数486.46万元，决算数529.45万元，预决算差异率8.84%，主要原因是：</w:t>
      </w:r>
      <w:r>
        <w:rPr>
          <w:rFonts w:hint="eastAsia" w:ascii="仿宋_GB2312" w:hAnsi="仿宋_GB2312" w:eastAsia="仿宋_GB2312"/>
          <w:b w:val="0"/>
          <w:sz w:val="32"/>
          <w:lang w:val="en-US" w:eastAsia="zh-CN"/>
        </w:rPr>
        <w:t>本年在职人员增加，</w:t>
      </w:r>
      <w:r>
        <w:rPr>
          <w:rFonts w:ascii="仿宋_GB2312" w:hAnsi="仿宋_GB2312" w:eastAsia="仿宋_GB2312"/>
          <w:b w:val="0"/>
          <w:sz w:val="32"/>
        </w:rPr>
        <w:t>年中追加人员经费及人员工资、社保、公积金基数调增部分资金，导致预决算存在差异。</w:t>
      </w:r>
    </w:p>
    <w:p w14:paraId="487B5634">
      <w:pPr>
        <w:spacing w:line="640" w:lineRule="exact"/>
        <w:ind w:firstLine="640"/>
        <w:jc w:val="both"/>
        <w:outlineLvl w:val="2"/>
      </w:pPr>
      <w:r>
        <w:rPr>
          <w:rFonts w:ascii="黑体" w:hAnsi="黑体" w:eastAsia="黑体"/>
          <w:sz w:val="32"/>
        </w:rPr>
        <w:t>五、一般公共预算财政拨款支出决算情况说明</w:t>
      </w:r>
    </w:p>
    <w:p w14:paraId="585848F1">
      <w:pPr>
        <w:spacing w:line="640" w:lineRule="exact"/>
        <w:ind w:firstLine="640"/>
        <w:jc w:val="both"/>
        <w:outlineLvl w:val="3"/>
      </w:pPr>
      <w:r>
        <w:rPr>
          <w:rFonts w:ascii="楷体_GB2312" w:hAnsi="楷体_GB2312" w:eastAsia="楷体_GB2312"/>
          <w:b/>
          <w:sz w:val="32"/>
        </w:rPr>
        <w:t>（一）一般公共预算财政拨款支出决算总体情况</w:t>
      </w:r>
    </w:p>
    <w:p w14:paraId="687297D1">
      <w:pPr>
        <w:spacing w:line="580" w:lineRule="exact"/>
        <w:ind w:firstLine="640"/>
        <w:jc w:val="both"/>
      </w:pPr>
      <w:r>
        <w:rPr>
          <w:rFonts w:ascii="仿宋_GB2312" w:hAnsi="仿宋_GB2312" w:eastAsia="仿宋_GB2312"/>
          <w:b/>
          <w:sz w:val="32"/>
        </w:rPr>
        <w:t>2024年度一般公共预算财政拨款支出529.45万元，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增加25.22万元，增长5.00%，主要原因是：本年在职人员增加，在职人员工资调增、社保、公积金基数调增，人员经费增加。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年初预算数486.46万元，决算数529.45万元，预决算差异率8.84%，主要原因是：</w:t>
      </w:r>
      <w:r>
        <w:rPr>
          <w:rFonts w:hint="eastAsia" w:ascii="仿宋_GB2312" w:hAnsi="仿宋_GB2312" w:eastAsia="仿宋_GB2312"/>
          <w:b w:val="0"/>
          <w:sz w:val="32"/>
          <w:lang w:val="en-US" w:eastAsia="zh-CN"/>
        </w:rPr>
        <w:t>本年在职人员增加，</w:t>
      </w:r>
      <w:r>
        <w:rPr>
          <w:rFonts w:ascii="仿宋_GB2312" w:hAnsi="仿宋_GB2312" w:eastAsia="仿宋_GB2312"/>
          <w:b w:val="0"/>
          <w:sz w:val="32"/>
        </w:rPr>
        <w:t>年中追加人员经费及人员工资、社保、公积金基数调增部分资金，导致预决算存在差异。</w:t>
      </w:r>
    </w:p>
    <w:p w14:paraId="59B4641A">
      <w:pPr>
        <w:spacing w:line="640" w:lineRule="exact"/>
        <w:ind w:firstLine="640"/>
        <w:jc w:val="both"/>
        <w:outlineLvl w:val="3"/>
      </w:pPr>
      <w:r>
        <w:rPr>
          <w:rFonts w:ascii="楷体_GB2312" w:hAnsi="楷体_GB2312" w:eastAsia="楷体_GB2312"/>
          <w:b/>
          <w:sz w:val="32"/>
        </w:rPr>
        <w:t>（二）一般公共预算财政拨款支出决算结构情况</w:t>
      </w:r>
    </w:p>
    <w:p w14:paraId="57E493F0">
      <w:pPr>
        <w:spacing w:line="580" w:lineRule="exact"/>
        <w:ind w:firstLine="640"/>
        <w:jc w:val="both"/>
      </w:pPr>
      <w:r>
        <w:rPr>
          <w:rFonts w:ascii="仿宋_GB2312" w:hAnsi="仿宋_GB2312" w:eastAsia="仿宋_GB2312"/>
          <w:b w:val="0"/>
          <w:sz w:val="32"/>
        </w:rPr>
        <w:t>1.一般公共服务支出(类)376.10万元,占71.04%。</w:t>
      </w:r>
    </w:p>
    <w:p w14:paraId="6E6A5F8F">
      <w:pPr>
        <w:spacing w:line="580" w:lineRule="exact"/>
        <w:ind w:firstLine="640"/>
        <w:jc w:val="both"/>
      </w:pPr>
      <w:r>
        <w:rPr>
          <w:rFonts w:ascii="仿宋_GB2312" w:hAnsi="仿宋_GB2312" w:eastAsia="仿宋_GB2312"/>
          <w:b w:val="0"/>
          <w:sz w:val="32"/>
        </w:rPr>
        <w:t>2.社会保障和就业支出(类)89.88万元,占16.98%。</w:t>
      </w:r>
    </w:p>
    <w:p w14:paraId="5B6F5D14">
      <w:pPr>
        <w:spacing w:line="580" w:lineRule="exact"/>
        <w:ind w:firstLine="640"/>
        <w:jc w:val="both"/>
      </w:pPr>
      <w:r>
        <w:rPr>
          <w:rFonts w:ascii="仿宋_GB2312" w:hAnsi="仿宋_GB2312" w:eastAsia="仿宋_GB2312"/>
          <w:b w:val="0"/>
          <w:sz w:val="32"/>
        </w:rPr>
        <w:t>3.卫生健康支出(类)23.08万元,占4.36%。</w:t>
      </w:r>
    </w:p>
    <w:p w14:paraId="0C5B1DCD">
      <w:pPr>
        <w:spacing w:line="580" w:lineRule="exact"/>
        <w:ind w:firstLine="640"/>
        <w:jc w:val="both"/>
      </w:pPr>
      <w:r>
        <w:rPr>
          <w:rFonts w:ascii="仿宋_GB2312" w:hAnsi="仿宋_GB2312" w:eastAsia="仿宋_GB2312"/>
          <w:b w:val="0"/>
          <w:sz w:val="32"/>
        </w:rPr>
        <w:t>4.住房保障支出(类)40.39万元,占7.63%。</w:t>
      </w:r>
    </w:p>
    <w:p w14:paraId="61938E52">
      <w:pPr>
        <w:spacing w:line="640" w:lineRule="exact"/>
        <w:ind w:firstLine="640"/>
        <w:jc w:val="both"/>
        <w:outlineLvl w:val="3"/>
      </w:pPr>
      <w:r>
        <w:rPr>
          <w:rFonts w:ascii="楷体_GB2312" w:hAnsi="楷体_GB2312" w:eastAsia="楷体_GB2312"/>
          <w:b/>
          <w:sz w:val="32"/>
        </w:rPr>
        <w:t>（三）一般公共预算财政拨款支出决算具体情况</w:t>
      </w:r>
    </w:p>
    <w:p w14:paraId="0F240391">
      <w:pPr>
        <w:spacing w:line="580" w:lineRule="exact"/>
        <w:ind w:firstLine="640"/>
        <w:jc w:val="both"/>
      </w:pPr>
      <w:r>
        <w:rPr>
          <w:rFonts w:ascii="仿宋_GB2312" w:hAnsi="仿宋_GB2312" w:eastAsia="仿宋_GB2312"/>
          <w:b w:val="0"/>
          <w:sz w:val="32"/>
        </w:rPr>
        <w:t>1.一般公共服务支出(类)政协事务(款)行政运行(项):支出决算数为338.84万元，比上年决算减少19.75万元，下降5.51%,主要原因是：本年在职人员调入调出，人员职级不同，工资基数不同，导致人员经费较上年减少。</w:t>
      </w:r>
    </w:p>
    <w:p w14:paraId="3A64DD0A">
      <w:pPr>
        <w:spacing w:line="580" w:lineRule="exact"/>
        <w:ind w:firstLine="640"/>
        <w:jc w:val="both"/>
      </w:pPr>
      <w:r>
        <w:rPr>
          <w:rFonts w:ascii="仿宋_GB2312" w:hAnsi="仿宋_GB2312" w:eastAsia="仿宋_GB2312"/>
          <w:b w:val="0"/>
          <w:sz w:val="32"/>
        </w:rPr>
        <w:t>2.一般公共服务支出(类)政协事务(款)政协会议(项):支出决算数为18.20万元，比上年决算增加13.87万元，增长320.32%,主要原因是：政协会议经费项目增加。</w:t>
      </w:r>
    </w:p>
    <w:p w14:paraId="3DA8767B">
      <w:pPr>
        <w:spacing w:line="580" w:lineRule="exact"/>
        <w:ind w:firstLine="640"/>
        <w:jc w:val="both"/>
      </w:pPr>
      <w:r>
        <w:rPr>
          <w:rFonts w:ascii="仿宋_GB2312" w:hAnsi="仿宋_GB2312" w:eastAsia="仿宋_GB2312"/>
          <w:b w:val="0"/>
          <w:sz w:val="32"/>
        </w:rPr>
        <w:t>3.一般公共服务支出(类)政协事务(款)其他政协事务支出(项):支出决算数为19.06万元，比上年决算增加14.06万元，增长281.20%,主要原因是：本年基层政协补助增加。</w:t>
      </w:r>
    </w:p>
    <w:p w14:paraId="75185FF3">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4.社会保障和就业支出(类)行政事业单位养老支出(款)行政单位离退休(项):支出决算数为32.43万元，比上年决算增加5.88万元，增长22.15%,主要原因是：本年退休人员增加，退休费支出增加。</w:t>
      </w:r>
    </w:p>
    <w:p w14:paraId="1122A6D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46.76万元，比上年决算增加16.79万元，增长56.02%,主要原因是：本年在职人员增加，养老保险缴费较上年增加。</w:t>
      </w:r>
    </w:p>
    <w:p w14:paraId="18F5830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10.70万元，比上年决算减少19.75万元，下降64.86%,主要原因是：本年新增退休人员较上年减少，职业年金缴费较上年减少。</w:t>
      </w:r>
    </w:p>
    <w:p w14:paraId="0506375F">
      <w:pPr>
        <w:spacing w:line="580" w:lineRule="exact"/>
        <w:ind w:firstLine="640"/>
        <w:jc w:val="both"/>
      </w:pPr>
      <w:r>
        <w:rPr>
          <w:rFonts w:ascii="仿宋_GB2312" w:hAnsi="仿宋_GB2312" w:eastAsia="仿宋_GB2312"/>
          <w:b w:val="0"/>
          <w:sz w:val="32"/>
        </w:rPr>
        <w:t>7.卫生健康支出(类)行政事业单位医疗(款)行政单位医疗(项):支出决算数为18.58万元，比上年决算减少2.50万元，下降11.86%,主要原因是：本年在职人员调入调出，人员职级不同，缴费基数不同，导致行政单位医疗较上年减少。</w:t>
      </w:r>
    </w:p>
    <w:p w14:paraId="17B42F8A">
      <w:pPr>
        <w:spacing w:line="580" w:lineRule="exact"/>
        <w:ind w:firstLine="640"/>
        <w:jc w:val="both"/>
      </w:pPr>
      <w:r>
        <w:rPr>
          <w:rFonts w:ascii="仿宋_GB2312" w:hAnsi="仿宋_GB2312" w:eastAsia="仿宋_GB2312"/>
          <w:b w:val="0"/>
          <w:sz w:val="32"/>
        </w:rPr>
        <w:t>8.卫生健康支出(类)行政事业单位医疗(款)公务员医疗补助(项):支出决算数为4.51万元，比上年决算减少1.26万元，下降21.84%,主要原因是：本年在职人员调入调出，人员职级不同，缴费基数不同，导致公务员医疗补助较上年减少。</w:t>
      </w:r>
    </w:p>
    <w:p w14:paraId="32FB8C65">
      <w:pPr>
        <w:spacing w:line="580" w:lineRule="exact"/>
        <w:ind w:firstLine="640"/>
        <w:jc w:val="both"/>
      </w:pPr>
      <w:r>
        <w:rPr>
          <w:rFonts w:ascii="仿宋_GB2312" w:hAnsi="仿宋_GB2312" w:eastAsia="仿宋_GB2312"/>
          <w:b w:val="0"/>
          <w:sz w:val="32"/>
        </w:rPr>
        <w:t>9.住房保障支出(类)住房改革支出(款)住房公积金(项):支出决算数为40.39万元，比上年决算增加17.91万元，增长79.67%,主要原因是：本年在职人员增加，住房公积金支出较上年增加。</w:t>
      </w:r>
    </w:p>
    <w:p w14:paraId="37414F01">
      <w:pPr>
        <w:spacing w:line="640" w:lineRule="exact"/>
        <w:ind w:firstLine="640"/>
        <w:jc w:val="both"/>
        <w:outlineLvl w:val="2"/>
      </w:pPr>
      <w:r>
        <w:rPr>
          <w:rFonts w:ascii="黑体" w:hAnsi="黑体" w:eastAsia="黑体"/>
          <w:sz w:val="32"/>
        </w:rPr>
        <w:t>六、一般公共预算财政拨款基本支出决算情况说明</w:t>
      </w:r>
    </w:p>
    <w:p w14:paraId="57B45AED">
      <w:pPr>
        <w:spacing w:line="580" w:lineRule="exact"/>
        <w:ind w:firstLine="640"/>
        <w:jc w:val="both"/>
      </w:pPr>
      <w:r>
        <w:rPr>
          <w:rFonts w:ascii="仿宋_GB2312" w:hAnsi="仿宋_GB2312" w:eastAsia="仿宋_GB2312"/>
          <w:b w:val="0"/>
          <w:sz w:val="32"/>
        </w:rPr>
        <w:t>2024年度一般公共预算财政拨款基本支出492.19万元，其中：</w:t>
      </w:r>
      <w:r>
        <w:rPr>
          <w:rFonts w:ascii="仿宋_GB2312" w:hAnsi="仿宋_GB2312" w:eastAsia="仿宋_GB2312"/>
          <w:b/>
          <w:sz w:val="32"/>
        </w:rPr>
        <w:t>人员经费469.15万元，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包括：基本工资、津贴补贴、奖金、机关事业单位基本养老保险缴费、职业年金缴费、职工基本医疗保险缴费、公务员医疗补助缴费、其他社会保障缴费、住房公积金、退休费、生活补助、奖励金。</w:t>
      </w:r>
    </w:p>
    <w:p w14:paraId="6A6F3642">
      <w:pPr>
        <w:spacing w:line="580" w:lineRule="exact"/>
        <w:ind w:firstLine="640"/>
        <w:jc w:val="both"/>
      </w:pPr>
      <w:r>
        <w:rPr>
          <w:rFonts w:ascii="仿宋_GB2312" w:hAnsi="仿宋_GB2312" w:eastAsia="仿宋_GB2312"/>
          <w:b/>
          <w:sz w:val="32"/>
        </w:rPr>
        <w:t>公用经费23.04万元，</w:t>
      </w:r>
      <w:r>
        <w:rPr>
          <w:rFonts w:ascii="仿宋_GB2312" w:hAnsi="仿宋_GB2312" w:eastAsia="仿宋_GB2312"/>
          <w:b w:val="0"/>
          <w:sz w:val="32"/>
        </w:rPr>
        <w:t>包括：办公费、邮电费、差旅费、公务接待费、公务用车运行维护费。</w:t>
      </w:r>
    </w:p>
    <w:p w14:paraId="575F1FC4">
      <w:pPr>
        <w:spacing w:line="640" w:lineRule="exact"/>
        <w:ind w:firstLine="640"/>
        <w:jc w:val="both"/>
        <w:outlineLvl w:val="2"/>
      </w:pPr>
      <w:r>
        <w:rPr>
          <w:rFonts w:ascii="黑体" w:hAnsi="黑体" w:eastAsia="黑体"/>
          <w:sz w:val="32"/>
        </w:rPr>
        <w:t>七、政府性基金预算财政拨款收入支出决算情况说明</w:t>
      </w:r>
    </w:p>
    <w:p w14:paraId="46AB208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2B2C2D">
      <w:pPr>
        <w:spacing w:line="640" w:lineRule="exact"/>
        <w:ind w:firstLine="640"/>
        <w:jc w:val="both"/>
        <w:outlineLvl w:val="2"/>
      </w:pPr>
      <w:r>
        <w:rPr>
          <w:rFonts w:ascii="黑体" w:hAnsi="黑体" w:eastAsia="黑体"/>
          <w:sz w:val="32"/>
        </w:rPr>
        <w:t>八、国有资本经营预算财政拨款收入支出决算情况说明</w:t>
      </w:r>
    </w:p>
    <w:p w14:paraId="1A88A3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81C684">
      <w:pPr>
        <w:spacing w:line="640" w:lineRule="exact"/>
        <w:ind w:firstLine="640"/>
        <w:jc w:val="both"/>
        <w:outlineLvl w:val="2"/>
      </w:pPr>
      <w:r>
        <w:rPr>
          <w:rFonts w:ascii="黑体" w:hAnsi="黑体" w:eastAsia="黑体"/>
          <w:sz w:val="32"/>
        </w:rPr>
        <w:t>九、财政拨款“三公”经费支出决算情况说明</w:t>
      </w:r>
    </w:p>
    <w:p w14:paraId="11DA3483">
      <w:pPr>
        <w:spacing w:line="580" w:lineRule="exact"/>
        <w:ind w:firstLine="640"/>
        <w:jc w:val="both"/>
      </w:pPr>
      <w:r>
        <w:rPr>
          <w:rFonts w:ascii="仿宋_GB2312" w:hAnsi="仿宋_GB2312" w:eastAsia="仿宋_GB2312"/>
          <w:b/>
          <w:sz w:val="32"/>
        </w:rPr>
        <w:t>2024年度财政拨款“三公”经费支出13.51万元，</w:t>
      </w:r>
      <w:r>
        <w:rPr>
          <w:rFonts w:ascii="仿宋_GB2312" w:hAnsi="仿宋_GB2312" w:eastAsia="仿宋_GB2312"/>
          <w:b w:val="0"/>
          <w:sz w:val="32"/>
        </w:rPr>
        <w:t>比上年增加11.33万元，增长519.72%，主要原因是：本年因业务需求，用车次数增加，燃油费增加，导致公务用车运行维护费较上年增加；本年度接待人次较上年增加，导致公务接待费较上年增加。其中：因公出国（境）费支出0.00万元，占0.00%，比上年增加0.00万元，增长0.00%，主要原因是：2023年与2024年均未安排因公出国（境）费支出。公务用车购置及运行维护费支出8.51万元，占62.99%，比上年增加6.71万元，增长372.78%，主要原因是：本年因业务需求，用车次数增加，燃油费增加，导致公务用车运行维护费较上年增加。公务接待费支出5.00万元，占37.010%，比上年增加4.62万元，增长1,215.79%，主要原因是：本年度政协召开全委会议，</w:t>
      </w:r>
      <w:bookmarkStart w:id="0" w:name="_GoBack"/>
      <w:r>
        <w:rPr>
          <w:rFonts w:hint="eastAsia" w:ascii="仿宋_GB2312" w:hAnsi="仿宋_GB2312" w:eastAsia="仿宋_GB2312"/>
          <w:b w:val="0"/>
          <w:sz w:val="32"/>
          <w:lang w:eastAsia="zh-CN"/>
        </w:rPr>
        <w:t>常委会会议</w:t>
      </w:r>
      <w:bookmarkEnd w:id="0"/>
      <w:r>
        <w:rPr>
          <w:rFonts w:ascii="仿宋_GB2312" w:hAnsi="仿宋_GB2312" w:eastAsia="仿宋_GB2312"/>
          <w:b w:val="0"/>
          <w:sz w:val="32"/>
        </w:rPr>
        <w:t>，协商会议增加，导致公务接待费较上年增加。</w:t>
      </w:r>
    </w:p>
    <w:p w14:paraId="31454C1F">
      <w:pPr>
        <w:spacing w:line="580" w:lineRule="exact"/>
        <w:ind w:firstLine="640"/>
        <w:jc w:val="both"/>
      </w:pPr>
      <w:r>
        <w:rPr>
          <w:rFonts w:ascii="仿宋_GB2312" w:hAnsi="仿宋_GB2312" w:eastAsia="仿宋_GB2312"/>
          <w:b/>
          <w:sz w:val="32"/>
        </w:rPr>
        <w:t>具体情况如下：</w:t>
      </w:r>
    </w:p>
    <w:p w14:paraId="704DC92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439114">
      <w:pPr>
        <w:spacing w:line="580" w:lineRule="exact"/>
        <w:ind w:firstLine="640"/>
        <w:jc w:val="both"/>
      </w:pPr>
      <w:r>
        <w:rPr>
          <w:rFonts w:ascii="仿宋_GB2312" w:hAnsi="仿宋_GB2312" w:eastAsia="仿宋_GB2312"/>
          <w:b w:val="0"/>
          <w:sz w:val="32"/>
        </w:rPr>
        <w:t>公务用车购置及运行维护费8.51万元，其中：公务用车购置费0.00万元，公务用车运行维护费8.51万元。公务用车运行维护费开支内容包括车辆加油费、维修费。公务用车购置数0辆，公务用车保有量6辆。国有资产占用情况中固定资产车辆6辆，与公务用车保有量差异原因是：本单位固定资产车辆与公务用车保有量一致无差异。</w:t>
      </w:r>
    </w:p>
    <w:p w14:paraId="6C84B53F">
      <w:pPr>
        <w:spacing w:line="580" w:lineRule="exact"/>
        <w:ind w:firstLine="640"/>
        <w:jc w:val="both"/>
      </w:pPr>
      <w:r>
        <w:rPr>
          <w:rFonts w:ascii="仿宋_GB2312" w:hAnsi="仿宋_GB2312" w:eastAsia="仿宋_GB2312"/>
          <w:b w:val="0"/>
          <w:sz w:val="32"/>
        </w:rPr>
        <w:t>公务接待费5.00万元，开支内容包括政协召开全委会议，</w:t>
      </w:r>
      <w:r>
        <w:rPr>
          <w:rFonts w:hint="eastAsia" w:ascii="仿宋_GB2312" w:hAnsi="仿宋_GB2312" w:eastAsia="仿宋_GB2312"/>
          <w:b w:val="0"/>
          <w:sz w:val="32"/>
          <w:lang w:eastAsia="zh-CN"/>
        </w:rPr>
        <w:t>常委会会议</w:t>
      </w:r>
      <w:r>
        <w:rPr>
          <w:rFonts w:ascii="仿宋_GB2312" w:hAnsi="仿宋_GB2312" w:eastAsia="仿宋_GB2312"/>
          <w:b w:val="0"/>
          <w:sz w:val="32"/>
        </w:rPr>
        <w:t>，协商会议，接待上级领导检查、督导组检查产生的就餐费。单位全年安排的国内公务接待66批次，400人次。</w:t>
      </w:r>
    </w:p>
    <w:p w14:paraId="3F6C5C3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13.51万元，决算数13.51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8.51万元，决算数8.51万元，预决算差异率0.00%，主要原因是：严格按照预算执行，预决算无差异。公务接待费全年预算数5.00万元，决算数5.00万元，预决算差异率0.00%，主要原因是：严格按照预算执行，预决算无差异。</w:t>
      </w:r>
    </w:p>
    <w:p w14:paraId="1D652DE6">
      <w:pPr>
        <w:spacing w:line="640" w:lineRule="exact"/>
        <w:ind w:firstLine="640"/>
        <w:jc w:val="both"/>
        <w:outlineLvl w:val="2"/>
      </w:pPr>
      <w:r>
        <w:rPr>
          <w:rFonts w:ascii="黑体" w:hAnsi="黑体" w:eastAsia="黑体"/>
          <w:sz w:val="32"/>
        </w:rPr>
        <w:t>十、其他重要事项的情况说明</w:t>
      </w:r>
    </w:p>
    <w:p w14:paraId="4D7BBA3E">
      <w:pPr>
        <w:spacing w:line="640" w:lineRule="exact"/>
        <w:ind w:firstLine="640"/>
        <w:jc w:val="both"/>
        <w:outlineLvl w:val="3"/>
      </w:pPr>
      <w:r>
        <w:rPr>
          <w:rFonts w:ascii="楷体_GB2312" w:hAnsi="楷体_GB2312" w:eastAsia="楷体_GB2312"/>
          <w:b/>
          <w:sz w:val="32"/>
        </w:rPr>
        <w:t>（一）机关运行经费及公用经费支出情况</w:t>
      </w:r>
    </w:p>
    <w:p w14:paraId="4A1F9F76">
      <w:pPr>
        <w:spacing w:line="580" w:lineRule="exact"/>
        <w:ind w:firstLine="640"/>
        <w:jc w:val="both"/>
      </w:pPr>
      <w:r>
        <w:rPr>
          <w:rFonts w:ascii="仿宋_GB2312" w:hAnsi="仿宋_GB2312" w:eastAsia="仿宋_GB2312"/>
          <w:b w:val="0"/>
          <w:sz w:val="32"/>
        </w:rPr>
        <w:t>2024年度中国人民政治协商会议叶城县委员会办公室（行政单位和参照公务员法管理事业单位）机关运行经费支出23.04万元，比上年增加17.93万元，增长350.88%，主要原因是：本年办公费增加，政协深入开展委员视察调研协商活动，车辆运行费和接待费较上年增加。</w:t>
      </w:r>
    </w:p>
    <w:p w14:paraId="2905158B">
      <w:pPr>
        <w:spacing w:line="640" w:lineRule="exact"/>
        <w:ind w:firstLine="640"/>
        <w:jc w:val="both"/>
        <w:outlineLvl w:val="3"/>
      </w:pPr>
      <w:r>
        <w:rPr>
          <w:rFonts w:ascii="楷体_GB2312" w:hAnsi="楷体_GB2312" w:eastAsia="楷体_GB2312"/>
          <w:b/>
          <w:sz w:val="32"/>
        </w:rPr>
        <w:t>（二）政府采购情况</w:t>
      </w:r>
    </w:p>
    <w:p w14:paraId="65E2187F">
      <w:pPr>
        <w:spacing w:line="580" w:lineRule="exact"/>
        <w:ind w:firstLine="640"/>
        <w:jc w:val="both"/>
      </w:pPr>
      <w:r>
        <w:rPr>
          <w:rFonts w:ascii="仿宋_GB2312" w:hAnsi="仿宋_GB2312" w:eastAsia="仿宋_GB2312"/>
          <w:b w:val="0"/>
          <w:sz w:val="32"/>
        </w:rPr>
        <w:t>2024年度政府采购支出总额25.43万元，其中：政府采购货物支出13.29万元、政府采购工程支出1.06万元、政府采购服务支出11.08万元。</w:t>
      </w:r>
    </w:p>
    <w:p w14:paraId="2AC31FB6">
      <w:pPr>
        <w:spacing w:line="580" w:lineRule="exact"/>
        <w:ind w:firstLine="640"/>
        <w:jc w:val="both"/>
      </w:pPr>
      <w:r>
        <w:rPr>
          <w:rFonts w:ascii="仿宋_GB2312" w:hAnsi="仿宋_GB2312" w:eastAsia="仿宋_GB2312"/>
          <w:b w:val="0"/>
          <w:sz w:val="32"/>
        </w:rPr>
        <w:t>授予中小企业合同金额16.84万元，占政府采购支出总额的66.22%，其中：授予小微企业合同金额15.56万元，占政府采购支出总额的61.19%。</w:t>
      </w:r>
    </w:p>
    <w:p w14:paraId="4FF9C1FD">
      <w:pPr>
        <w:spacing w:line="640" w:lineRule="exact"/>
        <w:ind w:firstLine="640"/>
        <w:jc w:val="both"/>
        <w:outlineLvl w:val="3"/>
      </w:pPr>
      <w:r>
        <w:rPr>
          <w:rFonts w:ascii="楷体_GB2312" w:hAnsi="楷体_GB2312" w:eastAsia="楷体_GB2312"/>
          <w:b/>
          <w:sz w:val="32"/>
        </w:rPr>
        <w:t>（三）国有资产占用情况说明</w:t>
      </w:r>
    </w:p>
    <w:p w14:paraId="1B745368">
      <w:pPr>
        <w:spacing w:line="580" w:lineRule="exact"/>
        <w:ind w:firstLine="640"/>
        <w:jc w:val="both"/>
      </w:pPr>
      <w:r>
        <w:rPr>
          <w:rFonts w:ascii="仿宋_GB2312" w:hAnsi="仿宋_GB2312" w:eastAsia="仿宋_GB2312"/>
          <w:b w:val="0"/>
          <w:sz w:val="32"/>
        </w:rPr>
        <w:t>截至2024年12月31日，房屋0.00平方米，价值0.00万元。车辆6辆，价值63.64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7832A9BF">
      <w:pPr>
        <w:spacing w:line="640" w:lineRule="exact"/>
        <w:ind w:firstLine="640"/>
        <w:jc w:val="both"/>
        <w:outlineLvl w:val="2"/>
      </w:pPr>
      <w:r>
        <w:rPr>
          <w:rFonts w:ascii="黑体" w:hAnsi="黑体" w:eastAsia="黑体"/>
          <w:sz w:val="32"/>
        </w:rPr>
        <w:t>十一、预算绩效的情况说明</w:t>
      </w:r>
    </w:p>
    <w:p w14:paraId="59F889B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529.45万元，实际执行总额529.45万元；预算绩效评价项目2个，全年预算数23.76万元，全年执行数23.76万元。预算绩效管理取得的成效：一是不断完善预算绩效目标管理，将预算绩效目标管理前移至预算审核关口。二是2024年的绩效目标与预算同步申报、同步批复、同步公开，基本实现了绩效目标管理全覆盖和三同步。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25BD52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2B2927">
        <w:tc>
          <w:tcPr>
            <w:tcW w:w="8847" w:type="dxa"/>
            <w:gridSpan w:val="9"/>
            <w:vAlign w:val="center"/>
          </w:tcPr>
          <w:p w14:paraId="6948EB13">
            <w:pPr>
              <w:jc w:val="center"/>
            </w:pPr>
            <w:r>
              <w:rPr>
                <w:rFonts w:ascii="宋体" w:hAnsi="宋体" w:eastAsia="宋体"/>
                <w:sz w:val="24"/>
              </w:rPr>
              <w:t>单位整体支出绩效自评表</w:t>
            </w:r>
          </w:p>
        </w:tc>
      </w:tr>
      <w:tr w14:paraId="7A2722F0">
        <w:tblPrEx>
          <w:tblCellMar>
            <w:top w:w="0" w:type="dxa"/>
            <w:left w:w="108" w:type="dxa"/>
            <w:bottom w:w="0" w:type="dxa"/>
            <w:right w:w="108" w:type="dxa"/>
          </w:tblCellMar>
        </w:tblPrEx>
        <w:tc>
          <w:tcPr>
            <w:tcW w:w="8847" w:type="dxa"/>
            <w:gridSpan w:val="9"/>
            <w:vAlign w:val="center"/>
          </w:tcPr>
          <w:p w14:paraId="5DBB24BF">
            <w:pPr>
              <w:jc w:val="center"/>
            </w:pPr>
            <w:r>
              <w:rPr>
                <w:rFonts w:ascii="宋体" w:hAnsi="宋体" w:eastAsia="宋体"/>
                <w:sz w:val="24"/>
              </w:rPr>
              <w:t>（2024年度）</w:t>
            </w:r>
          </w:p>
        </w:tc>
      </w:tr>
      <w:tr w14:paraId="7ECEB1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8A6D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5DA356">
            <w:pPr>
              <w:jc w:val="center"/>
            </w:pPr>
            <w:r>
              <w:rPr>
                <w:rFonts w:ascii="宋体" w:hAnsi="宋体" w:eastAsia="宋体"/>
                <w:sz w:val="16"/>
              </w:rPr>
              <w:t>中国人民政治协商会议叶城县委员会办公室</w:t>
            </w:r>
          </w:p>
        </w:tc>
      </w:tr>
      <w:tr w14:paraId="51E5E5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978E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4D1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B48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EB3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898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25C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CD24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810D">
            <w:pPr>
              <w:jc w:val="center"/>
            </w:pPr>
            <w:r>
              <w:rPr>
                <w:rFonts w:ascii="宋体" w:hAnsi="宋体" w:eastAsia="宋体"/>
                <w:sz w:val="16"/>
              </w:rPr>
              <w:t>得分</w:t>
            </w:r>
          </w:p>
        </w:tc>
      </w:tr>
      <w:tr w14:paraId="15BF5D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AE0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E3A4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0EE5">
            <w:pPr>
              <w:jc w:val="center"/>
            </w:pPr>
            <w:r>
              <w:rPr>
                <w:rFonts w:ascii="宋体" w:hAnsi="宋体" w:eastAsia="宋体"/>
                <w:sz w:val="16"/>
              </w:rPr>
              <w:t>486.46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C9F1">
            <w:pPr>
              <w:jc w:val="center"/>
            </w:pPr>
            <w:r>
              <w:rPr>
                <w:rFonts w:ascii="宋体" w:hAnsi="宋体" w:eastAsia="宋体"/>
                <w:sz w:val="16"/>
              </w:rPr>
              <w:t>529.45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7499B">
            <w:pPr>
              <w:jc w:val="center"/>
            </w:pPr>
            <w:r>
              <w:rPr>
                <w:rFonts w:ascii="宋体" w:hAnsi="宋体" w:eastAsia="宋体"/>
                <w:sz w:val="16"/>
              </w:rPr>
              <w:t>529.45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009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210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FC55">
            <w:pPr>
              <w:jc w:val="center"/>
            </w:pPr>
            <w:r>
              <w:rPr>
                <w:rFonts w:ascii="宋体" w:hAnsi="宋体" w:eastAsia="宋体"/>
                <w:sz w:val="16"/>
              </w:rPr>
              <w:t>10</w:t>
            </w:r>
          </w:p>
        </w:tc>
      </w:tr>
      <w:tr w14:paraId="1067BB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B4A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115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DAE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014C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02A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ADA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3F2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4BA7">
            <w:pPr>
              <w:jc w:val="center"/>
            </w:pPr>
            <w:r>
              <w:rPr>
                <w:rFonts w:ascii="宋体" w:hAnsi="宋体" w:eastAsia="宋体"/>
                <w:sz w:val="16"/>
              </w:rPr>
              <w:t>—</w:t>
            </w:r>
          </w:p>
        </w:tc>
      </w:tr>
      <w:tr w14:paraId="2C9D06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738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A4B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72B2">
            <w:pPr>
              <w:jc w:val="center"/>
            </w:pPr>
            <w:r>
              <w:rPr>
                <w:rFonts w:ascii="宋体" w:hAnsi="宋体" w:eastAsia="宋体"/>
                <w:sz w:val="16"/>
              </w:rPr>
              <w:t>481.46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B8926">
            <w:pPr>
              <w:jc w:val="center"/>
            </w:pPr>
            <w:r>
              <w:rPr>
                <w:rFonts w:ascii="宋体" w:hAnsi="宋体" w:eastAsia="宋体"/>
                <w:sz w:val="16"/>
              </w:rPr>
              <w:t>524.45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E33A">
            <w:pPr>
              <w:jc w:val="center"/>
            </w:pPr>
            <w:r>
              <w:rPr>
                <w:rFonts w:ascii="宋体" w:hAnsi="宋体" w:eastAsia="宋体"/>
                <w:sz w:val="16"/>
              </w:rPr>
              <w:t>524.45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75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F3F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91F4">
            <w:pPr>
              <w:jc w:val="center"/>
            </w:pPr>
            <w:r>
              <w:rPr>
                <w:rFonts w:ascii="宋体" w:hAnsi="宋体" w:eastAsia="宋体"/>
                <w:sz w:val="16"/>
              </w:rPr>
              <w:t>—</w:t>
            </w:r>
          </w:p>
        </w:tc>
      </w:tr>
      <w:tr w14:paraId="5AC45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966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2C0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88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6E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0F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E0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D1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7B98">
            <w:pPr>
              <w:jc w:val="center"/>
            </w:pPr>
            <w:r>
              <w:rPr>
                <w:rFonts w:ascii="宋体" w:hAnsi="宋体" w:eastAsia="宋体"/>
                <w:sz w:val="16"/>
              </w:rPr>
              <w:t>—</w:t>
            </w:r>
          </w:p>
        </w:tc>
      </w:tr>
      <w:tr w14:paraId="1DCA1D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75D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07E7C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985FAE">
            <w:pPr>
              <w:jc w:val="center"/>
            </w:pPr>
            <w:r>
              <w:rPr>
                <w:rFonts w:ascii="宋体" w:hAnsi="宋体" w:eastAsia="宋体"/>
                <w:sz w:val="16"/>
              </w:rPr>
              <w:t>实际完成情况</w:t>
            </w:r>
          </w:p>
        </w:tc>
      </w:tr>
      <w:tr w14:paraId="2B44F4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AC1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E04B35">
            <w:pPr>
              <w:jc w:val="both"/>
            </w:pPr>
            <w:r>
              <w:rPr>
                <w:rFonts w:ascii="宋体" w:hAnsi="宋体" w:eastAsia="宋体"/>
                <w:sz w:val="16"/>
              </w:rPr>
              <w:t>负责委员会议、主任会议和党组会议的筹备和会务及其决定事项的落实工作；负责委员会组成人员开展视察和调研活动的有关事项；负责委员会报告、文件、领导讲话稿的起草及有关方面的调查研究工作；负责机关文电、翻译、文印、档案、保密、接待信访、政工人事、财务计划、公共财产管理等行政事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209AF">
            <w:pPr>
              <w:jc w:val="both"/>
            </w:pPr>
            <w:r>
              <w:rPr>
                <w:rFonts w:ascii="宋体" w:hAnsi="宋体" w:eastAsia="宋体"/>
                <w:sz w:val="16"/>
              </w:rPr>
              <w:t>截至2024年12月31日，2024年开展委员走基层12次，开展协商2次，组织委员视察调研4次，召开会议10次，民主监督委员参与率100%，县政协以提升委员业务能力和工作效率为着力点，紧紧围绕县委、县政府中心工作，着力提高委员为民服务本领。确保叶城县政协第十五届委员会会议正常开展，着力促进叶城经济高质量发展。有效地提高了我县政协委员的履职能力，并提升了资金的使用效率和规范管理。</w:t>
            </w:r>
          </w:p>
        </w:tc>
      </w:tr>
      <w:tr w14:paraId="6B87F7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A4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5C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DCA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21F5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33BC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916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75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069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36C40">
            <w:pPr>
              <w:jc w:val="center"/>
            </w:pPr>
            <w:r>
              <w:rPr>
                <w:rFonts w:ascii="宋体" w:hAnsi="宋体" w:eastAsia="宋体"/>
                <w:sz w:val="16"/>
              </w:rPr>
              <w:t>得分</w:t>
            </w:r>
          </w:p>
        </w:tc>
      </w:tr>
      <w:tr w14:paraId="411740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1664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B17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9403">
            <w:pPr>
              <w:jc w:val="center"/>
            </w:pPr>
            <w:r>
              <w:rPr>
                <w:rFonts w:ascii="宋体" w:hAnsi="宋体" w:eastAsia="宋体"/>
                <w:sz w:val="16"/>
              </w:rPr>
              <w:t>民主监督委员参与率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159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A79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51E7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9B0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0D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0159">
            <w:pPr>
              <w:jc w:val="center"/>
            </w:pPr>
            <w:r>
              <w:rPr>
                <w:rFonts w:ascii="宋体" w:hAnsi="宋体" w:eastAsia="宋体"/>
                <w:sz w:val="16"/>
              </w:rPr>
              <w:t>18</w:t>
            </w:r>
          </w:p>
        </w:tc>
      </w:tr>
      <w:tr w14:paraId="110BDC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EF6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22F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53148">
            <w:pPr>
              <w:jc w:val="center"/>
            </w:pPr>
            <w:r>
              <w:rPr>
                <w:rFonts w:ascii="宋体" w:hAnsi="宋体" w:eastAsia="宋体"/>
                <w:sz w:val="16"/>
              </w:rPr>
              <w:t>召开会议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20AE">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97A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792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0891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67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F7BA">
            <w:pPr>
              <w:jc w:val="center"/>
            </w:pPr>
            <w:r>
              <w:rPr>
                <w:rFonts w:ascii="宋体" w:hAnsi="宋体" w:eastAsia="宋体"/>
                <w:sz w:val="16"/>
              </w:rPr>
              <w:t>18</w:t>
            </w:r>
          </w:p>
        </w:tc>
      </w:tr>
      <w:tr w14:paraId="0E9C55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76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E64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34FD2">
            <w:pPr>
              <w:jc w:val="center"/>
            </w:pPr>
            <w:r>
              <w:rPr>
                <w:rFonts w:ascii="宋体" w:hAnsi="宋体" w:eastAsia="宋体"/>
                <w:sz w:val="16"/>
              </w:rPr>
              <w:t>组织委员视察调研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08D7">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0DE2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8FDE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7C1E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BDB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8944">
            <w:pPr>
              <w:jc w:val="center"/>
            </w:pPr>
            <w:r>
              <w:rPr>
                <w:rFonts w:ascii="宋体" w:hAnsi="宋体" w:eastAsia="宋体"/>
                <w:sz w:val="16"/>
              </w:rPr>
              <w:t>18</w:t>
            </w:r>
          </w:p>
        </w:tc>
      </w:tr>
      <w:tr w14:paraId="594C3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A6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A5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9B4A2">
            <w:pPr>
              <w:jc w:val="center"/>
            </w:pPr>
            <w:r>
              <w:rPr>
                <w:rFonts w:ascii="宋体" w:hAnsi="宋体" w:eastAsia="宋体"/>
                <w:sz w:val="16"/>
              </w:rPr>
              <w:t>开展协商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AAB6">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46B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DB8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6670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7D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B02DA">
            <w:pPr>
              <w:jc w:val="center"/>
            </w:pPr>
            <w:r>
              <w:rPr>
                <w:rFonts w:ascii="宋体" w:hAnsi="宋体" w:eastAsia="宋体"/>
                <w:sz w:val="16"/>
              </w:rPr>
              <w:t>18</w:t>
            </w:r>
          </w:p>
        </w:tc>
      </w:tr>
      <w:tr w14:paraId="6C9650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D95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B2E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E1C2A">
            <w:pPr>
              <w:jc w:val="center"/>
            </w:pPr>
            <w:r>
              <w:rPr>
                <w:rFonts w:ascii="宋体" w:hAnsi="宋体" w:eastAsia="宋体"/>
                <w:sz w:val="16"/>
              </w:rPr>
              <w:t>开展委员走基层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BACA">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027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4FE5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9B73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351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F1F1">
            <w:pPr>
              <w:jc w:val="center"/>
            </w:pPr>
            <w:r>
              <w:rPr>
                <w:rFonts w:ascii="宋体" w:hAnsi="宋体" w:eastAsia="宋体"/>
                <w:sz w:val="16"/>
              </w:rPr>
              <w:t>18</w:t>
            </w:r>
          </w:p>
        </w:tc>
      </w:tr>
    </w:tbl>
    <w:p w14:paraId="5AACDF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777B91">
        <w:tblPrEx>
          <w:tblCellMar>
            <w:top w:w="0" w:type="dxa"/>
            <w:left w:w="108" w:type="dxa"/>
            <w:bottom w:w="0" w:type="dxa"/>
            <w:right w:w="108" w:type="dxa"/>
          </w:tblCellMar>
        </w:tblPrEx>
        <w:tc>
          <w:tcPr>
            <w:tcW w:w="8848" w:type="dxa"/>
            <w:gridSpan w:val="14"/>
            <w:vAlign w:val="center"/>
          </w:tcPr>
          <w:p w14:paraId="7F4CFC9F">
            <w:pPr>
              <w:jc w:val="center"/>
            </w:pPr>
            <w:r>
              <w:rPr>
                <w:rFonts w:ascii="宋体" w:hAnsi="宋体" w:eastAsia="宋体"/>
                <w:sz w:val="24"/>
              </w:rPr>
              <w:t>项目支出绩效自评表</w:t>
            </w:r>
          </w:p>
        </w:tc>
      </w:tr>
      <w:tr w14:paraId="74DB17C7">
        <w:tblPrEx>
          <w:tblCellMar>
            <w:top w:w="0" w:type="dxa"/>
            <w:left w:w="108" w:type="dxa"/>
            <w:bottom w:w="0" w:type="dxa"/>
            <w:right w:w="108" w:type="dxa"/>
          </w:tblCellMar>
        </w:tblPrEx>
        <w:tc>
          <w:tcPr>
            <w:tcW w:w="8848" w:type="dxa"/>
            <w:gridSpan w:val="14"/>
            <w:vAlign w:val="center"/>
          </w:tcPr>
          <w:p w14:paraId="4C3D2635">
            <w:pPr>
              <w:jc w:val="center"/>
            </w:pPr>
            <w:r>
              <w:rPr>
                <w:rFonts w:ascii="宋体" w:hAnsi="宋体" w:eastAsia="宋体"/>
                <w:sz w:val="24"/>
              </w:rPr>
              <w:t>(2024年度)</w:t>
            </w:r>
          </w:p>
        </w:tc>
      </w:tr>
      <w:tr w14:paraId="7DD57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91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A6157F">
            <w:pPr>
              <w:jc w:val="center"/>
            </w:pPr>
            <w:r>
              <w:rPr>
                <w:rFonts w:ascii="宋体" w:hAnsi="宋体" w:eastAsia="宋体"/>
                <w:sz w:val="16"/>
              </w:rPr>
              <w:t>2024年度自治区基层政协补助项目</w:t>
            </w:r>
          </w:p>
        </w:tc>
      </w:tr>
      <w:tr w14:paraId="17245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34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B06F0">
            <w:pPr>
              <w:jc w:val="center"/>
            </w:pPr>
            <w:r>
              <w:rPr>
                <w:rFonts w:ascii="宋体" w:hAnsi="宋体" w:eastAsia="宋体"/>
                <w:sz w:val="16"/>
              </w:rPr>
              <w:t>喀什地区政协委员会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A1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79013">
            <w:pPr>
              <w:jc w:val="center"/>
            </w:pPr>
            <w:r>
              <w:rPr>
                <w:rFonts w:ascii="宋体" w:hAnsi="宋体" w:eastAsia="宋体"/>
                <w:sz w:val="16"/>
              </w:rPr>
              <w:t>中国人民政治协商会议叶城县委员会办公室</w:t>
            </w:r>
          </w:p>
        </w:tc>
      </w:tr>
      <w:tr w14:paraId="7FF4F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311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43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74A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C4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7B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AD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B9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0CCF">
            <w:pPr>
              <w:jc w:val="center"/>
            </w:pPr>
            <w:r>
              <w:rPr>
                <w:rFonts w:ascii="宋体" w:hAnsi="宋体" w:eastAsia="宋体"/>
                <w:sz w:val="16"/>
              </w:rPr>
              <w:t>得分</w:t>
            </w:r>
          </w:p>
        </w:tc>
      </w:tr>
      <w:tr w14:paraId="2F65B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5E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05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E0AA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9F6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AEFD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8F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C2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F45A">
            <w:pPr>
              <w:jc w:val="center"/>
            </w:pPr>
            <w:r>
              <w:rPr>
                <w:rFonts w:ascii="宋体" w:hAnsi="宋体" w:eastAsia="宋体"/>
                <w:sz w:val="16"/>
              </w:rPr>
              <w:t>10.00分</w:t>
            </w:r>
          </w:p>
        </w:tc>
      </w:tr>
      <w:tr w14:paraId="757B2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E22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21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822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0C24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73F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3BD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B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26AB">
            <w:pPr>
              <w:jc w:val="center"/>
            </w:pPr>
            <w:r>
              <w:rPr>
                <w:rFonts w:ascii="宋体" w:hAnsi="宋体" w:eastAsia="宋体"/>
                <w:sz w:val="16"/>
              </w:rPr>
              <w:t>—</w:t>
            </w:r>
          </w:p>
        </w:tc>
      </w:tr>
      <w:tr w14:paraId="3CABE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C9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95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86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2B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DF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EE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2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823F">
            <w:pPr>
              <w:jc w:val="center"/>
            </w:pPr>
            <w:r>
              <w:rPr>
                <w:rFonts w:ascii="宋体" w:hAnsi="宋体" w:eastAsia="宋体"/>
                <w:sz w:val="16"/>
              </w:rPr>
              <w:t>—</w:t>
            </w:r>
          </w:p>
        </w:tc>
      </w:tr>
      <w:tr w14:paraId="39EEE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00E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20B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7F91">
            <w:pPr>
              <w:jc w:val="center"/>
            </w:pPr>
            <w:r>
              <w:rPr>
                <w:rFonts w:ascii="宋体" w:hAnsi="宋体" w:eastAsia="宋体"/>
                <w:sz w:val="16"/>
              </w:rPr>
              <w:t>实际完成情况</w:t>
            </w:r>
          </w:p>
        </w:tc>
      </w:tr>
      <w:tr w14:paraId="78C02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6D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FD269">
            <w:pPr>
              <w:jc w:val="both"/>
            </w:pPr>
            <w:r>
              <w:rPr>
                <w:rFonts w:ascii="宋体" w:hAnsi="宋体" w:eastAsia="宋体"/>
                <w:sz w:val="16"/>
              </w:rPr>
              <w:t>2024年，叶城县政协坚持以习近平新时代中国特色社会主义思想为统领，深入</w:t>
            </w:r>
            <w:r>
              <w:rPr>
                <w:rFonts w:hint="eastAsia" w:ascii="宋体" w:hAnsi="宋体"/>
                <w:sz w:val="16"/>
                <w:lang w:eastAsia="zh-CN"/>
              </w:rPr>
              <w:t>学习贯彻党的二十大精神</w:t>
            </w:r>
            <w:r>
              <w:rPr>
                <w:rFonts w:ascii="宋体" w:hAnsi="宋体" w:eastAsia="宋体"/>
                <w:sz w:val="16"/>
              </w:rPr>
              <w:t>，第三次中央新疆工作座谈会精神。项目预算资金5万元，主要用于中国人民政治协商会议叶城县委员会办公室日常业务支出,有效保障政协各项工作顺利开展，着力促进叶城乡村振兴和经济政治持续稳定发展。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69AEF1">
            <w:pPr>
              <w:jc w:val="both"/>
            </w:pPr>
            <w:r>
              <w:rPr>
                <w:rFonts w:ascii="宋体" w:hAnsi="宋体" w:eastAsia="宋体"/>
                <w:sz w:val="16"/>
              </w:rPr>
              <w:t>截至2024年5月31日，项目实际支付5万元，支付政协会议召开产生的各项费用，通过该项目的实施，有效地提高了我县政协委员的履职能力，并提升了资金的使用效率和规范管理；二是县政协以提升委员业务能力和工作效率为着力点，紧紧围绕县委、县政府中心工作，着力提高委员为民服务本领。</w:t>
            </w:r>
          </w:p>
        </w:tc>
      </w:tr>
      <w:tr w14:paraId="5A0A7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375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94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8D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62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7D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58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57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42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02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8E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4B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B8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A74DA">
            <w:pPr>
              <w:jc w:val="center"/>
            </w:pPr>
            <w:r>
              <w:rPr>
                <w:rFonts w:ascii="宋体" w:hAnsi="宋体" w:eastAsia="宋体"/>
                <w:sz w:val="16"/>
              </w:rPr>
              <w:t>偏差原因分析及改进措施</w:t>
            </w:r>
          </w:p>
        </w:tc>
      </w:tr>
      <w:tr w14:paraId="7B2131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A61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995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FB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172B">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89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0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56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E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1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0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60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0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B7497">
            <w:pPr>
              <w:jc w:val="center"/>
            </w:pPr>
          </w:p>
        </w:tc>
      </w:tr>
      <w:tr w14:paraId="28373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2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6B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00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DAD5">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F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8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5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C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0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4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8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4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CF95">
            <w:pPr>
              <w:jc w:val="center"/>
            </w:pPr>
          </w:p>
        </w:tc>
      </w:tr>
      <w:tr w14:paraId="28380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6B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FF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DD7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F52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6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D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1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D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F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0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D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F3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4F77">
            <w:pPr>
              <w:jc w:val="center"/>
            </w:pPr>
          </w:p>
        </w:tc>
      </w:tr>
      <w:tr w14:paraId="327F6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95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37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6C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A3E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0DA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4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DE9E">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D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3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EE71">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E9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520E8">
            <w:pPr>
              <w:jc w:val="center"/>
            </w:pPr>
          </w:p>
        </w:tc>
      </w:tr>
      <w:tr w14:paraId="64501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A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D3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64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DA5E">
            <w:pPr>
              <w:jc w:val="center"/>
            </w:pPr>
            <w:r>
              <w:rPr>
                <w:rFonts w:ascii="宋体" w:hAnsi="宋体" w:eastAsia="宋体"/>
                <w:sz w:val="16"/>
              </w:rPr>
              <w:t>单位运行经费成本（万元）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450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3D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78D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C5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E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BD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A4C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FD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0127">
            <w:pPr>
              <w:jc w:val="center"/>
            </w:pPr>
          </w:p>
        </w:tc>
      </w:tr>
      <w:tr w14:paraId="5DED2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8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CC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D7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2E7C">
            <w:pPr>
              <w:jc w:val="center"/>
            </w:pPr>
            <w:r>
              <w:rPr>
                <w:rFonts w:ascii="宋体" w:hAnsi="宋体" w:eastAsia="宋体"/>
                <w:sz w:val="16"/>
              </w:rPr>
              <w:t>保障单位工作顺利进行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49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6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3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FC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8C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30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FB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48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CF21">
            <w:pPr>
              <w:jc w:val="center"/>
            </w:pPr>
          </w:p>
        </w:tc>
      </w:tr>
      <w:tr w14:paraId="2F57B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9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AE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DD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B839">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E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8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A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F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CE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9E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8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C5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49CC">
            <w:pPr>
              <w:jc w:val="center"/>
            </w:pPr>
            <w:r>
              <w:rPr>
                <w:rFonts w:ascii="宋体" w:hAnsi="宋体" w:eastAsia="宋体"/>
                <w:sz w:val="16"/>
              </w:rPr>
              <w:t>偏差原因：年初预算目标设定较为保守，实际完成值为100%，造成出现偏差。整改措施：多学习借鉴此类项目精准目标设定。</w:t>
            </w:r>
          </w:p>
        </w:tc>
      </w:tr>
      <w:tr w14:paraId="3C6790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02F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BF3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BCC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598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3A9B5A"/>
        </w:tc>
      </w:tr>
    </w:tbl>
    <w:p w14:paraId="38D4849E">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79"/>
        <w:gridCol w:w="696"/>
        <w:gridCol w:w="936"/>
        <w:gridCol w:w="579"/>
        <w:gridCol w:w="696"/>
        <w:gridCol w:w="595"/>
        <w:gridCol w:w="579"/>
        <w:gridCol w:w="579"/>
        <w:gridCol w:w="856"/>
        <w:gridCol w:w="632"/>
        <w:gridCol w:w="514"/>
        <w:gridCol w:w="629"/>
      </w:tblGrid>
      <w:tr w14:paraId="6BCE30BB">
        <w:tblPrEx>
          <w:tblCellMar>
            <w:top w:w="0" w:type="dxa"/>
            <w:left w:w="108" w:type="dxa"/>
            <w:bottom w:w="0" w:type="dxa"/>
            <w:right w:w="108" w:type="dxa"/>
          </w:tblCellMar>
        </w:tblPrEx>
        <w:tc>
          <w:tcPr>
            <w:tcW w:w="8848" w:type="dxa"/>
            <w:gridSpan w:val="14"/>
            <w:vAlign w:val="center"/>
          </w:tcPr>
          <w:p w14:paraId="66FC41F9">
            <w:pPr>
              <w:jc w:val="center"/>
            </w:pPr>
            <w:r>
              <w:rPr>
                <w:rFonts w:ascii="宋体" w:hAnsi="宋体" w:eastAsia="宋体"/>
                <w:sz w:val="24"/>
              </w:rPr>
              <w:t>项目支出绩效自评表</w:t>
            </w:r>
          </w:p>
        </w:tc>
      </w:tr>
      <w:tr w14:paraId="0A74A5B1">
        <w:tblPrEx>
          <w:tblCellMar>
            <w:top w:w="0" w:type="dxa"/>
            <w:left w:w="108" w:type="dxa"/>
            <w:bottom w:w="0" w:type="dxa"/>
            <w:right w:w="108" w:type="dxa"/>
          </w:tblCellMar>
        </w:tblPrEx>
        <w:tc>
          <w:tcPr>
            <w:tcW w:w="8848" w:type="dxa"/>
            <w:gridSpan w:val="14"/>
            <w:vAlign w:val="center"/>
          </w:tcPr>
          <w:p w14:paraId="4419DC2D">
            <w:pPr>
              <w:jc w:val="center"/>
            </w:pPr>
            <w:r>
              <w:rPr>
                <w:rFonts w:ascii="宋体" w:hAnsi="宋体" w:eastAsia="宋体"/>
                <w:sz w:val="24"/>
              </w:rPr>
              <w:t>(2024年度)</w:t>
            </w:r>
          </w:p>
        </w:tc>
      </w:tr>
      <w:tr w14:paraId="6EF28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6F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7F99A6">
            <w:pPr>
              <w:jc w:val="center"/>
            </w:pPr>
            <w:r>
              <w:rPr>
                <w:rFonts w:ascii="宋体" w:hAnsi="宋体" w:eastAsia="宋体"/>
                <w:sz w:val="16"/>
              </w:rPr>
              <w:t>政协2024年会议经费项目</w:t>
            </w:r>
          </w:p>
        </w:tc>
      </w:tr>
      <w:tr w14:paraId="7FBC1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7C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8D56A">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E4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60864">
            <w:pPr>
              <w:jc w:val="center"/>
            </w:pPr>
            <w:r>
              <w:rPr>
                <w:rFonts w:ascii="宋体" w:hAnsi="宋体" w:eastAsia="宋体"/>
                <w:sz w:val="16"/>
              </w:rPr>
              <w:t>中国人民政治协商会议叶城县委员会办公室</w:t>
            </w:r>
          </w:p>
        </w:tc>
      </w:tr>
      <w:tr w14:paraId="450465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C96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375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AA2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A2A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23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9E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2E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1F80">
            <w:pPr>
              <w:jc w:val="center"/>
            </w:pPr>
            <w:r>
              <w:rPr>
                <w:rFonts w:ascii="宋体" w:hAnsi="宋体" w:eastAsia="宋体"/>
                <w:sz w:val="16"/>
              </w:rPr>
              <w:t>得分</w:t>
            </w:r>
          </w:p>
        </w:tc>
      </w:tr>
      <w:tr w14:paraId="1EFA5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1D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ED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2DBE">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03A3">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179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F9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F9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1D4E">
            <w:pPr>
              <w:jc w:val="center"/>
            </w:pPr>
            <w:r>
              <w:rPr>
                <w:rFonts w:ascii="宋体" w:hAnsi="宋体" w:eastAsia="宋体"/>
                <w:sz w:val="16"/>
              </w:rPr>
              <w:t>10.00分</w:t>
            </w:r>
          </w:p>
        </w:tc>
      </w:tr>
      <w:tr w14:paraId="3A3F7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0DF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223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016D3">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A53D">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ED3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707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4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FEFC">
            <w:pPr>
              <w:jc w:val="center"/>
            </w:pPr>
            <w:r>
              <w:rPr>
                <w:rFonts w:ascii="宋体" w:hAnsi="宋体" w:eastAsia="宋体"/>
                <w:sz w:val="16"/>
              </w:rPr>
              <w:t>—</w:t>
            </w:r>
          </w:p>
        </w:tc>
      </w:tr>
      <w:tr w14:paraId="2035E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38D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53D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4B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05B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B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99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C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B656">
            <w:pPr>
              <w:jc w:val="center"/>
            </w:pPr>
            <w:r>
              <w:rPr>
                <w:rFonts w:ascii="宋体" w:hAnsi="宋体" w:eastAsia="宋体"/>
                <w:sz w:val="16"/>
              </w:rPr>
              <w:t>—</w:t>
            </w:r>
          </w:p>
        </w:tc>
      </w:tr>
      <w:tr w14:paraId="665D1AF2">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301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9E7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642BD">
            <w:pPr>
              <w:jc w:val="center"/>
            </w:pPr>
            <w:r>
              <w:rPr>
                <w:rFonts w:ascii="宋体" w:hAnsi="宋体" w:eastAsia="宋体"/>
                <w:sz w:val="16"/>
              </w:rPr>
              <w:t>实际完成情况</w:t>
            </w:r>
          </w:p>
        </w:tc>
      </w:tr>
      <w:tr w14:paraId="08376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56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944C1">
            <w:pPr>
              <w:jc w:val="both"/>
            </w:pPr>
            <w:r>
              <w:rPr>
                <w:rFonts w:ascii="宋体" w:hAnsi="宋体" w:eastAsia="宋体"/>
                <w:sz w:val="16"/>
              </w:rPr>
              <w:t>项目总投资18.76万元，主要用于为我县政协召开会议提供工作经费，会议参会政协委员人数185人，确保叶城县政协第十五届委员会议正常开展，着力促进叶城经济高质量发展。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62591">
            <w:pPr>
              <w:jc w:val="both"/>
            </w:pPr>
            <w:r>
              <w:rPr>
                <w:rFonts w:ascii="宋体" w:hAnsi="宋体" w:eastAsia="宋体"/>
                <w:sz w:val="16"/>
              </w:rPr>
              <w:t>截至2024年12月31日，该项目实际支出18.76万元，完成了我县政协召开会议提供工作经费，会议参会政协委员人数185人，确保叶城县政协第十五届委员会议正常开展，着力促进叶城经济高质量发展。</w:t>
            </w:r>
          </w:p>
        </w:tc>
      </w:tr>
      <w:tr w14:paraId="6BC70C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3AD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C0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BB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64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11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38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63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0E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BC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A8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D9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47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3BC2">
            <w:pPr>
              <w:jc w:val="center"/>
            </w:pPr>
            <w:r>
              <w:rPr>
                <w:rFonts w:ascii="宋体" w:hAnsi="宋体" w:eastAsia="宋体"/>
                <w:sz w:val="16"/>
              </w:rPr>
              <w:t>偏差原因分析及改进措施</w:t>
            </w:r>
          </w:p>
        </w:tc>
      </w:tr>
      <w:tr w14:paraId="7F94C5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5D6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D20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9C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E892">
            <w:pPr>
              <w:jc w:val="center"/>
            </w:pPr>
            <w:r>
              <w:rPr>
                <w:rFonts w:ascii="宋体" w:hAnsi="宋体" w:eastAsia="宋体"/>
                <w:sz w:val="16"/>
              </w:rPr>
              <w:t>会议参会政协委员人数（人）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76C9">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2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2E5B">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8A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0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B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95C8">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25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F140">
            <w:pPr>
              <w:jc w:val="center"/>
            </w:pPr>
          </w:p>
        </w:tc>
      </w:tr>
      <w:tr w14:paraId="6A736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7B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9D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3C2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4BF1">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E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7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B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3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6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8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A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28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BFA6">
            <w:pPr>
              <w:jc w:val="center"/>
            </w:pPr>
          </w:p>
        </w:tc>
      </w:tr>
      <w:tr w14:paraId="5D2BF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4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59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B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FCDA">
            <w:pPr>
              <w:jc w:val="center"/>
            </w:pPr>
            <w:r>
              <w:rPr>
                <w:rFonts w:ascii="宋体" w:hAnsi="宋体" w:eastAsia="宋体"/>
                <w:sz w:val="16"/>
              </w:rPr>
              <w:t>经费支出合规率（%）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F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5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A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F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7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2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1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25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34E9">
            <w:pPr>
              <w:jc w:val="center"/>
            </w:pPr>
          </w:p>
        </w:tc>
      </w:tr>
      <w:tr w14:paraId="33654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DC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B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70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1D99">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55D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1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574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1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0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2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6E5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F9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6F49">
            <w:pPr>
              <w:jc w:val="center"/>
            </w:pPr>
          </w:p>
        </w:tc>
      </w:tr>
      <w:tr w14:paraId="4D3F9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E2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16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65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F777">
            <w:pPr>
              <w:jc w:val="center"/>
            </w:pPr>
            <w:r>
              <w:rPr>
                <w:rFonts w:ascii="宋体" w:hAnsi="宋体" w:eastAsia="宋体"/>
                <w:sz w:val="16"/>
              </w:rPr>
              <w:t>平均每人此次会议召开成本（元/人）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93F1">
            <w:pPr>
              <w:jc w:val="center"/>
            </w:pPr>
            <w:r>
              <w:rPr>
                <w:rFonts w:ascii="宋体" w:hAnsi="宋体" w:eastAsia="宋体"/>
                <w:sz w:val="16"/>
              </w:rPr>
              <w:t>&lt;=1014.05元/人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25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DEED">
            <w:pPr>
              <w:jc w:val="center"/>
            </w:pPr>
            <w:r>
              <w:rPr>
                <w:rFonts w:ascii="宋体" w:hAnsi="宋体" w:eastAsia="宋体"/>
                <w:sz w:val="16"/>
              </w:rPr>
              <w:t>983.78元/人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D0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E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15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7177">
            <w:pPr>
              <w:jc w:val="center"/>
            </w:pPr>
            <w:r>
              <w:rPr>
                <w:rFonts w:ascii="宋体" w:hAnsi="宋体" w:eastAsia="宋体"/>
                <w:sz w:val="16"/>
              </w:rPr>
              <w:t>=1014.05元/人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9F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97B7">
            <w:pPr>
              <w:jc w:val="center"/>
            </w:pPr>
          </w:p>
        </w:tc>
      </w:tr>
      <w:tr w14:paraId="28856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91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16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30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FE6D">
            <w:pPr>
              <w:jc w:val="center"/>
            </w:pPr>
            <w:r>
              <w:rPr>
                <w:rFonts w:ascii="宋体" w:hAnsi="宋体" w:eastAsia="宋体"/>
                <w:sz w:val="16"/>
              </w:rPr>
              <w:t>保障政协会议开展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32E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6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43D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9C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A3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E4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8AA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12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D135B">
            <w:pPr>
              <w:jc w:val="center"/>
            </w:pPr>
          </w:p>
        </w:tc>
      </w:tr>
      <w:tr w14:paraId="0AF3F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1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67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E8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EAB9">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47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8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3E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2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E0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14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9F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31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AC43">
            <w:pPr>
              <w:jc w:val="center"/>
            </w:pPr>
          </w:p>
        </w:tc>
      </w:tr>
      <w:tr w14:paraId="2121A0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8A6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9D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975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12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93471C"/>
        </w:tc>
      </w:tr>
    </w:tbl>
    <w:p w14:paraId="0DCF83FA">
      <w:r>
        <w:br w:type="page"/>
      </w:r>
    </w:p>
    <w:p w14:paraId="3DC67BC3">
      <w:pPr>
        <w:spacing w:line="640" w:lineRule="exact"/>
        <w:ind w:firstLine="640"/>
        <w:jc w:val="both"/>
        <w:outlineLvl w:val="2"/>
      </w:pPr>
      <w:r>
        <w:rPr>
          <w:rFonts w:ascii="黑体" w:hAnsi="黑体" w:eastAsia="黑体"/>
          <w:sz w:val="32"/>
        </w:rPr>
        <w:t>十二、其他需说明的事项</w:t>
      </w:r>
    </w:p>
    <w:p w14:paraId="7F3122D7">
      <w:pPr>
        <w:spacing w:line="580" w:lineRule="exact"/>
        <w:ind w:firstLine="640"/>
        <w:jc w:val="both"/>
      </w:pPr>
      <w:r>
        <w:rPr>
          <w:rFonts w:ascii="仿宋_GB2312" w:hAnsi="仿宋_GB2312" w:eastAsia="仿宋_GB2312"/>
          <w:b w:val="0"/>
          <w:sz w:val="32"/>
        </w:rPr>
        <w:t>本单位无其他需说明的事项。</w:t>
      </w:r>
    </w:p>
    <w:p w14:paraId="4C997D88">
      <w:r>
        <w:br w:type="page"/>
      </w:r>
    </w:p>
    <w:p w14:paraId="43BB8949">
      <w:pPr>
        <w:spacing w:line="240" w:lineRule="auto"/>
        <w:jc w:val="center"/>
        <w:outlineLvl w:val="1"/>
      </w:pPr>
      <w:r>
        <w:rPr>
          <w:rFonts w:ascii="黑体" w:hAnsi="黑体" w:eastAsia="黑体"/>
          <w:sz w:val="32"/>
        </w:rPr>
        <w:t>第三部分 专业名词解释</w:t>
      </w:r>
    </w:p>
    <w:p w14:paraId="38D04E3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10AA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40F33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AFA2E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95D748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3AB2C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786A1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2772B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DF003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873DB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C8C80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DF154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65CAB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9632A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EB4C10">
      <w:r>
        <w:br w:type="page"/>
      </w:r>
    </w:p>
    <w:p w14:paraId="586B80AF">
      <w:pPr>
        <w:spacing w:line="240" w:lineRule="auto"/>
        <w:jc w:val="center"/>
        <w:outlineLvl w:val="1"/>
      </w:pPr>
      <w:r>
        <w:rPr>
          <w:rFonts w:ascii="黑体" w:hAnsi="黑体" w:eastAsia="黑体"/>
          <w:sz w:val="32"/>
        </w:rPr>
        <w:t>第四部分 部门决算报表（见附表）</w:t>
      </w:r>
    </w:p>
    <w:p w14:paraId="227AF35F">
      <w:pPr>
        <w:spacing w:line="240" w:lineRule="auto"/>
        <w:ind w:firstLine="640"/>
        <w:jc w:val="both"/>
      </w:pPr>
      <w:r>
        <w:rPr>
          <w:rFonts w:ascii="仿宋_GB2312" w:hAnsi="仿宋_GB2312" w:eastAsia="仿宋_GB2312"/>
          <w:b w:val="0"/>
          <w:sz w:val="32"/>
        </w:rPr>
        <w:t>一、《收入支出决算总表》</w:t>
      </w:r>
    </w:p>
    <w:p w14:paraId="4FF84461">
      <w:pPr>
        <w:spacing w:line="240" w:lineRule="auto"/>
        <w:ind w:firstLine="640"/>
        <w:jc w:val="both"/>
      </w:pPr>
      <w:r>
        <w:rPr>
          <w:rFonts w:ascii="仿宋_GB2312" w:hAnsi="仿宋_GB2312" w:eastAsia="仿宋_GB2312"/>
          <w:b w:val="0"/>
          <w:sz w:val="32"/>
        </w:rPr>
        <w:t>二、《收入决算表》</w:t>
      </w:r>
    </w:p>
    <w:p w14:paraId="191F7887">
      <w:pPr>
        <w:spacing w:line="240" w:lineRule="auto"/>
        <w:ind w:firstLine="640"/>
        <w:jc w:val="both"/>
      </w:pPr>
      <w:r>
        <w:rPr>
          <w:rFonts w:ascii="仿宋_GB2312" w:hAnsi="仿宋_GB2312" w:eastAsia="仿宋_GB2312"/>
          <w:b w:val="0"/>
          <w:sz w:val="32"/>
        </w:rPr>
        <w:t>三、《支出决算表》</w:t>
      </w:r>
    </w:p>
    <w:p w14:paraId="0CA69EA3">
      <w:pPr>
        <w:spacing w:line="240" w:lineRule="auto"/>
        <w:ind w:firstLine="640"/>
        <w:jc w:val="both"/>
      </w:pPr>
      <w:r>
        <w:rPr>
          <w:rFonts w:ascii="仿宋_GB2312" w:hAnsi="仿宋_GB2312" w:eastAsia="仿宋_GB2312"/>
          <w:b w:val="0"/>
          <w:sz w:val="32"/>
        </w:rPr>
        <w:t>四、《财政拨款收入支出决算总表》</w:t>
      </w:r>
    </w:p>
    <w:p w14:paraId="49B42768">
      <w:pPr>
        <w:spacing w:line="240" w:lineRule="auto"/>
        <w:ind w:firstLine="640"/>
        <w:jc w:val="both"/>
      </w:pPr>
      <w:r>
        <w:rPr>
          <w:rFonts w:ascii="仿宋_GB2312" w:hAnsi="仿宋_GB2312" w:eastAsia="仿宋_GB2312"/>
          <w:b w:val="0"/>
          <w:sz w:val="32"/>
        </w:rPr>
        <w:t>五、《一般公共预算财政拨款支出决算表》</w:t>
      </w:r>
    </w:p>
    <w:p w14:paraId="7CBE420A">
      <w:pPr>
        <w:spacing w:line="240" w:lineRule="auto"/>
        <w:ind w:firstLine="640"/>
        <w:jc w:val="both"/>
      </w:pPr>
      <w:r>
        <w:rPr>
          <w:rFonts w:ascii="仿宋_GB2312" w:hAnsi="仿宋_GB2312" w:eastAsia="仿宋_GB2312"/>
          <w:b w:val="0"/>
          <w:sz w:val="32"/>
        </w:rPr>
        <w:t>六、《一般公共预算财政拨款基本支出决算表》</w:t>
      </w:r>
    </w:p>
    <w:p w14:paraId="73A5778E">
      <w:pPr>
        <w:spacing w:line="240" w:lineRule="auto"/>
        <w:ind w:firstLine="640"/>
        <w:jc w:val="both"/>
      </w:pPr>
      <w:r>
        <w:rPr>
          <w:rFonts w:ascii="仿宋_GB2312" w:hAnsi="仿宋_GB2312" w:eastAsia="仿宋_GB2312"/>
          <w:b w:val="0"/>
          <w:sz w:val="32"/>
        </w:rPr>
        <w:t>七、《政府性基金预算财政拨款收入支出决算表》</w:t>
      </w:r>
    </w:p>
    <w:p w14:paraId="0B63D9BB">
      <w:pPr>
        <w:spacing w:line="240" w:lineRule="auto"/>
        <w:ind w:firstLine="640"/>
        <w:jc w:val="both"/>
      </w:pPr>
      <w:r>
        <w:rPr>
          <w:rFonts w:ascii="仿宋_GB2312" w:hAnsi="仿宋_GB2312" w:eastAsia="仿宋_GB2312"/>
          <w:b w:val="0"/>
          <w:sz w:val="32"/>
        </w:rPr>
        <w:t>八、《国有资本经营预算财政拨款收入支出决算表》</w:t>
      </w:r>
    </w:p>
    <w:p w14:paraId="2F2D4971">
      <w:pPr>
        <w:spacing w:line="240" w:lineRule="auto"/>
        <w:ind w:firstLine="640"/>
        <w:jc w:val="both"/>
      </w:pPr>
      <w:r>
        <w:rPr>
          <w:rFonts w:ascii="仿宋_GB2312" w:hAnsi="仿宋_GB2312" w:eastAsia="仿宋_GB2312"/>
          <w:b w:val="0"/>
          <w:sz w:val="32"/>
        </w:rPr>
        <w:t>九、《财政拨款“三公”经费支出决算表》</w:t>
      </w:r>
    </w:p>
    <w:p w14:paraId="1513A1C5">
      <w:pPr>
        <w:spacing w:line="240" w:lineRule="auto"/>
        <w:ind w:firstLine="640"/>
        <w:jc w:val="both"/>
      </w:pPr>
    </w:p>
    <w:p w14:paraId="5AC135BB">
      <w:pPr>
        <w:spacing w:line="240" w:lineRule="auto"/>
        <w:ind w:firstLine="640"/>
        <w:jc w:val="both"/>
      </w:pPr>
    </w:p>
    <w:p w14:paraId="552AEC6D">
      <w:pPr>
        <w:spacing w:line="240" w:lineRule="auto"/>
        <w:ind w:firstLine="640"/>
        <w:jc w:val="both"/>
      </w:pPr>
    </w:p>
    <w:p w14:paraId="20110B14">
      <w:pPr>
        <w:spacing w:line="240" w:lineRule="auto"/>
        <w:ind w:firstLine="640"/>
        <w:jc w:val="both"/>
      </w:pPr>
    </w:p>
    <w:p w14:paraId="42E6DE9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1E486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337972"/>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6281</Words>
  <Characters>6961</Characters>
  <Lines>0</Lines>
  <Paragraphs>0</Paragraphs>
  <TotalTime>6</TotalTime>
  <ScaleCrop>false</ScaleCrop>
  <LinksUpToDate>false</LinksUpToDate>
  <CharactersWithSpaces>6969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2025-09-29T11:05:12Z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