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A2CE0C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叶城县人民代表大会常务委员会办公室</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6198C9">
      <w:r>
        <w:br w:type="page"/>
      </w:r>
    </w:p>
    <w:p w14:paraId="591A71BD">
      <w:pPr>
        <w:spacing w:line="640" w:lineRule="exact"/>
        <w:jc w:val="center"/>
        <w:outlineLvl w:val="1"/>
      </w:pPr>
      <w:r>
        <w:rPr>
          <w:rFonts w:ascii="黑体" w:hAnsi="黑体" w:eastAsia="黑体"/>
          <w:sz w:val="32"/>
        </w:rPr>
        <w:t>第一部分 单位概况</w:t>
      </w:r>
    </w:p>
    <w:p w14:paraId="18B88F79">
      <w:pPr>
        <w:spacing w:line="640" w:lineRule="exact"/>
        <w:ind w:firstLine="640"/>
        <w:jc w:val="both"/>
        <w:outlineLvl w:val="2"/>
      </w:pPr>
      <w:r>
        <w:rPr>
          <w:rFonts w:ascii="黑体" w:hAnsi="黑体" w:eastAsia="黑体"/>
          <w:sz w:val="32"/>
        </w:rPr>
        <w:t>一、主要职能</w:t>
      </w:r>
    </w:p>
    <w:p w14:paraId="287932AC">
      <w:pPr>
        <w:spacing w:line="580" w:lineRule="exact"/>
        <w:ind w:firstLine="640"/>
        <w:jc w:val="both"/>
      </w:pPr>
      <w:r>
        <w:rPr>
          <w:rFonts w:ascii="仿宋_GB2312" w:hAnsi="仿宋_GB2312" w:eastAsia="仿宋_GB2312"/>
          <w:sz w:val="32"/>
        </w:rPr>
        <w:t>叶城县人民代表大会是地方国家权力机关，叶城县人民代表大会常务委员会坚持中国共产党的领导，坚持以马克思列宁主义、毛泽东思想、邓小平理论、</w:t>
      </w:r>
      <w:r>
        <w:rPr>
          <w:rFonts w:hint="eastAsia" w:ascii="仿宋_GB2312" w:hAnsi="仿宋_GB2312" w:eastAsia="仿宋_GB2312"/>
          <w:sz w:val="32"/>
          <w:lang w:eastAsia="zh-CN"/>
        </w:rPr>
        <w:t>“三个代表”</w:t>
      </w:r>
      <w:r>
        <w:rPr>
          <w:rFonts w:ascii="仿宋_GB2312" w:hAnsi="仿宋_GB2312" w:eastAsia="仿宋_GB2312"/>
          <w:sz w:val="32"/>
        </w:rPr>
        <w:t>重要思想、科学发展观、习近平新时代中国特色社会主义思想为指导，依照宪法和法律规定行使职权。叶城县人民代表大会常务委员会是本级人民代表大会的常设机关，坚持以人民为中心，坚持和发展全过程人民民主，始终同人民保持密切联系，倾听人民的意见和建议，为人民服务，对人民负责，受人民监督。县级以上的地方各级人民代表大会行使下列职权。</w:t>
      </w:r>
    </w:p>
    <w:p w14:paraId="62388229">
      <w:pPr>
        <w:spacing w:line="580" w:lineRule="exact"/>
        <w:ind w:firstLine="640"/>
        <w:jc w:val="both"/>
      </w:pPr>
      <w:r>
        <w:rPr>
          <w:rFonts w:ascii="仿宋_GB2312" w:hAnsi="仿宋_GB2312" w:eastAsia="仿宋_GB2312"/>
          <w:sz w:val="32"/>
        </w:rPr>
        <w:t>(一)在本行政区域内，保证宪法、法律、行政法规和上级人民代表大会及其常务委员会决议的遵守和执行，保证国家计划和国家预算的执行。</w:t>
      </w:r>
    </w:p>
    <w:p w14:paraId="38170954">
      <w:pPr>
        <w:spacing w:line="580" w:lineRule="exact"/>
        <w:ind w:firstLine="640"/>
        <w:jc w:val="both"/>
      </w:pPr>
      <w:r>
        <w:rPr>
          <w:rFonts w:ascii="仿宋_GB2312" w:hAnsi="仿宋_GB2312" w:eastAsia="仿宋_GB2312"/>
          <w:sz w:val="32"/>
        </w:rPr>
        <w:t>(二)审查和批准本行政区域内的国民经济和社会发展规划纲要、计划和预算及其执行情况的报告，审</w:t>
      </w:r>
      <w:r>
        <w:rPr>
          <w:rFonts w:hint="eastAsia" w:ascii="仿宋_GB2312" w:hAnsi="仿宋_GB2312" w:eastAsia="仿宋_GB2312"/>
          <w:sz w:val="32"/>
          <w:lang w:eastAsia="zh-CN"/>
        </w:rPr>
        <w:t>查和</w:t>
      </w:r>
      <w:r>
        <w:rPr>
          <w:rFonts w:ascii="仿宋_GB2312" w:hAnsi="仿宋_GB2312" w:eastAsia="仿宋_GB2312"/>
          <w:sz w:val="32"/>
        </w:rPr>
        <w:t>监督政府债务，监督本级人民政府对国有资产的管理。</w:t>
      </w:r>
    </w:p>
    <w:p w14:paraId="2C361231">
      <w:pPr>
        <w:spacing w:line="580" w:lineRule="exact"/>
        <w:ind w:firstLine="640"/>
        <w:jc w:val="both"/>
      </w:pPr>
      <w:r>
        <w:rPr>
          <w:rFonts w:ascii="仿宋_GB2312" w:hAnsi="仿宋_GB2312" w:eastAsia="仿宋_GB2312"/>
          <w:sz w:val="32"/>
        </w:rPr>
        <w:t>(三)讨论、决定本行政区域内的政治、经济、教育、科学、文化、卫生、生态环境保护、自然资源、城乡建设、民政、社会保障、</w:t>
      </w:r>
      <w:r>
        <w:rPr>
          <w:rFonts w:hint="eastAsia" w:ascii="仿宋_GB2312" w:hAnsi="仿宋_GB2312" w:eastAsia="仿宋_GB2312"/>
          <w:sz w:val="32"/>
          <w:lang w:eastAsia="zh-CN"/>
        </w:rPr>
        <w:t>民</w:t>
      </w:r>
      <w:r>
        <w:rPr>
          <w:rFonts w:ascii="仿宋_GB2312" w:hAnsi="仿宋_GB2312" w:eastAsia="仿宋_GB2312"/>
          <w:sz w:val="32"/>
        </w:rPr>
        <w:t>族等工作的重大事项和项目。</w:t>
      </w:r>
    </w:p>
    <w:p w14:paraId="155E21E0">
      <w:pPr>
        <w:spacing w:line="580" w:lineRule="exact"/>
        <w:ind w:firstLine="640"/>
        <w:jc w:val="both"/>
      </w:pPr>
      <w:r>
        <w:rPr>
          <w:rFonts w:ascii="仿宋_GB2312" w:hAnsi="仿宋_GB2312" w:eastAsia="仿宋_GB2312"/>
          <w:sz w:val="32"/>
        </w:rPr>
        <w:t>(四)选举本级人民代表大会常务委员会的组成人员。</w:t>
      </w:r>
    </w:p>
    <w:p w14:paraId="09267445">
      <w:pPr>
        <w:spacing w:line="580" w:lineRule="exact"/>
        <w:ind w:firstLine="640"/>
        <w:jc w:val="both"/>
      </w:pPr>
      <w:r>
        <w:rPr>
          <w:rFonts w:ascii="仿宋_GB2312" w:hAnsi="仿宋_GB2312" w:eastAsia="仿宋_GB2312"/>
          <w:sz w:val="32"/>
        </w:rPr>
        <w:t>(五)选举县长、副县长。</w:t>
      </w:r>
    </w:p>
    <w:p w14:paraId="72F4C3CD">
      <w:pPr>
        <w:spacing w:line="580" w:lineRule="exact"/>
        <w:ind w:firstLine="640"/>
        <w:jc w:val="both"/>
      </w:pPr>
      <w:r>
        <w:rPr>
          <w:rFonts w:ascii="仿宋_GB2312" w:hAnsi="仿宋_GB2312" w:eastAsia="仿宋_GB2312"/>
          <w:sz w:val="32"/>
        </w:rPr>
        <w:t>(六)选举本级监察委员会主任、人民法院院长和人民检察院检察长;选出的人民检察院检察长，须报经上一级人民检察院检察长提请该级人民代表大会常务委员会批准。</w:t>
      </w:r>
    </w:p>
    <w:p w14:paraId="1654A2ED">
      <w:pPr>
        <w:spacing w:line="580" w:lineRule="exact"/>
        <w:ind w:firstLine="640"/>
        <w:jc w:val="both"/>
      </w:pPr>
      <w:r>
        <w:rPr>
          <w:rFonts w:ascii="仿宋_GB2312" w:hAnsi="仿宋_GB2312" w:eastAsia="仿宋_GB2312"/>
          <w:sz w:val="32"/>
        </w:rPr>
        <w:t>(七)选举上一级人民代表大会代表。</w:t>
      </w:r>
    </w:p>
    <w:p w14:paraId="6A698F35">
      <w:pPr>
        <w:spacing w:line="580" w:lineRule="exact"/>
        <w:ind w:firstLine="640"/>
        <w:jc w:val="both"/>
      </w:pPr>
      <w:r>
        <w:rPr>
          <w:rFonts w:ascii="仿宋_GB2312" w:hAnsi="仿宋_GB2312" w:eastAsia="仿宋_GB2312"/>
          <w:sz w:val="32"/>
        </w:rPr>
        <w:t>(八)听取和审议本级人民代表大会常务委员会的工作报告。</w:t>
      </w:r>
    </w:p>
    <w:p w14:paraId="7DC8EF67">
      <w:pPr>
        <w:spacing w:line="580" w:lineRule="exact"/>
        <w:ind w:firstLine="640"/>
        <w:jc w:val="both"/>
      </w:pPr>
      <w:r>
        <w:rPr>
          <w:rFonts w:ascii="仿宋_GB2312" w:hAnsi="仿宋_GB2312" w:eastAsia="仿宋_GB2312"/>
          <w:sz w:val="32"/>
        </w:rPr>
        <w:t>(九)听取和审议本级人民政府和人民法院、人民检察院的工作报告。</w:t>
      </w:r>
    </w:p>
    <w:p w14:paraId="483EB1A7">
      <w:pPr>
        <w:spacing w:line="580" w:lineRule="exact"/>
        <w:ind w:firstLine="640"/>
        <w:jc w:val="both"/>
      </w:pPr>
      <w:r>
        <w:rPr>
          <w:rFonts w:ascii="仿宋_GB2312" w:hAnsi="仿宋_GB2312" w:eastAsia="仿宋_GB2312"/>
          <w:sz w:val="32"/>
        </w:rPr>
        <w:t>(十)改变或者撤销本级人民代表大会常务委员会的不适当的决议。</w:t>
      </w:r>
    </w:p>
    <w:p w14:paraId="43D765FB">
      <w:pPr>
        <w:spacing w:line="580" w:lineRule="exact"/>
        <w:ind w:firstLine="640"/>
        <w:jc w:val="both"/>
      </w:pPr>
      <w:r>
        <w:rPr>
          <w:rFonts w:ascii="仿宋_GB2312" w:hAnsi="仿宋_GB2312" w:eastAsia="仿宋_GB2312"/>
          <w:sz w:val="32"/>
        </w:rPr>
        <w:t>(十一)撤销本级人民政府的不适当的决定和命令。</w:t>
      </w:r>
    </w:p>
    <w:p w14:paraId="2364F593">
      <w:pPr>
        <w:spacing w:line="580" w:lineRule="exact"/>
        <w:ind w:firstLine="640"/>
        <w:jc w:val="both"/>
      </w:pPr>
      <w:r>
        <w:rPr>
          <w:rFonts w:ascii="仿宋_GB2312" w:hAnsi="仿宋_GB2312" w:eastAsia="仿宋_GB2312"/>
          <w:sz w:val="32"/>
        </w:rPr>
        <w:t>(十二)保护社会主义的全民所有的财产和劳动群众集体所有的财产，保护公民私人所有的合法财产，维护社会秩序，保障公民的人身权利、民主权利和其他权利。</w:t>
      </w:r>
    </w:p>
    <w:p w14:paraId="6E147595">
      <w:pPr>
        <w:spacing w:line="580" w:lineRule="exact"/>
        <w:ind w:firstLine="640"/>
        <w:jc w:val="both"/>
      </w:pPr>
      <w:r>
        <w:rPr>
          <w:rFonts w:ascii="仿宋_GB2312" w:hAnsi="仿宋_GB2312" w:eastAsia="仿宋_GB2312"/>
          <w:sz w:val="32"/>
        </w:rPr>
        <w:t>(十三)保护各种经济组织的合法权益。</w:t>
      </w:r>
    </w:p>
    <w:p w14:paraId="3E3A5228">
      <w:pPr>
        <w:spacing w:line="580" w:lineRule="exact"/>
        <w:ind w:firstLine="640"/>
        <w:jc w:val="both"/>
      </w:pPr>
      <w:r>
        <w:rPr>
          <w:rFonts w:ascii="仿宋_GB2312" w:hAnsi="仿宋_GB2312" w:eastAsia="仿宋_GB2312"/>
          <w:sz w:val="32"/>
        </w:rPr>
        <w:t>(十四)铸牢中华</w:t>
      </w:r>
      <w:r>
        <w:rPr>
          <w:rFonts w:hint="eastAsia" w:ascii="仿宋_GB2312" w:hAnsi="仿宋_GB2312" w:eastAsia="仿宋_GB2312"/>
          <w:sz w:val="32"/>
          <w:lang w:eastAsia="zh-CN"/>
        </w:rPr>
        <w:t>民</w:t>
      </w:r>
      <w:r>
        <w:rPr>
          <w:rFonts w:ascii="仿宋_GB2312" w:hAnsi="仿宋_GB2312" w:eastAsia="仿宋_GB2312"/>
          <w:sz w:val="32"/>
        </w:rPr>
        <w:t>族共同体意识，促进各</w:t>
      </w:r>
      <w:r>
        <w:rPr>
          <w:rFonts w:hint="eastAsia" w:ascii="仿宋_GB2312" w:hAnsi="仿宋_GB2312" w:eastAsia="仿宋_GB2312"/>
          <w:sz w:val="32"/>
          <w:lang w:eastAsia="zh-CN"/>
        </w:rPr>
        <w:t>民</w:t>
      </w:r>
      <w:r>
        <w:rPr>
          <w:rFonts w:ascii="仿宋_GB2312" w:hAnsi="仿宋_GB2312" w:eastAsia="仿宋_GB2312"/>
          <w:sz w:val="32"/>
        </w:rPr>
        <w:t>族广泛交往交流交融，保障少数</w:t>
      </w:r>
      <w:r>
        <w:rPr>
          <w:rFonts w:hint="eastAsia" w:ascii="仿宋_GB2312" w:hAnsi="仿宋_GB2312" w:eastAsia="仿宋_GB2312"/>
          <w:sz w:val="32"/>
          <w:lang w:eastAsia="zh-CN"/>
        </w:rPr>
        <w:t>民</w:t>
      </w:r>
      <w:r>
        <w:rPr>
          <w:rFonts w:ascii="仿宋_GB2312" w:hAnsi="仿宋_GB2312" w:eastAsia="仿宋_GB2312"/>
          <w:sz w:val="32"/>
        </w:rPr>
        <w:t>族的合法权利和利益。</w:t>
      </w:r>
    </w:p>
    <w:p w14:paraId="4681EFF8">
      <w:pPr>
        <w:spacing w:line="580" w:lineRule="exact"/>
        <w:ind w:firstLine="640"/>
        <w:jc w:val="both"/>
      </w:pPr>
      <w:r>
        <w:rPr>
          <w:rFonts w:ascii="仿宋_GB2312" w:hAnsi="仿宋_GB2312" w:eastAsia="仿宋_GB2312"/>
          <w:sz w:val="32"/>
        </w:rPr>
        <w:t>(十五)保障宪法和法律赋予妇女的男女平等、同工同酬和婚姻自由等各项权利。</w:t>
      </w:r>
    </w:p>
    <w:p w14:paraId="28B1C9CB">
      <w:pPr>
        <w:spacing w:line="640" w:lineRule="exact"/>
        <w:ind w:firstLine="640"/>
        <w:jc w:val="both"/>
        <w:outlineLvl w:val="2"/>
      </w:pPr>
      <w:r>
        <w:rPr>
          <w:rFonts w:ascii="黑体" w:hAnsi="黑体" w:eastAsia="黑体"/>
          <w:sz w:val="32"/>
        </w:rPr>
        <w:t>二、机构设置及人员情况</w:t>
      </w:r>
    </w:p>
    <w:p w14:paraId="014AD58E">
      <w:pPr>
        <w:spacing w:line="580" w:lineRule="exact"/>
        <w:ind w:firstLine="640"/>
        <w:jc w:val="both"/>
      </w:pPr>
      <w:r>
        <w:rPr>
          <w:rFonts w:ascii="仿宋_GB2312" w:hAnsi="仿宋_GB2312" w:eastAsia="仿宋_GB2312"/>
          <w:sz w:val="32"/>
        </w:rPr>
        <w:t>叶城县人民代表大会常务委员会办公室2024年度，实有人数71人，其中：在职人员25人，增加0人；离休人员0人，增加0人；退休人员46人,增加5人。</w:t>
      </w:r>
    </w:p>
    <w:p w14:paraId="62DC01EB">
      <w:pPr>
        <w:spacing w:line="580" w:lineRule="exact"/>
        <w:ind w:firstLine="640"/>
        <w:jc w:val="both"/>
      </w:pPr>
      <w:r>
        <w:rPr>
          <w:rFonts w:ascii="仿宋_GB2312" w:hAnsi="仿宋_GB2312" w:eastAsia="仿宋_GB2312"/>
          <w:sz w:val="32"/>
        </w:rPr>
        <w:t>叶城县人民代表大会常务委员会办公室无下属预算单位，下设5个科室，分别是：办公室、代表工作委员会、法制工作委员会、科教文卫工作委员会、预算工作委员会。</w:t>
      </w:r>
    </w:p>
    <w:p w14:paraId="79088889">
      <w:r>
        <w:br w:type="page"/>
      </w:r>
    </w:p>
    <w:p w14:paraId="3094EEFC">
      <w:pPr>
        <w:spacing w:line="240" w:lineRule="auto"/>
        <w:jc w:val="center"/>
        <w:outlineLvl w:val="1"/>
      </w:pPr>
      <w:r>
        <w:rPr>
          <w:rFonts w:ascii="黑体" w:hAnsi="黑体" w:eastAsia="黑体"/>
          <w:sz w:val="32"/>
        </w:rPr>
        <w:t>第二部分 部门决算情况说明</w:t>
      </w:r>
    </w:p>
    <w:p w14:paraId="57736641">
      <w:pPr>
        <w:spacing w:line="640" w:lineRule="exact"/>
        <w:ind w:firstLine="640"/>
        <w:jc w:val="both"/>
        <w:outlineLvl w:val="2"/>
      </w:pPr>
      <w:r>
        <w:rPr>
          <w:rFonts w:ascii="黑体" w:hAnsi="黑体" w:eastAsia="黑体"/>
          <w:sz w:val="32"/>
        </w:rPr>
        <w:t>一、收入支出决算总体情况说明</w:t>
      </w:r>
    </w:p>
    <w:p w14:paraId="06617546">
      <w:pPr>
        <w:spacing w:line="580" w:lineRule="exact"/>
        <w:ind w:firstLine="640"/>
        <w:jc w:val="both"/>
      </w:pPr>
      <w:r>
        <w:rPr>
          <w:rFonts w:ascii="仿宋_GB2312" w:hAnsi="仿宋_GB2312" w:eastAsia="仿宋_GB2312"/>
          <w:b/>
          <w:sz w:val="32"/>
        </w:rPr>
        <w:t>2024年度收入总计755.59万元，</w:t>
      </w:r>
      <w:r>
        <w:rPr>
          <w:rFonts w:ascii="仿宋_GB2312" w:hAnsi="仿宋_GB2312" w:eastAsia="仿宋_GB2312"/>
          <w:b w:val="0"/>
          <w:sz w:val="32"/>
        </w:rPr>
        <w:t>其中：本年收入合计755.59万元，使用非财政拨款结余（含专用结余）0.00万元，年初结转和结余0.00万元。</w:t>
      </w:r>
    </w:p>
    <w:p w14:paraId="3668A8D1">
      <w:pPr>
        <w:spacing w:line="580" w:lineRule="exact"/>
        <w:ind w:firstLine="640"/>
        <w:jc w:val="both"/>
      </w:pPr>
      <w:r>
        <w:rPr>
          <w:rFonts w:ascii="仿宋_GB2312" w:hAnsi="仿宋_GB2312" w:eastAsia="仿宋_GB2312"/>
          <w:b/>
          <w:sz w:val="32"/>
        </w:rPr>
        <w:t>2024年度支出总计755.59万元，</w:t>
      </w:r>
      <w:r>
        <w:rPr>
          <w:rFonts w:ascii="仿宋_GB2312" w:hAnsi="仿宋_GB2312" w:eastAsia="仿宋_GB2312"/>
          <w:b w:val="0"/>
          <w:sz w:val="32"/>
        </w:rPr>
        <w:t>其中：本年支出合计755.59万元，结余分配0.00万元，年末结转和结余0.00万元。</w:t>
      </w:r>
    </w:p>
    <w:p w14:paraId="2A1D6979">
      <w:pPr>
        <w:spacing w:line="580" w:lineRule="exact"/>
        <w:ind w:firstLine="640"/>
        <w:jc w:val="both"/>
      </w:pPr>
      <w:r>
        <w:rPr>
          <w:rFonts w:ascii="仿宋_GB2312" w:hAnsi="仿宋_GB2312" w:eastAsia="仿宋_GB2312"/>
          <w:b w:val="0"/>
          <w:sz w:val="32"/>
        </w:rPr>
        <w:t>收入支出总体与上年相比，减少120.84万元，下降13.79%，主要原因是：一是本年在职人员转退休5人，新调入在职人员5人，退休人员工资基数较高，新调入人员工资基数低，导致人员经费较上年减少；二是本年自治区基层人大补助经费减少；三是本年死亡抚恤支出减少。</w:t>
      </w:r>
    </w:p>
    <w:p w14:paraId="15689D30">
      <w:pPr>
        <w:spacing w:line="640" w:lineRule="exact"/>
        <w:ind w:firstLine="640"/>
        <w:jc w:val="both"/>
        <w:outlineLvl w:val="2"/>
      </w:pPr>
      <w:r>
        <w:rPr>
          <w:rFonts w:ascii="黑体" w:hAnsi="黑体" w:eastAsia="黑体"/>
          <w:sz w:val="32"/>
        </w:rPr>
        <w:t>二、收入决算情况说明</w:t>
      </w:r>
    </w:p>
    <w:p w14:paraId="5E3D35EE">
      <w:pPr>
        <w:spacing w:line="580" w:lineRule="exact"/>
        <w:ind w:firstLine="640"/>
        <w:jc w:val="both"/>
      </w:pPr>
      <w:r>
        <w:rPr>
          <w:rFonts w:ascii="仿宋_GB2312" w:hAnsi="仿宋_GB2312" w:eastAsia="仿宋_GB2312"/>
          <w:b/>
          <w:sz w:val="32"/>
        </w:rPr>
        <w:t>本年收入755.59万元，</w:t>
      </w:r>
      <w:r>
        <w:rPr>
          <w:rFonts w:ascii="仿宋_GB2312" w:hAnsi="仿宋_GB2312" w:eastAsia="仿宋_GB2312"/>
          <w:b w:val="0"/>
          <w:sz w:val="32"/>
        </w:rPr>
        <w:t>其中：财政拨款收入755.59万元，占100.00%；上级补助收入0.00万元，占0.00%；事业收入0.00万元，占0.00%；经营收入0.00万元，占0.00%；附属单位上缴收入0.00万元，占0.00%；其他收入0.00万元，占0.00%。</w:t>
      </w:r>
    </w:p>
    <w:p w14:paraId="4E2011CD">
      <w:pPr>
        <w:spacing w:line="640" w:lineRule="exact"/>
        <w:ind w:firstLine="640"/>
        <w:jc w:val="both"/>
        <w:outlineLvl w:val="2"/>
      </w:pPr>
      <w:r>
        <w:rPr>
          <w:rFonts w:ascii="黑体" w:hAnsi="黑体" w:eastAsia="黑体"/>
          <w:sz w:val="32"/>
        </w:rPr>
        <w:t>三、支出决算情况说明</w:t>
      </w:r>
    </w:p>
    <w:p w14:paraId="187EE7A3">
      <w:pPr>
        <w:spacing w:line="580" w:lineRule="exact"/>
        <w:ind w:firstLine="640"/>
        <w:jc w:val="both"/>
      </w:pPr>
      <w:r>
        <w:rPr>
          <w:rFonts w:ascii="仿宋_GB2312" w:hAnsi="仿宋_GB2312" w:eastAsia="仿宋_GB2312"/>
          <w:b/>
          <w:sz w:val="32"/>
        </w:rPr>
        <w:t>本年支出755.59万元，</w:t>
      </w:r>
      <w:r>
        <w:rPr>
          <w:rFonts w:ascii="仿宋_GB2312" w:hAnsi="仿宋_GB2312" w:eastAsia="仿宋_GB2312"/>
          <w:b w:val="0"/>
          <w:sz w:val="32"/>
        </w:rPr>
        <w:t>其中：基本支出721.78万元，占95.53%；项目支出33.81万元，占4.47%；上缴上级支出0.00万元，占0.00%；经营支出0.00万元，占0.00%；对附属单位补助支出0.00万元，占0.00%。</w:t>
      </w:r>
    </w:p>
    <w:p w14:paraId="7A8846BC">
      <w:pPr>
        <w:spacing w:line="640" w:lineRule="exact"/>
        <w:ind w:firstLine="640"/>
        <w:jc w:val="both"/>
        <w:outlineLvl w:val="2"/>
      </w:pPr>
      <w:r>
        <w:rPr>
          <w:rFonts w:ascii="黑体" w:hAnsi="黑体" w:eastAsia="黑体"/>
          <w:sz w:val="32"/>
        </w:rPr>
        <w:t>四、财政拨款收入支出决算总体情况说明</w:t>
      </w:r>
    </w:p>
    <w:p w14:paraId="3F33B69D">
      <w:pPr>
        <w:spacing w:line="580" w:lineRule="exact"/>
        <w:ind w:firstLine="640"/>
        <w:jc w:val="both"/>
      </w:pPr>
      <w:r>
        <w:rPr>
          <w:rFonts w:ascii="仿宋_GB2312" w:hAnsi="仿宋_GB2312" w:eastAsia="仿宋_GB2312"/>
          <w:b/>
          <w:sz w:val="32"/>
        </w:rPr>
        <w:t>2024年度财政拨款收入总计755.59万元，</w:t>
      </w:r>
      <w:r>
        <w:rPr>
          <w:rFonts w:ascii="仿宋_GB2312" w:hAnsi="仿宋_GB2312" w:eastAsia="仿宋_GB2312"/>
          <w:b w:val="0"/>
          <w:sz w:val="32"/>
        </w:rPr>
        <w:t>其中：年初财政拨款结转和结余0.00万元，本年财政拨款收入755.59万元。</w:t>
      </w:r>
      <w:r>
        <w:rPr>
          <w:rFonts w:ascii="仿宋_GB2312" w:hAnsi="仿宋_GB2312" w:eastAsia="仿宋_GB2312"/>
          <w:b/>
          <w:sz w:val="32"/>
        </w:rPr>
        <w:t>财政拨款支出总计755.59万元，</w:t>
      </w:r>
      <w:r>
        <w:rPr>
          <w:rFonts w:ascii="仿宋_GB2312" w:hAnsi="仿宋_GB2312" w:eastAsia="仿宋_GB2312"/>
          <w:b w:val="0"/>
          <w:sz w:val="32"/>
        </w:rPr>
        <w:t>其中：年末财政拨款结转和结余0.00万元，本年财政拨款支出755.59万元。</w:t>
      </w:r>
    </w:p>
    <w:p w14:paraId="234F47C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120.84万元，下降13.79%，主要原因是：一是本年在职人员转退休5人，新调入在职人员5人，退休人员工资基数较高，新调入人员工资基数低，导致人员经费较上年减少；二是本年自治区基层人大补助经费减少；三是本年死亡抚恤支出减少。</w:t>
      </w:r>
      <w:r>
        <w:rPr>
          <w:rFonts w:ascii="仿宋_GB2312" w:hAnsi="仿宋_GB2312" w:eastAsia="仿宋_GB2312"/>
          <w:b/>
          <w:sz w:val="32"/>
        </w:rPr>
        <w:t>与年初预算相比，</w:t>
      </w:r>
      <w:r>
        <w:rPr>
          <w:rFonts w:ascii="仿宋_GB2312" w:hAnsi="仿宋_GB2312" w:eastAsia="仿宋_GB2312"/>
          <w:b w:val="0"/>
          <w:sz w:val="32"/>
        </w:rPr>
        <w:t>年初预算数1,048.93万元，决算数755.59万元，预决算差异率-27.97%，主要原因是：本年在职人员转退休5人，新调入在职人员5人，退休人员工资基数较高，新调入人员工资基数低，年中调减人员经费；年中调减县级人大代表活动经费、自治区基层人大补助经费，导致预决算存在差异。</w:t>
      </w:r>
    </w:p>
    <w:p w14:paraId="178FBEC8">
      <w:pPr>
        <w:spacing w:line="640" w:lineRule="exact"/>
        <w:ind w:firstLine="640"/>
        <w:jc w:val="both"/>
        <w:outlineLvl w:val="2"/>
      </w:pPr>
      <w:r>
        <w:rPr>
          <w:rFonts w:ascii="黑体" w:hAnsi="黑体" w:eastAsia="黑体"/>
          <w:sz w:val="32"/>
        </w:rPr>
        <w:t>五、一般公共预算财政拨款支出决算情况说明</w:t>
      </w:r>
    </w:p>
    <w:p w14:paraId="3B455ACB">
      <w:pPr>
        <w:spacing w:line="640" w:lineRule="exact"/>
        <w:ind w:firstLine="640"/>
        <w:jc w:val="both"/>
        <w:outlineLvl w:val="3"/>
      </w:pPr>
      <w:r>
        <w:rPr>
          <w:rFonts w:ascii="楷体_GB2312" w:hAnsi="楷体_GB2312" w:eastAsia="楷体_GB2312"/>
          <w:b/>
          <w:sz w:val="32"/>
        </w:rPr>
        <w:t>（一）一般公共预算财政拨款支出决算总体情况</w:t>
      </w:r>
    </w:p>
    <w:p w14:paraId="0EAB3637">
      <w:pPr>
        <w:spacing w:line="580" w:lineRule="exact"/>
        <w:ind w:firstLine="640"/>
        <w:jc w:val="both"/>
      </w:pPr>
      <w:r>
        <w:rPr>
          <w:rFonts w:ascii="仿宋_GB2312" w:hAnsi="仿宋_GB2312" w:eastAsia="仿宋_GB2312"/>
          <w:b/>
          <w:sz w:val="32"/>
        </w:rPr>
        <w:t>2024年度一般公共预算财政拨款支出755.59万元，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120.84万元，下降13.79%，主要原因是：一是本年在职人员转退休5人，新调入在职人员5人，退休人员工资基数较高，新调入人员工资基数低，导致人员经费较上年减少；二是本年自治区基层人大补助经费减少；三是本年死亡抚恤支出减少。</w:t>
      </w:r>
      <w:r>
        <w:rPr>
          <w:rFonts w:ascii="仿宋_GB2312" w:hAnsi="仿宋_GB2312" w:eastAsia="仿宋_GB2312"/>
          <w:b/>
          <w:sz w:val="32"/>
        </w:rPr>
        <w:t>与年初预算相比,</w:t>
      </w:r>
      <w:r>
        <w:rPr>
          <w:rFonts w:ascii="仿宋_GB2312" w:hAnsi="仿宋_GB2312" w:eastAsia="仿宋_GB2312"/>
          <w:b w:val="0"/>
          <w:sz w:val="32"/>
        </w:rPr>
        <w:t>年初预算数1,048.93万元，决算数755.59万元，预决算差异率-27.97%，主要原因是：本年在职人员转退休5人，新调入在职人员5人，退休人员工资基数较高，新调入人员工资基数低，年中调减人员经费；年中调减县级人大代表活动经费、自治区基层人大补助经费，导致预决算存在差异。</w:t>
      </w:r>
    </w:p>
    <w:p w14:paraId="6A3339C4">
      <w:pPr>
        <w:spacing w:line="640" w:lineRule="exact"/>
        <w:ind w:firstLine="640"/>
        <w:jc w:val="both"/>
        <w:outlineLvl w:val="3"/>
      </w:pPr>
      <w:r>
        <w:rPr>
          <w:rFonts w:ascii="楷体_GB2312" w:hAnsi="楷体_GB2312" w:eastAsia="楷体_GB2312"/>
          <w:b/>
          <w:sz w:val="32"/>
        </w:rPr>
        <w:t>（二）一般公共预算财政拨款支出决算结构情况</w:t>
      </w:r>
    </w:p>
    <w:p w14:paraId="74A1256E">
      <w:pPr>
        <w:spacing w:line="580" w:lineRule="exact"/>
        <w:ind w:firstLine="640"/>
        <w:jc w:val="both"/>
      </w:pPr>
      <w:r>
        <w:rPr>
          <w:rFonts w:ascii="仿宋_GB2312" w:hAnsi="仿宋_GB2312" w:eastAsia="仿宋_GB2312"/>
          <w:b w:val="0"/>
          <w:sz w:val="32"/>
        </w:rPr>
        <w:t>1.一般公共服务支出(类)501.89万元,占66.42%。</w:t>
      </w:r>
    </w:p>
    <w:p w14:paraId="34683C3C">
      <w:pPr>
        <w:spacing w:line="580" w:lineRule="exact"/>
        <w:ind w:firstLine="640"/>
        <w:jc w:val="both"/>
      </w:pPr>
      <w:r>
        <w:rPr>
          <w:rFonts w:ascii="仿宋_GB2312" w:hAnsi="仿宋_GB2312" w:eastAsia="仿宋_GB2312"/>
          <w:b w:val="0"/>
          <w:sz w:val="32"/>
        </w:rPr>
        <w:t>2.社会保障和就业支出(类)161.71万元,占21.40%。</w:t>
      </w:r>
    </w:p>
    <w:p w14:paraId="5E3E6464">
      <w:pPr>
        <w:spacing w:line="580" w:lineRule="exact"/>
        <w:ind w:firstLine="640"/>
        <w:jc w:val="both"/>
      </w:pPr>
      <w:r>
        <w:rPr>
          <w:rFonts w:ascii="仿宋_GB2312" w:hAnsi="仿宋_GB2312" w:eastAsia="仿宋_GB2312"/>
          <w:b w:val="0"/>
          <w:sz w:val="32"/>
        </w:rPr>
        <w:t>3.卫生健康支出(类)31.59万元,占4.18%。</w:t>
      </w:r>
    </w:p>
    <w:p w14:paraId="1DA990B5">
      <w:pPr>
        <w:spacing w:line="580" w:lineRule="exact"/>
        <w:ind w:firstLine="640"/>
        <w:jc w:val="both"/>
      </w:pPr>
      <w:r>
        <w:rPr>
          <w:rFonts w:ascii="仿宋_GB2312" w:hAnsi="仿宋_GB2312" w:eastAsia="仿宋_GB2312"/>
          <w:b w:val="0"/>
          <w:sz w:val="32"/>
        </w:rPr>
        <w:t>4.住房保障支出(类)60.40万元,占7.99%。</w:t>
      </w:r>
    </w:p>
    <w:p w14:paraId="5D981199">
      <w:pPr>
        <w:spacing w:line="640" w:lineRule="exact"/>
        <w:ind w:firstLine="640"/>
        <w:jc w:val="both"/>
        <w:outlineLvl w:val="3"/>
      </w:pPr>
      <w:r>
        <w:rPr>
          <w:rFonts w:ascii="楷体_GB2312" w:hAnsi="楷体_GB2312" w:eastAsia="楷体_GB2312"/>
          <w:b/>
          <w:sz w:val="32"/>
        </w:rPr>
        <w:t>（三）一般公共预算财政拨款支出决算具体情况</w:t>
      </w:r>
    </w:p>
    <w:p w14:paraId="0AB71590">
      <w:pPr>
        <w:spacing w:line="580" w:lineRule="exact"/>
        <w:ind w:firstLine="640"/>
        <w:jc w:val="both"/>
      </w:pPr>
      <w:r>
        <w:rPr>
          <w:rFonts w:ascii="仿宋_GB2312" w:hAnsi="仿宋_GB2312" w:eastAsia="仿宋_GB2312"/>
          <w:b w:val="0"/>
          <w:sz w:val="32"/>
        </w:rPr>
        <w:t>1.一般公共服务支出(类)人大事务(款)行政运行(项):支出决算数为468.08万元，比上年决算减少112.36万元，下降19.36%,主要原因是：本年在职人员转退休5人，新调入在职人员5人，退休人员工资基数较高，新调入人员工资基数低，导致人员经费较上年减少。</w:t>
      </w:r>
    </w:p>
    <w:p w14:paraId="36E8D6DD">
      <w:pPr>
        <w:spacing w:line="580" w:lineRule="exact"/>
        <w:ind w:firstLine="640"/>
        <w:jc w:val="both"/>
      </w:pPr>
      <w:r>
        <w:rPr>
          <w:rFonts w:ascii="仿宋_GB2312" w:hAnsi="仿宋_GB2312" w:eastAsia="仿宋_GB2312"/>
          <w:b w:val="0"/>
          <w:sz w:val="32"/>
        </w:rPr>
        <w:t>2.一般公共服务支出(类)人大事务(款)代表工作(项):支出决算数为16.81万元，比上年决算增加1.05万元，增长6.66%,主要原因是：2024年自治区人大代表活动经费较上年增加。</w:t>
      </w:r>
    </w:p>
    <w:p w14:paraId="3357AFEA">
      <w:pPr>
        <w:spacing w:line="580" w:lineRule="exact"/>
        <w:ind w:firstLine="640"/>
        <w:jc w:val="both"/>
      </w:pPr>
      <w:r>
        <w:rPr>
          <w:rFonts w:ascii="仿宋_GB2312" w:hAnsi="仿宋_GB2312" w:eastAsia="仿宋_GB2312"/>
          <w:b w:val="0"/>
          <w:sz w:val="32"/>
        </w:rPr>
        <w:t>3.一般公共服务支出(类)人大事务(款)其他人大事务支出(项):支出决算数为17.00万元，比上年决算减少9.04万元，下降34.72%,主要原因是：2024年度自治区基层人大补助经费较上年减少。</w:t>
      </w:r>
    </w:p>
    <w:p w14:paraId="7D60AD0D">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61.15万元，比上年决算增加12.01万元，增长24.44%,主要原因是：本年退休人员增加，增加退休人员基础绩效奖，退休费支出增加。</w:t>
      </w:r>
    </w:p>
    <w:p w14:paraId="41E51EC0">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59.99万元，比上年决算增加8.50万元，增长16.51%,主要原因是：本年在职人员工资基数调增，养老缴费基数上涨，相应支出增加。</w:t>
      </w:r>
    </w:p>
    <w:p w14:paraId="061DF9F7">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40.57万元，比上年决算减少11.35万元，下降21.86%,主要原因是：本年新增退休人员较上年减少，职业年金缴费较上年减少。</w:t>
      </w:r>
    </w:p>
    <w:p w14:paraId="2FAEB293">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7.社会保障和就业支出(类)抚恤(款)死亡抚恤(项):支出决算数为0.00万元，比上年决算减少34.62万元，下降100.00%,主要原因是：本年无新增死亡人员，死亡抚恤支出较上年减少。</w:t>
      </w:r>
    </w:p>
    <w:p w14:paraId="6A296918">
      <w:pPr>
        <w:spacing w:line="580" w:lineRule="exact"/>
        <w:ind w:firstLine="640"/>
        <w:jc w:val="both"/>
      </w:pPr>
      <w:r>
        <w:rPr>
          <w:rFonts w:ascii="仿宋_GB2312" w:hAnsi="仿宋_GB2312" w:eastAsia="仿宋_GB2312"/>
          <w:b w:val="0"/>
          <w:sz w:val="32"/>
        </w:rPr>
        <w:t>8.卫生健康支出(类)行政事业单位医疗(款)行政单位医疗(项):支出决算数为25.43万元，比上年决算增加2.79万元，增长12.32%,主要原因是：本年在职人员工资基数调增，医疗缴费基数上涨，相应支出增加。</w:t>
      </w:r>
    </w:p>
    <w:p w14:paraId="29A5CFC2">
      <w:pPr>
        <w:spacing w:line="580" w:lineRule="exact"/>
        <w:ind w:firstLine="640"/>
        <w:jc w:val="both"/>
      </w:pPr>
      <w:r>
        <w:rPr>
          <w:rFonts w:ascii="仿宋_GB2312" w:hAnsi="仿宋_GB2312" w:eastAsia="仿宋_GB2312"/>
          <w:b w:val="0"/>
          <w:sz w:val="32"/>
        </w:rPr>
        <w:t>9.卫生健康支出(类)行政事业单位医疗(款)公务员医疗补助(项):支出决算数为6.15万元，比上年决算增加0.39万元，增长6.77%,主要原因是：本年在职人员工资基数调增，公务员医疗补助缴费基数上涨，相应支出增加。</w:t>
      </w:r>
    </w:p>
    <w:p w14:paraId="4D36AEEC">
      <w:pPr>
        <w:spacing w:line="580" w:lineRule="exact"/>
        <w:ind w:firstLine="640"/>
        <w:jc w:val="both"/>
      </w:pPr>
      <w:r>
        <w:rPr>
          <w:rFonts w:ascii="仿宋_GB2312" w:hAnsi="仿宋_GB2312" w:eastAsia="仿宋_GB2312"/>
          <w:b w:val="0"/>
          <w:sz w:val="32"/>
        </w:rPr>
        <w:t>10.住房保障支出(类)住房改革支出(款)住房公积金(项):支出决算数为60.40万元，比上年决算增加21.78万元，增长56.40%,主要原因是：本年在职人员工资基数调增，公积金缴费基数上涨，相应支出增加。</w:t>
      </w:r>
    </w:p>
    <w:p w14:paraId="256E6626">
      <w:pPr>
        <w:spacing w:line="640" w:lineRule="exact"/>
        <w:ind w:firstLine="640"/>
        <w:jc w:val="both"/>
        <w:outlineLvl w:val="2"/>
      </w:pPr>
      <w:r>
        <w:rPr>
          <w:rFonts w:ascii="黑体" w:hAnsi="黑体" w:eastAsia="黑体"/>
          <w:sz w:val="32"/>
        </w:rPr>
        <w:t>六、一般公共预算财政拨款基本支出决算情况说明</w:t>
      </w:r>
    </w:p>
    <w:p w14:paraId="6C768AEE">
      <w:pPr>
        <w:spacing w:line="580" w:lineRule="exact"/>
        <w:ind w:firstLine="640"/>
        <w:jc w:val="both"/>
      </w:pPr>
      <w:r>
        <w:rPr>
          <w:rFonts w:ascii="仿宋_GB2312" w:hAnsi="仿宋_GB2312" w:eastAsia="仿宋_GB2312"/>
          <w:b w:val="0"/>
          <w:sz w:val="32"/>
        </w:rPr>
        <w:t>2024年度一般公共预算财政拨款基本支出721.78万元，其中：</w:t>
      </w:r>
      <w:r>
        <w:rPr>
          <w:rFonts w:ascii="仿宋_GB2312" w:hAnsi="仿宋_GB2312" w:eastAsia="仿宋_GB2312"/>
          <w:b/>
          <w:sz w:val="32"/>
        </w:rPr>
        <w:t>人员经费676.90万元，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包括：基本工资、津贴补贴、奖金、绩效工资、机关事业单位基本养老保险缴费、职业年金缴费、职工基本医疗保险缴费、公务员医疗补助缴费、其他社会保障缴费、住房公积金、退休费、生活补助、奖励金。</w:t>
      </w:r>
    </w:p>
    <w:p w14:paraId="3C43D559">
      <w:pPr>
        <w:spacing w:line="580" w:lineRule="exact"/>
        <w:ind w:firstLine="640"/>
        <w:jc w:val="both"/>
      </w:pPr>
      <w:r>
        <w:rPr>
          <w:rFonts w:ascii="仿宋_GB2312" w:hAnsi="仿宋_GB2312" w:eastAsia="仿宋_GB2312"/>
          <w:b/>
          <w:sz w:val="32"/>
        </w:rPr>
        <w:t>公用经费44.88万元，</w:t>
      </w:r>
      <w:r>
        <w:rPr>
          <w:rFonts w:ascii="仿宋_GB2312" w:hAnsi="仿宋_GB2312" w:eastAsia="仿宋_GB2312"/>
          <w:b w:val="0"/>
          <w:sz w:val="32"/>
        </w:rPr>
        <w:t>包括：办公费、水费、电费、邮电费、取暖费、物业管理费、差旅费、维修（护）费、会议费、公务接待费、公务用车运行维护费、其他交通费用。</w:t>
      </w:r>
    </w:p>
    <w:p w14:paraId="66940FEE">
      <w:pPr>
        <w:spacing w:line="640" w:lineRule="exact"/>
        <w:ind w:firstLine="640"/>
        <w:jc w:val="both"/>
        <w:outlineLvl w:val="2"/>
      </w:pPr>
      <w:r>
        <w:rPr>
          <w:rFonts w:ascii="黑体" w:hAnsi="黑体" w:eastAsia="黑体"/>
          <w:sz w:val="32"/>
        </w:rPr>
        <w:t>七、政府性基金预算财政拨款收入支出决算情况说明</w:t>
      </w:r>
    </w:p>
    <w:p w14:paraId="57EB2AE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AF66BEE">
      <w:pPr>
        <w:spacing w:line="640" w:lineRule="exact"/>
        <w:ind w:firstLine="640"/>
        <w:jc w:val="both"/>
        <w:outlineLvl w:val="2"/>
      </w:pPr>
      <w:r>
        <w:rPr>
          <w:rFonts w:ascii="黑体" w:hAnsi="黑体" w:eastAsia="黑体"/>
          <w:sz w:val="32"/>
        </w:rPr>
        <w:t>八、国有资本经营预算财政拨款收入支出决算情况说明</w:t>
      </w:r>
    </w:p>
    <w:p w14:paraId="1EA36F2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37A96EF">
      <w:pPr>
        <w:spacing w:line="640" w:lineRule="exact"/>
        <w:ind w:firstLine="640"/>
        <w:jc w:val="both"/>
        <w:outlineLvl w:val="2"/>
      </w:pPr>
      <w:r>
        <w:rPr>
          <w:rFonts w:ascii="黑体" w:hAnsi="黑体" w:eastAsia="黑体"/>
          <w:sz w:val="32"/>
        </w:rPr>
        <w:t>九、财政拨款“三公”经费支出决算情况说明</w:t>
      </w:r>
    </w:p>
    <w:p w14:paraId="1E8FDE1B">
      <w:pPr>
        <w:spacing w:line="580" w:lineRule="exact"/>
        <w:ind w:firstLine="640"/>
        <w:jc w:val="both"/>
      </w:pPr>
      <w:r>
        <w:rPr>
          <w:rFonts w:ascii="仿宋_GB2312" w:hAnsi="仿宋_GB2312" w:eastAsia="仿宋_GB2312"/>
          <w:b/>
          <w:sz w:val="32"/>
        </w:rPr>
        <w:t>2024年度财政拨款“三公”经费支出20.27万元，</w:t>
      </w:r>
      <w:r>
        <w:rPr>
          <w:rFonts w:ascii="仿宋_GB2312" w:hAnsi="仿宋_GB2312" w:eastAsia="仿宋_GB2312"/>
          <w:b w:val="0"/>
          <w:sz w:val="32"/>
        </w:rPr>
        <w:t>比上年增加14.94万元，增长279.78%，主要原因是：本单位公务用车日渐老化，维修维护成本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8.51万元，占41.98%，比上年增加3.17万元，增长59.36%，主要原因是：本单位公务用车日渐老化，维修维护成本增加，导致公务用车运行维护费较上年增加。公务接待费支出11.77万元，占58.07%，比上年增加11.77万元，增长100.00%，主要原因是：本年因业务需求，增加公务接待工作，导致公务接待费较上年增加。</w:t>
      </w:r>
    </w:p>
    <w:p w14:paraId="36E08E0F">
      <w:pPr>
        <w:spacing w:line="580" w:lineRule="exact"/>
        <w:ind w:firstLine="640"/>
        <w:jc w:val="both"/>
      </w:pPr>
      <w:r>
        <w:rPr>
          <w:rFonts w:ascii="仿宋_GB2312" w:hAnsi="仿宋_GB2312" w:eastAsia="仿宋_GB2312"/>
          <w:b/>
          <w:sz w:val="32"/>
        </w:rPr>
        <w:t>具体情况如下：</w:t>
      </w:r>
    </w:p>
    <w:p w14:paraId="7041F35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89D9F2">
      <w:pPr>
        <w:spacing w:line="580" w:lineRule="exact"/>
        <w:ind w:firstLine="640"/>
        <w:jc w:val="both"/>
      </w:pPr>
      <w:r>
        <w:rPr>
          <w:rFonts w:ascii="仿宋_GB2312" w:hAnsi="仿宋_GB2312" w:eastAsia="仿宋_GB2312"/>
          <w:b w:val="0"/>
          <w:sz w:val="32"/>
        </w:rPr>
        <w:t>公务用车购置及运行维护费8.51万元，其中：公务用车购置费0.00万元，公务用车运行维护费8.51万元。公务用车运行维护费开支内容包括车辆加油费、维修费、保险费、审车费、过路费。公务用车购置数0辆，公务用车保有量6辆。国有资产占用情况中固定资产车辆6辆，与公务用车保有量差异原因是：本单位固定资产车辆与公务用车保有量一致无差异。</w:t>
      </w:r>
    </w:p>
    <w:p w14:paraId="0D01A4DE">
      <w:pPr>
        <w:spacing w:line="580" w:lineRule="exact"/>
        <w:ind w:firstLine="640"/>
        <w:jc w:val="both"/>
      </w:pPr>
      <w:r>
        <w:rPr>
          <w:rFonts w:ascii="仿宋_GB2312" w:hAnsi="仿宋_GB2312" w:eastAsia="仿宋_GB2312"/>
          <w:b w:val="0"/>
          <w:sz w:val="32"/>
        </w:rPr>
        <w:t>公务接待费11.77万元，开支内容包括因上级工作安排，接待上级领导检查、调研产生的就餐费。单位全年安排的国内公务接待184批次，919人次。</w:t>
      </w:r>
    </w:p>
    <w:p w14:paraId="269B70F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28.51万元，决算数20.27万元，预决算差异率-28.90%，主要原因是：严格控制公务接待活动，认真执行经费开支标准，减少公务接待运行成本费用。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8.51万元，决算数8.51万元，预决算差异率0.00%，主要原因是：严格按照预算执行，预决算无差异。公务接待费全年预算数20.00万元，决算数11.77万元，预决算差异率-41.15%，主要原因是：严格控制公务接待活动，认真执行经费开支标准，减少公务接待运行成本费用。</w:t>
      </w:r>
    </w:p>
    <w:p w14:paraId="70147B3F">
      <w:pPr>
        <w:spacing w:line="640" w:lineRule="exact"/>
        <w:ind w:firstLine="640"/>
        <w:jc w:val="both"/>
        <w:outlineLvl w:val="2"/>
      </w:pPr>
      <w:r>
        <w:rPr>
          <w:rFonts w:ascii="黑体" w:hAnsi="黑体" w:eastAsia="黑体"/>
          <w:sz w:val="32"/>
        </w:rPr>
        <w:t>十、其他重要事项的情况说明</w:t>
      </w:r>
    </w:p>
    <w:p w14:paraId="4B07627F">
      <w:pPr>
        <w:spacing w:line="640" w:lineRule="exact"/>
        <w:ind w:firstLine="640"/>
        <w:jc w:val="both"/>
        <w:outlineLvl w:val="3"/>
      </w:pPr>
      <w:r>
        <w:rPr>
          <w:rFonts w:ascii="楷体_GB2312" w:hAnsi="楷体_GB2312" w:eastAsia="楷体_GB2312"/>
          <w:b/>
          <w:sz w:val="32"/>
        </w:rPr>
        <w:t>（一）机关运行经费及公用经费支出情况</w:t>
      </w:r>
    </w:p>
    <w:p w14:paraId="6E5A521C">
      <w:pPr>
        <w:spacing w:line="580" w:lineRule="exact"/>
        <w:ind w:firstLine="640"/>
        <w:jc w:val="both"/>
      </w:pPr>
      <w:r>
        <w:rPr>
          <w:rFonts w:ascii="仿宋_GB2312" w:hAnsi="仿宋_GB2312" w:eastAsia="仿宋_GB2312"/>
          <w:b w:val="0"/>
          <w:sz w:val="32"/>
        </w:rPr>
        <w:t>2024年度叶城县人民代表大会常务委员会办公室（行政单位和参照公务员法管理事业单位）机关运行经费支出44.88万元，比上年增加36.57万元，增长440.07%，主要原因是：本年业务量增加，办公费、差旅费、公务接待费增加，导致机关运行经费支出增加。</w:t>
      </w:r>
    </w:p>
    <w:p w14:paraId="767C7F01">
      <w:pPr>
        <w:spacing w:line="640" w:lineRule="exact"/>
        <w:ind w:firstLine="640"/>
        <w:jc w:val="both"/>
        <w:outlineLvl w:val="3"/>
      </w:pPr>
      <w:r>
        <w:rPr>
          <w:rFonts w:ascii="楷体_GB2312" w:hAnsi="楷体_GB2312" w:eastAsia="楷体_GB2312"/>
          <w:b/>
          <w:sz w:val="32"/>
        </w:rPr>
        <w:t>（二）政府采购情况</w:t>
      </w:r>
    </w:p>
    <w:p w14:paraId="75F915BE">
      <w:pPr>
        <w:spacing w:line="580" w:lineRule="exact"/>
        <w:ind w:firstLine="640"/>
        <w:jc w:val="both"/>
      </w:pPr>
      <w:r>
        <w:rPr>
          <w:rFonts w:ascii="仿宋_GB2312" w:hAnsi="仿宋_GB2312" w:eastAsia="仿宋_GB2312"/>
          <w:b w:val="0"/>
          <w:sz w:val="32"/>
        </w:rPr>
        <w:t>2024年度政府采购支出总额44.97万元，其中：政府采购货物支出11.06万元、政府采购工程支出12.78万元、政府采购服务支出21.14万元。</w:t>
      </w:r>
    </w:p>
    <w:p w14:paraId="4528A9C3">
      <w:pPr>
        <w:spacing w:line="580" w:lineRule="exact"/>
        <w:ind w:firstLine="640"/>
        <w:jc w:val="both"/>
      </w:pPr>
      <w:r>
        <w:rPr>
          <w:rFonts w:ascii="仿宋_GB2312" w:hAnsi="仿宋_GB2312" w:eastAsia="仿宋_GB2312"/>
          <w:b w:val="0"/>
          <w:sz w:val="32"/>
        </w:rPr>
        <w:t>授予中小企业合同金额44.97万元，占政府采购支出总额的100.00%，其中：授予小微企业合同金额42.87万元，占政府采购支出总额的95.33%。</w:t>
      </w:r>
    </w:p>
    <w:p w14:paraId="10F71FD9">
      <w:pPr>
        <w:spacing w:line="640" w:lineRule="exact"/>
        <w:ind w:firstLine="640"/>
        <w:jc w:val="both"/>
        <w:outlineLvl w:val="3"/>
      </w:pPr>
      <w:r>
        <w:rPr>
          <w:rFonts w:ascii="楷体_GB2312" w:hAnsi="楷体_GB2312" w:eastAsia="楷体_GB2312"/>
          <w:b/>
          <w:sz w:val="32"/>
        </w:rPr>
        <w:t>（三）国有资产占用情况说明</w:t>
      </w:r>
    </w:p>
    <w:p w14:paraId="34222E0F">
      <w:pPr>
        <w:spacing w:line="580" w:lineRule="exact"/>
        <w:ind w:firstLine="640"/>
        <w:jc w:val="both"/>
      </w:pPr>
      <w:r>
        <w:rPr>
          <w:rFonts w:ascii="仿宋_GB2312" w:hAnsi="仿宋_GB2312" w:eastAsia="仿宋_GB2312"/>
          <w:b w:val="0"/>
          <w:sz w:val="32"/>
        </w:rPr>
        <w:t>截至2024年12月31日，房屋160.00平方米，价值22.50万元。车辆6辆，价值69.43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4A35786F">
      <w:pPr>
        <w:spacing w:line="640" w:lineRule="exact"/>
        <w:ind w:firstLine="640"/>
        <w:jc w:val="both"/>
        <w:outlineLvl w:val="2"/>
      </w:pPr>
      <w:r>
        <w:rPr>
          <w:rFonts w:ascii="黑体" w:hAnsi="黑体" w:eastAsia="黑体"/>
          <w:sz w:val="32"/>
        </w:rPr>
        <w:t>十一、预算绩效的情况说明</w:t>
      </w:r>
    </w:p>
    <w:p w14:paraId="4D1C2D2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755.59万元，实际执行总额755.59万元；预算绩效评价项目2个，全年预算数190.14万元，全年执行数118.21万元。预算绩效管理取得的成效：一是充分发挥了人大代表履职尽责的作用，为叶城县经济社会发展起到了积极作用；二是更好保障了代表开展集中视察、专题调研、代表小组活动、参加代表培训、列席下级人大常委会会议、代表进“家、室、站”开展活动等闭会期间活动，保障人大代表依法行使职权，积极履行代表义务，充分发挥代表作用。发现的问题及原因：一是监督力度仍显不足，监督机制和方法还应进一步创新完善，监督实效有待进一步提高；二是代表的学习培训抓</w:t>
      </w:r>
      <w:r>
        <w:rPr>
          <w:rFonts w:hint="eastAsia" w:ascii="仿宋_GB2312" w:hAnsi="仿宋_GB2312" w:eastAsia="仿宋_GB2312"/>
          <w:b w:val="0"/>
          <w:sz w:val="32"/>
          <w:lang w:eastAsia="zh-CN"/>
        </w:rPr>
        <w:t>得</w:t>
      </w:r>
      <w:r>
        <w:rPr>
          <w:rFonts w:ascii="仿宋_GB2312" w:hAnsi="仿宋_GB2312" w:eastAsia="仿宋_GB2312"/>
          <w:b w:val="0"/>
          <w:sz w:val="32"/>
        </w:rPr>
        <w:t>不够，代表的视野和思路还不开阔，视察、调研工作还缺乏深度，代表作用发挥还不够充分。下一步改进措施：一是加大绩效工作宣传力度，强化绩效理念，完善绩效指标，提高整体绩效目标质量；二是加强绩效业务学习及培训，提高业务人员绩效管理意识，进一步加强预算绩效管理工作，优化项目支出绩效指标体系，完善预算绩效管理制度，有效推动我单位下一年度预算绩效管理工作常态化、规范化。具体附整体支出绩效自评表，项目支出绩效自评表和评价报告。</w:t>
      </w:r>
    </w:p>
    <w:p w14:paraId="6783AE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91E5EF">
        <w:tblPrEx>
          <w:tblCellMar>
            <w:top w:w="0" w:type="dxa"/>
            <w:left w:w="108" w:type="dxa"/>
            <w:bottom w:w="0" w:type="dxa"/>
            <w:right w:w="108" w:type="dxa"/>
          </w:tblCellMar>
        </w:tblPrEx>
        <w:tc>
          <w:tcPr>
            <w:tcW w:w="8847" w:type="dxa"/>
            <w:gridSpan w:val="9"/>
            <w:vAlign w:val="center"/>
          </w:tcPr>
          <w:p w14:paraId="0E3FA052">
            <w:pPr>
              <w:jc w:val="center"/>
            </w:pPr>
            <w:r>
              <w:rPr>
                <w:rFonts w:ascii="宋体" w:hAnsi="宋体" w:eastAsia="宋体"/>
                <w:sz w:val="24"/>
              </w:rPr>
              <w:t>单位整体支出绩效自评表</w:t>
            </w:r>
          </w:p>
        </w:tc>
      </w:tr>
      <w:tr w14:paraId="3C1A69D5">
        <w:tblPrEx>
          <w:tblCellMar>
            <w:top w:w="0" w:type="dxa"/>
            <w:left w:w="108" w:type="dxa"/>
            <w:bottom w:w="0" w:type="dxa"/>
            <w:right w:w="108" w:type="dxa"/>
          </w:tblCellMar>
        </w:tblPrEx>
        <w:tc>
          <w:tcPr>
            <w:tcW w:w="8847" w:type="dxa"/>
            <w:gridSpan w:val="9"/>
            <w:vAlign w:val="center"/>
          </w:tcPr>
          <w:p w14:paraId="4CBD7ECC">
            <w:pPr>
              <w:jc w:val="center"/>
            </w:pPr>
            <w:r>
              <w:rPr>
                <w:rFonts w:ascii="宋体" w:hAnsi="宋体" w:eastAsia="宋体"/>
                <w:sz w:val="24"/>
              </w:rPr>
              <w:t>（2024年度）</w:t>
            </w:r>
          </w:p>
        </w:tc>
      </w:tr>
      <w:tr w14:paraId="0A3D9D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3B57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548902">
            <w:pPr>
              <w:jc w:val="center"/>
            </w:pPr>
            <w:r>
              <w:rPr>
                <w:rFonts w:ascii="宋体" w:hAnsi="宋体" w:eastAsia="宋体"/>
                <w:sz w:val="16"/>
              </w:rPr>
              <w:t>叶城县人民代表大会常务委员会办公室</w:t>
            </w:r>
          </w:p>
        </w:tc>
      </w:tr>
      <w:tr w14:paraId="067EB6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0674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C63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6838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648D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BD00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4169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E960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13348">
            <w:pPr>
              <w:jc w:val="center"/>
            </w:pPr>
            <w:r>
              <w:rPr>
                <w:rFonts w:ascii="宋体" w:hAnsi="宋体" w:eastAsia="宋体"/>
                <w:sz w:val="16"/>
              </w:rPr>
              <w:t>得分</w:t>
            </w:r>
          </w:p>
        </w:tc>
      </w:tr>
      <w:tr w14:paraId="1ADE2B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A55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A15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1AD2F">
            <w:pPr>
              <w:jc w:val="center"/>
            </w:pPr>
            <w:r>
              <w:rPr>
                <w:rFonts w:ascii="宋体" w:hAnsi="宋体" w:eastAsia="宋体"/>
                <w:sz w:val="16"/>
              </w:rPr>
              <w:t>1,048.93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6F1BE">
            <w:pPr>
              <w:jc w:val="center"/>
            </w:pPr>
            <w:r>
              <w:rPr>
                <w:rFonts w:ascii="宋体" w:hAnsi="宋体" w:eastAsia="宋体"/>
                <w:sz w:val="16"/>
              </w:rPr>
              <w:t>755.59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FEE34">
            <w:pPr>
              <w:jc w:val="center"/>
            </w:pPr>
            <w:r>
              <w:rPr>
                <w:rFonts w:ascii="宋体" w:hAnsi="宋体" w:eastAsia="宋体"/>
                <w:sz w:val="16"/>
              </w:rPr>
              <w:t>755.59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9BE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B7CE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476B">
            <w:pPr>
              <w:jc w:val="center"/>
            </w:pPr>
            <w:r>
              <w:rPr>
                <w:rFonts w:ascii="宋体" w:hAnsi="宋体" w:eastAsia="宋体"/>
                <w:sz w:val="16"/>
              </w:rPr>
              <w:t>10</w:t>
            </w:r>
          </w:p>
        </w:tc>
      </w:tr>
      <w:tr w14:paraId="7068BE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708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2F60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94940">
            <w:pPr>
              <w:jc w:val="center"/>
            </w:pPr>
            <w:r>
              <w:rPr>
                <w:rFonts w:ascii="宋体" w:hAnsi="宋体" w:eastAsia="宋体"/>
                <w:sz w:val="16"/>
              </w:rPr>
              <w:t>88.71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55C52">
            <w:pPr>
              <w:jc w:val="center"/>
            </w:pPr>
            <w:r>
              <w:rPr>
                <w:rFonts w:ascii="宋体" w:hAnsi="宋体" w:eastAsia="宋体"/>
                <w:sz w:val="16"/>
              </w:rPr>
              <w:t>33.81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D8772">
            <w:pPr>
              <w:jc w:val="center"/>
            </w:pPr>
            <w:r>
              <w:rPr>
                <w:rFonts w:ascii="宋体" w:hAnsi="宋体" w:eastAsia="宋体"/>
                <w:sz w:val="16"/>
              </w:rPr>
              <w:t>33.81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95C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8D7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9B96C">
            <w:pPr>
              <w:jc w:val="center"/>
            </w:pPr>
            <w:r>
              <w:rPr>
                <w:rFonts w:ascii="宋体" w:hAnsi="宋体" w:eastAsia="宋体"/>
                <w:sz w:val="16"/>
              </w:rPr>
              <w:t>—</w:t>
            </w:r>
          </w:p>
        </w:tc>
      </w:tr>
      <w:tr w14:paraId="73F8AE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C50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984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F9B2D">
            <w:pPr>
              <w:jc w:val="center"/>
            </w:pPr>
            <w:r>
              <w:rPr>
                <w:rFonts w:ascii="宋体" w:hAnsi="宋体" w:eastAsia="宋体"/>
                <w:sz w:val="16"/>
              </w:rPr>
              <w:t>960.22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F5DB2">
            <w:pPr>
              <w:jc w:val="center"/>
            </w:pPr>
            <w:r>
              <w:rPr>
                <w:rFonts w:ascii="宋体" w:hAnsi="宋体" w:eastAsia="宋体"/>
                <w:sz w:val="16"/>
              </w:rPr>
              <w:t>721.78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E94EF">
            <w:pPr>
              <w:jc w:val="center"/>
            </w:pPr>
            <w:r>
              <w:rPr>
                <w:rFonts w:ascii="宋体" w:hAnsi="宋体" w:eastAsia="宋体"/>
                <w:sz w:val="16"/>
              </w:rPr>
              <w:t>721.78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B91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03EC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049C8">
            <w:pPr>
              <w:jc w:val="center"/>
            </w:pPr>
            <w:r>
              <w:rPr>
                <w:rFonts w:ascii="宋体" w:hAnsi="宋体" w:eastAsia="宋体"/>
                <w:sz w:val="16"/>
              </w:rPr>
              <w:t>—</w:t>
            </w:r>
          </w:p>
        </w:tc>
      </w:tr>
      <w:tr w14:paraId="595BA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E5E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8FA1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771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7A8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741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E50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F76B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F2C9A">
            <w:pPr>
              <w:jc w:val="center"/>
            </w:pPr>
            <w:r>
              <w:rPr>
                <w:rFonts w:ascii="宋体" w:hAnsi="宋体" w:eastAsia="宋体"/>
                <w:sz w:val="16"/>
              </w:rPr>
              <w:t>—</w:t>
            </w:r>
          </w:p>
        </w:tc>
      </w:tr>
      <w:tr w14:paraId="084BA3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E98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18348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9A2877">
            <w:pPr>
              <w:jc w:val="center"/>
            </w:pPr>
            <w:r>
              <w:rPr>
                <w:rFonts w:ascii="宋体" w:hAnsi="宋体" w:eastAsia="宋体"/>
                <w:sz w:val="16"/>
              </w:rPr>
              <w:t>实际完成情况</w:t>
            </w:r>
          </w:p>
        </w:tc>
      </w:tr>
      <w:tr w14:paraId="798C46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8B2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59882A">
            <w:pPr>
              <w:jc w:val="both"/>
            </w:pPr>
            <w:r>
              <w:rPr>
                <w:rFonts w:ascii="宋体" w:hAnsi="宋体" w:eastAsia="宋体"/>
                <w:sz w:val="16"/>
              </w:rPr>
              <w:t>人民代表大会制度是我国的根本政治制度，是</w:t>
            </w:r>
            <w:r>
              <w:rPr>
                <w:rFonts w:hint="eastAsia" w:ascii="宋体" w:hAnsi="宋体"/>
                <w:sz w:val="16"/>
                <w:lang w:eastAsia="zh-CN"/>
              </w:rPr>
              <w:t>社会主义精神文明建设</w:t>
            </w:r>
            <w:r>
              <w:rPr>
                <w:rFonts w:ascii="宋体" w:hAnsi="宋体" w:eastAsia="宋体"/>
                <w:sz w:val="16"/>
              </w:rPr>
              <w:t>的重要制度载体，县人大常委会是县人民代表大会的常设机关，对县人民代表大会负责并报告工作。县级以上的地方各级人民代表大会行使下列职权：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（一）在本行政区域内，保证宪法、法律、行政法规和上级人民代表大会及其常务委员会决议的遵守和执行，保证国家计划和国家预算的执行；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（二）审查和批准本行政区域内的国民经济和社会发展规划纲要、计划和预算及其执行情况的报告，审</w:t>
            </w:r>
            <w:r>
              <w:rPr>
                <w:rFonts w:hint="eastAsia" w:ascii="宋体" w:hAnsi="宋体"/>
                <w:sz w:val="16"/>
                <w:lang w:eastAsia="zh-CN"/>
              </w:rPr>
              <w:t>查和</w:t>
            </w:r>
            <w:r>
              <w:rPr>
                <w:rFonts w:ascii="宋体" w:hAnsi="宋体" w:eastAsia="宋体"/>
                <w:sz w:val="16"/>
              </w:rPr>
              <w:t>监督政府</w:t>
            </w:r>
            <w:bookmarkStart w:id="0" w:name="_GoBack"/>
            <w:r>
              <w:rPr>
                <w:rFonts w:ascii="宋体" w:hAnsi="宋体" w:eastAsia="宋体"/>
                <w:sz w:val="16"/>
              </w:rPr>
              <w:t>债</w:t>
            </w:r>
            <w:bookmarkEnd w:id="0"/>
            <w:r>
              <w:rPr>
                <w:rFonts w:ascii="宋体" w:hAnsi="宋体" w:eastAsia="宋体"/>
                <w:sz w:val="16"/>
              </w:rPr>
              <w:t>务，监督本级人民政府对国有资产的管理；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（三）讨论、决定本行政区域内的政治、经济、教育、科学、文化、卫生、生态环境保护、自然资源、城乡建设、民政、社会保障、民族等工作的重大事项和项目；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（四）选举本级人民代表大会常务委员会的组成人员；</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（五）选举省长、副省长，自治区主席、副主席，市长、副市长，州长、副州长，县长、副县长，区长、副区长；</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（六）选举本级监察委员会主任、人民法院院长和人民检察院检察长；选出的人民检察院检察长，须报经上一级人民检察院检察长提请该级人民代表大会常务委员会批准；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（七）选举上一级人民代表大会代表；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（八）听取和审议本级人民代表大会常务委员会的工作报告；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（九）听取和审议本级人民政府和人民法院、人民检察院的工作报告；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（十）改变或者撤销本级人民代表大会常务委员会的不适当的决议；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（十一）撤销本级人民政府的不适当的决定和命令；</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（十二）保护社会主义的全民所有的财产和劳动群众集体所有的财产，保护公民私人所有的合法财产，维护社会秩序，保障公民的人身权利、民主权利和其他权利；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（十三）保护各种经济组织的合法权益；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（十四）铸牢中华民族共同体意识，促进各民族广泛交往交流交融，保障少数民族的合法权利和利益；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（十五）保障宪法和法律赋予妇女的男女平等、同工同酬和婚姻自由等各项权利。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6F8ACF">
            <w:pPr>
              <w:jc w:val="both"/>
            </w:pPr>
            <w:r>
              <w:rPr>
                <w:rFonts w:ascii="宋体" w:hAnsi="宋体" w:eastAsia="宋体"/>
                <w:sz w:val="16"/>
              </w:rPr>
              <w:t>截至2024年12月31日，我单位共召开一次人民代表大会会议，按照法定程序履行代表职务；我单位共召开代表外出观摩学习五次，为代表履职能力的提升打下良好基础。围绕重大项目和乡村振兴开展集中视察1次、每季度开展联系走访群众活动1次，本年新增创建“十星级”代表联络站28个，组织开展县乡两级人大代表专题培训班1期，组织部分县级人大代表、人大干部赴上海培训1次。 坚持围绕中心依法开展监督，不断提升监督工作质效；坚持聚焦法治保障，在助推基层社会治理工作上展现人大作为；突出代表作用，激发履职动能，不断凝聚奋进新征程强大合力；坚持推进固本强基，在全面落实“四个机关”定位要求上提升人大质效。</w:t>
            </w:r>
          </w:p>
        </w:tc>
      </w:tr>
      <w:tr w14:paraId="4E8EBA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E9D7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2DA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C2C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F526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C86B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CB80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6CA7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4AE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38F0C">
            <w:pPr>
              <w:jc w:val="center"/>
            </w:pPr>
            <w:r>
              <w:rPr>
                <w:rFonts w:ascii="宋体" w:hAnsi="宋体" w:eastAsia="宋体"/>
                <w:sz w:val="16"/>
              </w:rPr>
              <w:t>得分</w:t>
            </w:r>
          </w:p>
        </w:tc>
      </w:tr>
      <w:tr w14:paraId="510D8A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4828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6A06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55A5">
            <w:pPr>
              <w:jc w:val="center"/>
            </w:pPr>
            <w:r>
              <w:rPr>
                <w:rFonts w:ascii="宋体" w:hAnsi="宋体" w:eastAsia="宋体"/>
                <w:sz w:val="16"/>
              </w:rPr>
              <w:t>围绕重大项目和乡村振兴开展集中视察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8C405">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0D1E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97B5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E3E0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F6E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EF0A6">
            <w:pPr>
              <w:jc w:val="center"/>
            </w:pPr>
            <w:r>
              <w:rPr>
                <w:rFonts w:ascii="宋体" w:hAnsi="宋体" w:eastAsia="宋体"/>
                <w:sz w:val="16"/>
              </w:rPr>
              <w:t>18</w:t>
            </w:r>
          </w:p>
        </w:tc>
      </w:tr>
      <w:tr w14:paraId="30A54D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370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022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C7B5C">
            <w:pPr>
              <w:jc w:val="center"/>
            </w:pPr>
            <w:r>
              <w:rPr>
                <w:rFonts w:ascii="宋体" w:hAnsi="宋体" w:eastAsia="宋体"/>
                <w:sz w:val="16"/>
              </w:rPr>
              <w:t>每季度开展联系走访群众活动次数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FBC0E">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E23D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3253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F8244">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78A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D2571">
            <w:pPr>
              <w:jc w:val="center"/>
            </w:pPr>
            <w:r>
              <w:rPr>
                <w:rFonts w:ascii="宋体" w:hAnsi="宋体" w:eastAsia="宋体"/>
                <w:sz w:val="16"/>
              </w:rPr>
              <w:t>18</w:t>
            </w:r>
          </w:p>
        </w:tc>
      </w:tr>
      <w:tr w14:paraId="50A1F6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363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0CC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81604">
            <w:pPr>
              <w:jc w:val="center"/>
            </w:pPr>
            <w:r>
              <w:rPr>
                <w:rFonts w:ascii="宋体" w:hAnsi="宋体" w:eastAsia="宋体"/>
                <w:sz w:val="16"/>
              </w:rPr>
              <w:t>本年新增创建“十星级”代表联络站数量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6C151">
            <w:pPr>
              <w:jc w:val="center"/>
            </w:pPr>
            <w:r>
              <w:rPr>
                <w:rFonts w:ascii="宋体" w:hAnsi="宋体" w:eastAsia="宋体"/>
                <w:sz w:val="16"/>
              </w:rPr>
              <w:t>&gt;=28个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1AA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CE2C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0F6E8">
            <w:pPr>
              <w:jc w:val="center"/>
            </w:pPr>
            <w:r>
              <w:rPr>
                <w:rFonts w:ascii="宋体" w:hAnsi="宋体" w:eastAsia="宋体"/>
                <w:sz w:val="16"/>
              </w:rPr>
              <w:t>=28个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A0F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00BD9">
            <w:pPr>
              <w:jc w:val="center"/>
            </w:pPr>
            <w:r>
              <w:rPr>
                <w:rFonts w:ascii="宋体" w:hAnsi="宋体" w:eastAsia="宋体"/>
                <w:sz w:val="16"/>
              </w:rPr>
              <w:t>18</w:t>
            </w:r>
          </w:p>
        </w:tc>
      </w:tr>
      <w:tr w14:paraId="0A1676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5A6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96C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12FE6">
            <w:pPr>
              <w:jc w:val="center"/>
            </w:pPr>
            <w:r>
              <w:rPr>
                <w:rFonts w:ascii="宋体" w:hAnsi="宋体" w:eastAsia="宋体"/>
                <w:sz w:val="16"/>
              </w:rPr>
              <w:t>组织开展县乡两级人大代表专题培训班次数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F2DA9">
            <w:pPr>
              <w:jc w:val="center"/>
            </w:pPr>
            <w:r>
              <w:rPr>
                <w:rFonts w:ascii="宋体" w:hAnsi="宋体" w:eastAsia="宋体"/>
                <w:sz w:val="16"/>
              </w:rPr>
              <w:t>&gt;=1期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C5DB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18CA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6507D">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B7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513D6">
            <w:pPr>
              <w:jc w:val="center"/>
            </w:pPr>
            <w:r>
              <w:rPr>
                <w:rFonts w:ascii="宋体" w:hAnsi="宋体" w:eastAsia="宋体"/>
                <w:sz w:val="16"/>
              </w:rPr>
              <w:t>18</w:t>
            </w:r>
          </w:p>
        </w:tc>
      </w:tr>
      <w:tr w14:paraId="2455B5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7AF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E59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2956B">
            <w:pPr>
              <w:jc w:val="center"/>
            </w:pPr>
            <w:r>
              <w:rPr>
                <w:rFonts w:ascii="宋体" w:hAnsi="宋体" w:eastAsia="宋体"/>
                <w:sz w:val="16"/>
              </w:rPr>
              <w:t>组织部分县级人大代表、人大干部赴上海培训次数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5734F">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48E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8A13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CDB1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B24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76935">
            <w:pPr>
              <w:jc w:val="center"/>
            </w:pPr>
            <w:r>
              <w:rPr>
                <w:rFonts w:ascii="宋体" w:hAnsi="宋体" w:eastAsia="宋体"/>
                <w:sz w:val="16"/>
              </w:rPr>
              <w:t>18</w:t>
            </w:r>
          </w:p>
        </w:tc>
      </w:tr>
    </w:tbl>
    <w:p w14:paraId="009D4A33">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16"/>
        <w:gridCol w:w="609"/>
        <w:gridCol w:w="616"/>
        <w:gridCol w:w="776"/>
        <w:gridCol w:w="625"/>
        <w:gridCol w:w="583"/>
        <w:gridCol w:w="624"/>
      </w:tblGrid>
      <w:tr w14:paraId="1B95FF52">
        <w:tblPrEx>
          <w:tblCellMar>
            <w:top w:w="0" w:type="dxa"/>
            <w:left w:w="108" w:type="dxa"/>
            <w:bottom w:w="0" w:type="dxa"/>
            <w:right w:w="108" w:type="dxa"/>
          </w:tblCellMar>
        </w:tblPrEx>
        <w:tc>
          <w:tcPr>
            <w:tcW w:w="8848" w:type="dxa"/>
            <w:gridSpan w:val="14"/>
            <w:vAlign w:val="center"/>
          </w:tcPr>
          <w:p w14:paraId="3F9C8842">
            <w:pPr>
              <w:jc w:val="center"/>
            </w:pPr>
            <w:r>
              <w:rPr>
                <w:rFonts w:ascii="宋体" w:hAnsi="宋体" w:eastAsia="宋体"/>
                <w:sz w:val="24"/>
              </w:rPr>
              <w:t>项目支出绩效自评表</w:t>
            </w:r>
          </w:p>
        </w:tc>
      </w:tr>
      <w:tr w14:paraId="62834066">
        <w:tblPrEx>
          <w:tblCellMar>
            <w:top w:w="0" w:type="dxa"/>
            <w:left w:w="108" w:type="dxa"/>
            <w:bottom w:w="0" w:type="dxa"/>
            <w:right w:w="108" w:type="dxa"/>
          </w:tblCellMar>
        </w:tblPrEx>
        <w:tc>
          <w:tcPr>
            <w:tcW w:w="8848" w:type="dxa"/>
            <w:gridSpan w:val="14"/>
            <w:vAlign w:val="center"/>
          </w:tcPr>
          <w:p w14:paraId="30B4869A">
            <w:pPr>
              <w:jc w:val="center"/>
            </w:pPr>
            <w:r>
              <w:rPr>
                <w:rFonts w:ascii="宋体" w:hAnsi="宋体" w:eastAsia="宋体"/>
                <w:sz w:val="24"/>
              </w:rPr>
              <w:t>(2024年度)</w:t>
            </w:r>
          </w:p>
        </w:tc>
      </w:tr>
      <w:tr w14:paraId="301820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E7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D4A8CB">
            <w:pPr>
              <w:jc w:val="center"/>
            </w:pPr>
            <w:r>
              <w:rPr>
                <w:rFonts w:ascii="宋体" w:hAnsi="宋体" w:eastAsia="宋体"/>
                <w:sz w:val="16"/>
              </w:rPr>
              <w:t>2024年人大代表活动项目</w:t>
            </w:r>
          </w:p>
        </w:tc>
      </w:tr>
      <w:tr w14:paraId="67DF5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B4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37CA4B">
            <w:pPr>
              <w:jc w:val="center"/>
            </w:pPr>
            <w:r>
              <w:rPr>
                <w:rFonts w:ascii="宋体" w:hAnsi="宋体" w:eastAsia="宋体"/>
                <w:sz w:val="16"/>
              </w:rPr>
              <w:t>中共叶城县委员会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F7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66BE87">
            <w:pPr>
              <w:jc w:val="center"/>
            </w:pPr>
            <w:r>
              <w:rPr>
                <w:rFonts w:ascii="宋体" w:hAnsi="宋体" w:eastAsia="宋体"/>
                <w:sz w:val="16"/>
              </w:rPr>
              <w:t>叶城县人民代表大会常务委员会办公室</w:t>
            </w:r>
          </w:p>
        </w:tc>
      </w:tr>
      <w:tr w14:paraId="1948D1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A5A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95F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7BE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F9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E46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FA1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F80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E8FE">
            <w:pPr>
              <w:jc w:val="center"/>
            </w:pPr>
            <w:r>
              <w:rPr>
                <w:rFonts w:ascii="宋体" w:hAnsi="宋体" w:eastAsia="宋体"/>
                <w:sz w:val="16"/>
              </w:rPr>
              <w:t>得分</w:t>
            </w:r>
          </w:p>
        </w:tc>
      </w:tr>
      <w:tr w14:paraId="4E288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F35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ACB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63D3">
            <w:pPr>
              <w:jc w:val="center"/>
            </w:pPr>
            <w:r>
              <w:rPr>
                <w:rFonts w:ascii="宋体" w:hAnsi="宋体" w:eastAsia="宋体"/>
                <w:sz w:val="16"/>
              </w:rPr>
              <w:t>173.14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BD62E">
            <w:pPr>
              <w:jc w:val="center"/>
            </w:pPr>
            <w:r>
              <w:rPr>
                <w:rFonts w:ascii="宋体" w:hAnsi="宋体" w:eastAsia="宋体"/>
                <w:sz w:val="16"/>
              </w:rPr>
              <w:t>173.14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5F5A3">
            <w:pPr>
              <w:jc w:val="center"/>
            </w:pPr>
            <w:r>
              <w:rPr>
                <w:rFonts w:ascii="宋体" w:hAnsi="宋体" w:eastAsia="宋体"/>
                <w:sz w:val="16"/>
              </w:rPr>
              <w:t>101.21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16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0A04C">
            <w:pPr>
              <w:jc w:val="center"/>
            </w:pPr>
            <w:r>
              <w:rPr>
                <w:rFonts w:ascii="宋体" w:hAnsi="宋体" w:eastAsia="宋体"/>
                <w:sz w:val="16"/>
              </w:rPr>
              <w:t>58.5%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2B64">
            <w:pPr>
              <w:jc w:val="center"/>
            </w:pPr>
            <w:r>
              <w:rPr>
                <w:rFonts w:ascii="宋体" w:hAnsi="宋体" w:eastAsia="宋体"/>
                <w:sz w:val="16"/>
              </w:rPr>
              <w:t>0.00分</w:t>
            </w:r>
          </w:p>
        </w:tc>
      </w:tr>
      <w:tr w14:paraId="7DC3D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288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5E0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824C">
            <w:pPr>
              <w:jc w:val="center"/>
            </w:pPr>
            <w:r>
              <w:rPr>
                <w:rFonts w:ascii="宋体" w:hAnsi="宋体" w:eastAsia="宋体"/>
                <w:sz w:val="16"/>
              </w:rPr>
              <w:t>173.14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D8280">
            <w:pPr>
              <w:jc w:val="center"/>
            </w:pPr>
            <w:r>
              <w:rPr>
                <w:rFonts w:ascii="宋体" w:hAnsi="宋体" w:eastAsia="宋体"/>
                <w:sz w:val="16"/>
              </w:rPr>
              <w:t>173.14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D929">
            <w:pPr>
              <w:jc w:val="center"/>
            </w:pPr>
            <w:r>
              <w:rPr>
                <w:rFonts w:ascii="宋体" w:hAnsi="宋体" w:eastAsia="宋体"/>
                <w:sz w:val="16"/>
              </w:rPr>
              <w:t>101.21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404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4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8260">
            <w:pPr>
              <w:jc w:val="center"/>
            </w:pPr>
            <w:r>
              <w:rPr>
                <w:rFonts w:ascii="宋体" w:hAnsi="宋体" w:eastAsia="宋体"/>
                <w:sz w:val="16"/>
              </w:rPr>
              <w:t>—</w:t>
            </w:r>
          </w:p>
        </w:tc>
      </w:tr>
      <w:tr w14:paraId="70BC6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B9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CFA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85F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FB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FF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01B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AE2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6407">
            <w:pPr>
              <w:jc w:val="center"/>
            </w:pPr>
            <w:r>
              <w:rPr>
                <w:rFonts w:ascii="宋体" w:hAnsi="宋体" w:eastAsia="宋体"/>
                <w:sz w:val="16"/>
              </w:rPr>
              <w:t>—</w:t>
            </w:r>
          </w:p>
        </w:tc>
      </w:tr>
      <w:tr w14:paraId="1E79C9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E62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B02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56A0FF">
            <w:pPr>
              <w:jc w:val="center"/>
            </w:pPr>
            <w:r>
              <w:rPr>
                <w:rFonts w:ascii="宋体" w:hAnsi="宋体" w:eastAsia="宋体"/>
                <w:sz w:val="16"/>
              </w:rPr>
              <w:t>实际完成情况</w:t>
            </w:r>
          </w:p>
        </w:tc>
      </w:tr>
      <w:tr w14:paraId="13C56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040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F23F0">
            <w:pPr>
              <w:jc w:val="both"/>
            </w:pPr>
            <w:r>
              <w:rPr>
                <w:rFonts w:ascii="宋体" w:hAnsi="宋体" w:eastAsia="宋体"/>
                <w:sz w:val="16"/>
              </w:rPr>
              <w:t>该项目计划投入173.14万元，用于保障1298名乡级代表和249名县级代表开展集中视察、专题调研、代表小组活动、参加代表培训、列席下级人大常委会会议、代表进“家、室、站”开展活动等闭会期间活动，尊重代表主体地位，充分发挥代表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1071BA">
            <w:pPr>
              <w:jc w:val="both"/>
            </w:pPr>
            <w:r>
              <w:rPr>
                <w:rFonts w:ascii="宋体" w:hAnsi="宋体" w:eastAsia="宋体"/>
                <w:sz w:val="16"/>
              </w:rPr>
              <w:t>截至2024年12月31日，实际支出101.21万元，保障了1298名乡级代表和249名县级代表开展集中视察、专题调研、代表小组活动、参加代表培训、列席下级人大常委会会议、代表进“家、室、站”开展活动等闭会期间活动，项目的实施尊重代表主体地位，充分发挥代表作用。</w:t>
            </w:r>
          </w:p>
        </w:tc>
      </w:tr>
      <w:tr w14:paraId="407FD6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E5A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EB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7F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80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4E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0A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CF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0A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2B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AB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86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44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E3560">
            <w:pPr>
              <w:jc w:val="center"/>
            </w:pPr>
            <w:r>
              <w:rPr>
                <w:rFonts w:ascii="宋体" w:hAnsi="宋体" w:eastAsia="宋体"/>
                <w:sz w:val="16"/>
              </w:rPr>
              <w:t>偏差原因分析及改进措施</w:t>
            </w:r>
          </w:p>
        </w:tc>
      </w:tr>
      <w:tr w14:paraId="54982C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BEA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326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556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A4CE">
            <w:pPr>
              <w:jc w:val="center"/>
            </w:pPr>
            <w:r>
              <w:rPr>
                <w:rFonts w:ascii="宋体" w:hAnsi="宋体" w:eastAsia="宋体"/>
                <w:sz w:val="16"/>
              </w:rPr>
              <w:t>2024乡级人大代表人数（人）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A32E">
            <w:pPr>
              <w:jc w:val="center"/>
            </w:pPr>
            <w:r>
              <w:rPr>
                <w:rFonts w:ascii="宋体" w:hAnsi="宋体" w:eastAsia="宋体"/>
                <w:sz w:val="16"/>
              </w:rPr>
              <w:t>=1298人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5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14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B5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F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44E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E17E">
            <w:pPr>
              <w:jc w:val="center"/>
            </w:pPr>
            <w:r>
              <w:rPr>
                <w:rFonts w:ascii="宋体" w:hAnsi="宋体" w:eastAsia="宋体"/>
                <w:sz w:val="16"/>
              </w:rPr>
              <w:t>=1298人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2F2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FF0A9">
            <w:pPr>
              <w:jc w:val="center"/>
            </w:pPr>
          </w:p>
        </w:tc>
      </w:tr>
      <w:tr w14:paraId="43EFB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7B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95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4B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DB86">
            <w:pPr>
              <w:jc w:val="center"/>
            </w:pPr>
            <w:r>
              <w:rPr>
                <w:rFonts w:ascii="宋体" w:hAnsi="宋体" w:eastAsia="宋体"/>
                <w:sz w:val="16"/>
              </w:rPr>
              <w:t>2024县级人大代表人数（人）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C281">
            <w:pPr>
              <w:jc w:val="center"/>
            </w:pPr>
            <w:r>
              <w:rPr>
                <w:rFonts w:ascii="宋体" w:hAnsi="宋体" w:eastAsia="宋体"/>
                <w:sz w:val="16"/>
              </w:rPr>
              <w:t>=249人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F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47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02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D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B4B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3BFE">
            <w:pPr>
              <w:jc w:val="center"/>
            </w:pPr>
            <w:r>
              <w:rPr>
                <w:rFonts w:ascii="宋体" w:hAnsi="宋体" w:eastAsia="宋体"/>
                <w:sz w:val="16"/>
              </w:rPr>
              <w:t>=249人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69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FB7C5">
            <w:pPr>
              <w:jc w:val="center"/>
            </w:pPr>
          </w:p>
        </w:tc>
      </w:tr>
      <w:tr w14:paraId="73CEE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C1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F8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4D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8DA8">
            <w:pPr>
              <w:jc w:val="center"/>
            </w:pPr>
            <w:r>
              <w:rPr>
                <w:rFonts w:ascii="宋体" w:hAnsi="宋体" w:eastAsia="宋体"/>
                <w:sz w:val="16"/>
              </w:rPr>
              <w:t>落实法律规定的代表活动率（%）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74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8E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6E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F2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9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A6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46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26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BF48">
            <w:pPr>
              <w:jc w:val="center"/>
            </w:pPr>
          </w:p>
        </w:tc>
      </w:tr>
      <w:tr w14:paraId="51EE2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A3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BD1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B2F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3E3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2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E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34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DD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0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8F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A2C8">
            <w:pPr>
              <w:jc w:val="center"/>
            </w:pPr>
            <w:r>
              <w:rPr>
                <w:rFonts w:ascii="宋体" w:hAnsi="宋体" w:eastAsia="宋体"/>
                <w:sz w:val="16"/>
              </w:rPr>
              <w:t>=58.46%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042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A1A9">
            <w:pPr>
              <w:jc w:val="center"/>
            </w:pPr>
            <w:r>
              <w:rPr>
                <w:rFonts w:ascii="宋体" w:hAnsi="宋体" w:eastAsia="宋体"/>
                <w:sz w:val="16"/>
              </w:rPr>
              <w:t>偏差原因：该项目目前已完成，资金支付进度缓慢；改进措施：加快项目支付进度</w:t>
            </w:r>
          </w:p>
        </w:tc>
      </w:tr>
      <w:tr w14:paraId="5E4D4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91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83D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08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E44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5BEA">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1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C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CD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E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E5C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EABD">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B2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6F55A">
            <w:pPr>
              <w:jc w:val="center"/>
            </w:pPr>
          </w:p>
        </w:tc>
      </w:tr>
      <w:tr w14:paraId="01BFD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89D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FE4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668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338F">
            <w:pPr>
              <w:jc w:val="center"/>
            </w:pPr>
            <w:r>
              <w:rPr>
                <w:rFonts w:ascii="宋体" w:hAnsi="宋体" w:eastAsia="宋体"/>
                <w:sz w:val="16"/>
              </w:rPr>
              <w:t>2024年乡人大代表活动经费标准（元/人）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106D">
            <w:pPr>
              <w:jc w:val="center"/>
            </w:pPr>
            <w:r>
              <w:rPr>
                <w:rFonts w:ascii="宋体" w:hAnsi="宋体" w:eastAsia="宋体"/>
                <w:sz w:val="16"/>
              </w:rPr>
              <w:t>&lt;=1007.8元/人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AF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FC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D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E9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45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3521">
            <w:pPr>
              <w:jc w:val="center"/>
            </w:pPr>
            <w:r>
              <w:rPr>
                <w:rFonts w:ascii="宋体" w:hAnsi="宋体" w:eastAsia="宋体"/>
                <w:sz w:val="16"/>
              </w:rPr>
              <w:t>=1007.8元/人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F7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9ECC">
            <w:pPr>
              <w:jc w:val="center"/>
            </w:pPr>
          </w:p>
        </w:tc>
      </w:tr>
      <w:tr w14:paraId="69AE8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6D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B9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95C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208B">
            <w:pPr>
              <w:jc w:val="center"/>
            </w:pPr>
            <w:r>
              <w:rPr>
                <w:rFonts w:ascii="宋体" w:hAnsi="宋体" w:eastAsia="宋体"/>
                <w:sz w:val="16"/>
              </w:rPr>
              <w:t>2024年县人大代表活动经费标准（元/人）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F531">
            <w:pPr>
              <w:jc w:val="center"/>
            </w:pPr>
            <w:r>
              <w:rPr>
                <w:rFonts w:ascii="宋体" w:hAnsi="宋体" w:eastAsia="宋体"/>
                <w:sz w:val="16"/>
              </w:rPr>
              <w:t>&lt;=1700元/人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95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54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C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5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B1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4A78">
            <w:pPr>
              <w:jc w:val="center"/>
            </w:pPr>
            <w:r>
              <w:rPr>
                <w:rFonts w:ascii="宋体" w:hAnsi="宋体" w:eastAsia="宋体"/>
                <w:sz w:val="16"/>
              </w:rPr>
              <w:t>=1700元/人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4F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67B8">
            <w:pPr>
              <w:jc w:val="center"/>
            </w:pPr>
          </w:p>
        </w:tc>
      </w:tr>
      <w:tr w14:paraId="09C7D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06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50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96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A940">
            <w:pPr>
              <w:jc w:val="center"/>
            </w:pPr>
            <w:r>
              <w:rPr>
                <w:rFonts w:ascii="宋体" w:hAnsi="宋体" w:eastAsia="宋体"/>
                <w:sz w:val="16"/>
              </w:rPr>
              <w:t>发挥人大代表作用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8EAF">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F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28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46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12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16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8673">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B0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3C6E8">
            <w:pPr>
              <w:jc w:val="center"/>
            </w:pPr>
          </w:p>
        </w:tc>
      </w:tr>
      <w:tr w14:paraId="59C59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AA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99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4B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1461">
            <w:pPr>
              <w:jc w:val="center"/>
            </w:pPr>
            <w:r>
              <w:rPr>
                <w:rFonts w:ascii="宋体" w:hAnsi="宋体" w:eastAsia="宋体"/>
                <w:sz w:val="16"/>
              </w:rPr>
              <w:t>受益各级人大代表满意度（%）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6B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8F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E0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AD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C7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0F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15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C1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24F27">
            <w:pPr>
              <w:jc w:val="center"/>
            </w:pPr>
          </w:p>
        </w:tc>
      </w:tr>
      <w:tr w14:paraId="13BC9EE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A8D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388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AEB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B6EE">
            <w:pPr>
              <w:jc w:val="center"/>
            </w:pPr>
            <w:r>
              <w:rPr>
                <w:rFonts w:ascii="宋体" w:hAnsi="宋体" w:eastAsia="宋体"/>
                <w:sz w:val="16"/>
              </w:rPr>
              <w:t>82分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7FDB1C"/>
        </w:tc>
      </w:tr>
    </w:tbl>
    <w:p w14:paraId="4407BA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717652A">
        <w:tblPrEx>
          <w:tblCellMar>
            <w:top w:w="0" w:type="dxa"/>
            <w:left w:w="108" w:type="dxa"/>
            <w:bottom w:w="0" w:type="dxa"/>
            <w:right w:w="108" w:type="dxa"/>
          </w:tblCellMar>
        </w:tblPrEx>
        <w:tc>
          <w:tcPr>
            <w:tcW w:w="8848" w:type="dxa"/>
            <w:gridSpan w:val="14"/>
            <w:vAlign w:val="center"/>
          </w:tcPr>
          <w:p w14:paraId="287B3FC7">
            <w:pPr>
              <w:jc w:val="center"/>
            </w:pPr>
            <w:r>
              <w:rPr>
                <w:rFonts w:ascii="宋体" w:hAnsi="宋体" w:eastAsia="宋体"/>
                <w:sz w:val="24"/>
              </w:rPr>
              <w:t>项目支出绩效自评表</w:t>
            </w:r>
          </w:p>
        </w:tc>
      </w:tr>
      <w:tr w14:paraId="05746088">
        <w:tblPrEx>
          <w:tblCellMar>
            <w:top w:w="0" w:type="dxa"/>
            <w:left w:w="108" w:type="dxa"/>
            <w:bottom w:w="0" w:type="dxa"/>
            <w:right w:w="108" w:type="dxa"/>
          </w:tblCellMar>
        </w:tblPrEx>
        <w:tc>
          <w:tcPr>
            <w:tcW w:w="8848" w:type="dxa"/>
            <w:gridSpan w:val="14"/>
            <w:vAlign w:val="center"/>
          </w:tcPr>
          <w:p w14:paraId="69F2E485">
            <w:pPr>
              <w:jc w:val="center"/>
            </w:pPr>
            <w:r>
              <w:rPr>
                <w:rFonts w:ascii="宋体" w:hAnsi="宋体" w:eastAsia="宋体"/>
                <w:sz w:val="24"/>
              </w:rPr>
              <w:t>(2024年度)</w:t>
            </w:r>
          </w:p>
        </w:tc>
      </w:tr>
      <w:tr w14:paraId="2C675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48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8D854">
            <w:pPr>
              <w:jc w:val="center"/>
            </w:pPr>
            <w:r>
              <w:rPr>
                <w:rFonts w:ascii="宋体" w:hAnsi="宋体" w:eastAsia="宋体"/>
                <w:sz w:val="16"/>
              </w:rPr>
              <w:t>2024年度自治区基层人大补助项目</w:t>
            </w:r>
          </w:p>
        </w:tc>
      </w:tr>
      <w:tr w14:paraId="74A0B7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7A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64A83">
            <w:pPr>
              <w:jc w:val="center"/>
            </w:pPr>
            <w:r>
              <w:rPr>
                <w:rFonts w:ascii="宋体" w:hAnsi="宋体" w:eastAsia="宋体"/>
                <w:sz w:val="16"/>
              </w:rPr>
              <w:t>中共叶城县委员会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C0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B4873F">
            <w:pPr>
              <w:jc w:val="center"/>
            </w:pPr>
            <w:r>
              <w:rPr>
                <w:rFonts w:ascii="宋体" w:hAnsi="宋体" w:eastAsia="宋体"/>
                <w:sz w:val="16"/>
              </w:rPr>
              <w:t>叶城县人民代表大会常务委员会办公室</w:t>
            </w:r>
          </w:p>
        </w:tc>
      </w:tr>
      <w:tr w14:paraId="3A87CD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615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2D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022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6D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20A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D4D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8A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5215">
            <w:pPr>
              <w:jc w:val="center"/>
            </w:pPr>
            <w:r>
              <w:rPr>
                <w:rFonts w:ascii="宋体" w:hAnsi="宋体" w:eastAsia="宋体"/>
                <w:sz w:val="16"/>
              </w:rPr>
              <w:t>得分</w:t>
            </w:r>
          </w:p>
        </w:tc>
      </w:tr>
      <w:tr w14:paraId="1E169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B9C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2A2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7884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F81F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D41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36F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E121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D544">
            <w:pPr>
              <w:jc w:val="center"/>
            </w:pPr>
            <w:r>
              <w:rPr>
                <w:rFonts w:ascii="宋体" w:hAnsi="宋体" w:eastAsia="宋体"/>
                <w:sz w:val="16"/>
              </w:rPr>
              <w:t>10.00分</w:t>
            </w:r>
          </w:p>
        </w:tc>
      </w:tr>
      <w:tr w14:paraId="6D712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450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B69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A98F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69F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94EC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FF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BB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8727">
            <w:pPr>
              <w:jc w:val="center"/>
            </w:pPr>
            <w:r>
              <w:rPr>
                <w:rFonts w:ascii="宋体" w:hAnsi="宋体" w:eastAsia="宋体"/>
                <w:sz w:val="16"/>
              </w:rPr>
              <w:t>—</w:t>
            </w:r>
          </w:p>
        </w:tc>
      </w:tr>
      <w:tr w14:paraId="27DC9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154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A24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AAB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96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57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DC6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2C3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9502">
            <w:pPr>
              <w:jc w:val="center"/>
            </w:pPr>
            <w:r>
              <w:rPr>
                <w:rFonts w:ascii="宋体" w:hAnsi="宋体" w:eastAsia="宋体"/>
                <w:sz w:val="16"/>
              </w:rPr>
              <w:t>—</w:t>
            </w:r>
          </w:p>
        </w:tc>
      </w:tr>
      <w:tr w14:paraId="3137A0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F90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B85E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CC0F12">
            <w:pPr>
              <w:jc w:val="center"/>
            </w:pPr>
            <w:r>
              <w:rPr>
                <w:rFonts w:ascii="宋体" w:hAnsi="宋体" w:eastAsia="宋体"/>
                <w:sz w:val="16"/>
              </w:rPr>
              <w:t>实际完成情况</w:t>
            </w:r>
          </w:p>
        </w:tc>
      </w:tr>
      <w:tr w14:paraId="7EBDF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BA6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C0EF0">
            <w:pPr>
              <w:jc w:val="both"/>
            </w:pPr>
            <w:r>
              <w:rPr>
                <w:rFonts w:ascii="宋体" w:hAnsi="宋体" w:eastAsia="宋体"/>
                <w:sz w:val="16"/>
              </w:rPr>
              <w:t>该项目计划投入资金17万元，用于基层人大办公经费支出，弥补基层人大建设经费不足，全面加强基层人大建设，保障基层人大建设代表“家室站”建设，开展立法监督等工作，改善办公条件等，更好支持基层国家权力机关发挥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626B39">
            <w:pPr>
              <w:jc w:val="both"/>
            </w:pPr>
            <w:r>
              <w:rPr>
                <w:rFonts w:hint="eastAsia" w:ascii="宋体" w:hAnsi="宋体"/>
                <w:sz w:val="16"/>
                <w:lang w:eastAsia="zh-CN"/>
              </w:rPr>
              <w:t>截至</w:t>
            </w:r>
            <w:r>
              <w:rPr>
                <w:rFonts w:ascii="宋体" w:hAnsi="宋体" w:eastAsia="宋体"/>
                <w:sz w:val="16"/>
              </w:rPr>
              <w:t>2024年12月31日，我单位支付2024年度自治区基层人大补助项目资金17万元，主要用于基层人大办公经费支出，弥补基层人大建设经费不足，全面加强基层人大建设，保障基层人大建设代表“家室站”建设，开展立法监督等工作、改善办公条件等，更好支持基层国家权力机关发挥作用。</w:t>
            </w:r>
          </w:p>
        </w:tc>
      </w:tr>
      <w:tr w14:paraId="02BFCA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4FF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6E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A9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39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F2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9C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F1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9F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9C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36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0C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7D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E8B76">
            <w:pPr>
              <w:jc w:val="center"/>
            </w:pPr>
            <w:r>
              <w:rPr>
                <w:rFonts w:ascii="宋体" w:hAnsi="宋体" w:eastAsia="宋体"/>
                <w:sz w:val="16"/>
              </w:rPr>
              <w:t>偏差原因分析及改进措施</w:t>
            </w:r>
          </w:p>
        </w:tc>
      </w:tr>
      <w:tr w14:paraId="519F94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769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DE4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F4F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1EE3">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CC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9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454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C3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1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1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DC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CB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927E">
            <w:pPr>
              <w:jc w:val="center"/>
            </w:pPr>
          </w:p>
        </w:tc>
      </w:tr>
      <w:tr w14:paraId="427A0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45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F9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66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EEEF">
            <w:pPr>
              <w:jc w:val="center"/>
            </w:pPr>
            <w:r>
              <w:rPr>
                <w:rFonts w:ascii="宋体" w:hAnsi="宋体" w:eastAsia="宋体"/>
                <w:sz w:val="16"/>
              </w:rPr>
              <w:t>保障人大会议召开（次）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00B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4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45E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65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9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0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231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3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0B1E">
            <w:pPr>
              <w:jc w:val="center"/>
            </w:pPr>
          </w:p>
        </w:tc>
      </w:tr>
      <w:tr w14:paraId="26E9F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52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49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19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029D">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D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5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5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9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3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4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0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C2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18871">
            <w:pPr>
              <w:jc w:val="center"/>
            </w:pPr>
          </w:p>
        </w:tc>
      </w:tr>
      <w:tr w14:paraId="50A4D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19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E3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EC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0C3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2FDB">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E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6231">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84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BD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0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4670">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6C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EEE97">
            <w:pPr>
              <w:jc w:val="center"/>
            </w:pPr>
          </w:p>
        </w:tc>
      </w:tr>
      <w:tr w14:paraId="18F59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80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5F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A6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3116">
            <w:pPr>
              <w:jc w:val="center"/>
            </w:pPr>
            <w:r>
              <w:rPr>
                <w:rFonts w:ascii="宋体" w:hAnsi="宋体" w:eastAsia="宋体"/>
                <w:sz w:val="16"/>
              </w:rPr>
              <w:t>基层人大办公经费成本（万元）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44D0">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FD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6D8B">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8D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7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95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83CB">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66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DE851">
            <w:pPr>
              <w:jc w:val="center"/>
            </w:pPr>
          </w:p>
        </w:tc>
      </w:tr>
      <w:tr w14:paraId="21018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3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06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25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2328">
            <w:pPr>
              <w:jc w:val="center"/>
            </w:pPr>
            <w:r>
              <w:rPr>
                <w:rFonts w:ascii="宋体" w:hAnsi="宋体" w:eastAsia="宋体"/>
                <w:sz w:val="16"/>
              </w:rPr>
              <w:t>改善基层人大办公环境，提高基层人大履职能力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85B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4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155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12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88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09F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2F9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7A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BD203">
            <w:pPr>
              <w:jc w:val="center"/>
            </w:pPr>
          </w:p>
        </w:tc>
      </w:tr>
      <w:tr w14:paraId="6DF4E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B2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C2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9B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DF11">
            <w:pPr>
              <w:jc w:val="center"/>
            </w:pPr>
            <w:r>
              <w:rPr>
                <w:rFonts w:ascii="宋体" w:hAnsi="宋体" w:eastAsia="宋体"/>
                <w:sz w:val="16"/>
              </w:rPr>
              <w:t>受益基层人大代表满意度（%）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D0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5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9D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75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6F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340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74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3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11C2">
            <w:pPr>
              <w:jc w:val="center"/>
            </w:pPr>
          </w:p>
        </w:tc>
      </w:tr>
      <w:tr w14:paraId="0DB55F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4513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2BA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124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AD1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A3B5F1"/>
        </w:tc>
      </w:tr>
    </w:tbl>
    <w:p w14:paraId="4C53E0FC">
      <w:r>
        <w:br w:type="page"/>
      </w:r>
    </w:p>
    <w:p w14:paraId="3043646E">
      <w:pPr>
        <w:spacing w:line="640" w:lineRule="exact"/>
        <w:ind w:firstLine="640"/>
        <w:jc w:val="both"/>
        <w:outlineLvl w:val="2"/>
      </w:pPr>
      <w:r>
        <w:rPr>
          <w:rFonts w:ascii="黑体" w:hAnsi="黑体" w:eastAsia="黑体"/>
          <w:sz w:val="32"/>
        </w:rPr>
        <w:t>十二、其他需说明的事项</w:t>
      </w:r>
    </w:p>
    <w:p w14:paraId="0FB16D43">
      <w:pPr>
        <w:spacing w:line="580" w:lineRule="exact"/>
        <w:ind w:firstLine="640"/>
        <w:jc w:val="both"/>
      </w:pPr>
      <w:r>
        <w:rPr>
          <w:rFonts w:ascii="仿宋_GB2312" w:hAnsi="仿宋_GB2312" w:eastAsia="仿宋_GB2312"/>
          <w:b w:val="0"/>
          <w:sz w:val="32"/>
        </w:rPr>
        <w:t>本单位无其他需说明的事项。</w:t>
      </w:r>
    </w:p>
    <w:p w14:paraId="291A7C13">
      <w:r>
        <w:br w:type="page"/>
      </w:r>
    </w:p>
    <w:p w14:paraId="6403897F">
      <w:pPr>
        <w:spacing w:line="240" w:lineRule="auto"/>
        <w:jc w:val="center"/>
        <w:outlineLvl w:val="1"/>
      </w:pPr>
      <w:r>
        <w:rPr>
          <w:rFonts w:ascii="黑体" w:hAnsi="黑体" w:eastAsia="黑体"/>
          <w:sz w:val="32"/>
        </w:rPr>
        <w:t>第三部分 专业名词解释</w:t>
      </w:r>
    </w:p>
    <w:p w14:paraId="34BBE39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30BFFC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B8A49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E9A48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E858EB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45DC7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32FB9C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9E723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C1879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92010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DB729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20DF6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BB7F9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A7868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3BA39BF">
      <w:r>
        <w:br w:type="page"/>
      </w:r>
    </w:p>
    <w:p w14:paraId="5E54B75F">
      <w:pPr>
        <w:spacing w:line="240" w:lineRule="auto"/>
        <w:jc w:val="center"/>
        <w:outlineLvl w:val="1"/>
      </w:pPr>
      <w:r>
        <w:rPr>
          <w:rFonts w:ascii="黑体" w:hAnsi="黑体" w:eastAsia="黑体"/>
          <w:sz w:val="32"/>
        </w:rPr>
        <w:t>第四部分 部门决算报表（见附表）</w:t>
      </w:r>
    </w:p>
    <w:p w14:paraId="34A5D2FE">
      <w:pPr>
        <w:spacing w:line="240" w:lineRule="auto"/>
        <w:ind w:firstLine="640"/>
        <w:jc w:val="both"/>
      </w:pPr>
      <w:r>
        <w:rPr>
          <w:rFonts w:ascii="仿宋_GB2312" w:hAnsi="仿宋_GB2312" w:eastAsia="仿宋_GB2312"/>
          <w:b w:val="0"/>
          <w:sz w:val="32"/>
        </w:rPr>
        <w:t>一、《收入支出决算总表》</w:t>
      </w:r>
    </w:p>
    <w:p w14:paraId="15130588">
      <w:pPr>
        <w:spacing w:line="240" w:lineRule="auto"/>
        <w:ind w:firstLine="640"/>
        <w:jc w:val="both"/>
      </w:pPr>
      <w:r>
        <w:rPr>
          <w:rFonts w:ascii="仿宋_GB2312" w:hAnsi="仿宋_GB2312" w:eastAsia="仿宋_GB2312"/>
          <w:b w:val="0"/>
          <w:sz w:val="32"/>
        </w:rPr>
        <w:t>二、《收入决算表》</w:t>
      </w:r>
    </w:p>
    <w:p w14:paraId="057CAAFB">
      <w:pPr>
        <w:spacing w:line="240" w:lineRule="auto"/>
        <w:ind w:firstLine="640"/>
        <w:jc w:val="both"/>
      </w:pPr>
      <w:r>
        <w:rPr>
          <w:rFonts w:ascii="仿宋_GB2312" w:hAnsi="仿宋_GB2312" w:eastAsia="仿宋_GB2312"/>
          <w:b w:val="0"/>
          <w:sz w:val="32"/>
        </w:rPr>
        <w:t>三、《支出决算表》</w:t>
      </w:r>
    </w:p>
    <w:p w14:paraId="78E223DD">
      <w:pPr>
        <w:spacing w:line="240" w:lineRule="auto"/>
        <w:ind w:firstLine="640"/>
        <w:jc w:val="both"/>
      </w:pPr>
      <w:r>
        <w:rPr>
          <w:rFonts w:ascii="仿宋_GB2312" w:hAnsi="仿宋_GB2312" w:eastAsia="仿宋_GB2312"/>
          <w:b w:val="0"/>
          <w:sz w:val="32"/>
        </w:rPr>
        <w:t>四、《财政拨款收入支出决算总表》</w:t>
      </w:r>
    </w:p>
    <w:p w14:paraId="0E736E8D">
      <w:pPr>
        <w:spacing w:line="240" w:lineRule="auto"/>
        <w:ind w:firstLine="640"/>
        <w:jc w:val="both"/>
      </w:pPr>
      <w:r>
        <w:rPr>
          <w:rFonts w:ascii="仿宋_GB2312" w:hAnsi="仿宋_GB2312" w:eastAsia="仿宋_GB2312"/>
          <w:b w:val="0"/>
          <w:sz w:val="32"/>
        </w:rPr>
        <w:t>五、《一般公共预算财政拨款支出决算表》</w:t>
      </w:r>
    </w:p>
    <w:p w14:paraId="3751CCE7">
      <w:pPr>
        <w:spacing w:line="240" w:lineRule="auto"/>
        <w:ind w:firstLine="640"/>
        <w:jc w:val="both"/>
      </w:pPr>
      <w:r>
        <w:rPr>
          <w:rFonts w:ascii="仿宋_GB2312" w:hAnsi="仿宋_GB2312" w:eastAsia="仿宋_GB2312"/>
          <w:b w:val="0"/>
          <w:sz w:val="32"/>
        </w:rPr>
        <w:t>六、《一般公共预算财政拨款基本支出决算表》</w:t>
      </w:r>
    </w:p>
    <w:p w14:paraId="69F0C2B5">
      <w:pPr>
        <w:spacing w:line="240" w:lineRule="auto"/>
        <w:ind w:firstLine="640"/>
        <w:jc w:val="both"/>
      </w:pPr>
      <w:r>
        <w:rPr>
          <w:rFonts w:ascii="仿宋_GB2312" w:hAnsi="仿宋_GB2312" w:eastAsia="仿宋_GB2312"/>
          <w:b w:val="0"/>
          <w:sz w:val="32"/>
        </w:rPr>
        <w:t>七、《政府性基金预算财政拨款收入支出决算表》</w:t>
      </w:r>
    </w:p>
    <w:p w14:paraId="3EDCBB15">
      <w:pPr>
        <w:spacing w:line="240" w:lineRule="auto"/>
        <w:ind w:firstLine="640"/>
        <w:jc w:val="both"/>
      </w:pPr>
      <w:r>
        <w:rPr>
          <w:rFonts w:ascii="仿宋_GB2312" w:hAnsi="仿宋_GB2312" w:eastAsia="仿宋_GB2312"/>
          <w:b w:val="0"/>
          <w:sz w:val="32"/>
        </w:rPr>
        <w:t>八、《国有资本经营预算财政拨款收入支出决算表》</w:t>
      </w:r>
    </w:p>
    <w:p w14:paraId="7A55D1AD">
      <w:pPr>
        <w:spacing w:line="240" w:lineRule="auto"/>
        <w:ind w:firstLine="640"/>
        <w:jc w:val="both"/>
      </w:pPr>
      <w:r>
        <w:rPr>
          <w:rFonts w:ascii="仿宋_GB2312" w:hAnsi="仿宋_GB2312" w:eastAsia="仿宋_GB2312"/>
          <w:b w:val="0"/>
          <w:sz w:val="32"/>
        </w:rPr>
        <w:t>九、《财政拨款“三公”经费支出决算表》</w:t>
      </w:r>
    </w:p>
    <w:p w14:paraId="30A7B74F">
      <w:pPr>
        <w:spacing w:line="240" w:lineRule="auto"/>
        <w:ind w:firstLine="640"/>
        <w:jc w:val="both"/>
      </w:pPr>
    </w:p>
    <w:p w14:paraId="00D6347E">
      <w:pPr>
        <w:spacing w:line="240" w:lineRule="auto"/>
        <w:ind w:firstLine="640"/>
        <w:jc w:val="both"/>
      </w:pPr>
    </w:p>
    <w:p w14:paraId="6936918C">
      <w:pPr>
        <w:spacing w:line="240" w:lineRule="auto"/>
        <w:ind w:firstLine="640"/>
        <w:jc w:val="both"/>
      </w:pPr>
    </w:p>
    <w:p w14:paraId="194A54A4">
      <w:pPr>
        <w:spacing w:line="240" w:lineRule="auto"/>
        <w:ind w:firstLine="640"/>
        <w:jc w:val="both"/>
      </w:pPr>
    </w:p>
    <w:p w14:paraId="1EFF7C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D6C18D-BB28-4349-8840-77B2C9DEA7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1CC4415-A3F3-478B-A886-0586D28E66C2}"/>
  </w:font>
  <w:font w:name="仿宋_GB2312">
    <w:panose1 w:val="02010609030101010101"/>
    <w:charset w:val="86"/>
    <w:family w:val="modern"/>
    <w:pitch w:val="default"/>
    <w:sig w:usb0="00000001" w:usb1="080E0000" w:usb2="00000000" w:usb3="00000000" w:csb0="00040000" w:csb1="00000000"/>
    <w:embedRegular r:id="rId3" w:fontKey="{BE3227D6-870A-436B-AE83-FDFAF19D918E}"/>
  </w:font>
  <w:font w:name="楷体_GB2312">
    <w:panose1 w:val="02010609030101010101"/>
    <w:charset w:val="86"/>
    <w:family w:val="auto"/>
    <w:pitch w:val="default"/>
    <w:sig w:usb0="00000001" w:usb1="080E0000" w:usb2="00000000" w:usb3="00000000" w:csb0="00040000" w:csb1="00000000"/>
    <w:embedRegular r:id="rId4" w:fontKey="{CC3059AD-4153-4A16-95F6-35BA6F58C22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0550DC"/>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1A7F0A"/>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C25DDE"/>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953ab07a-160c-4f2d-a97f-8d5ee9b9b810</errorID>
      <errorWord>查</errorWord>
      <group>L1_Word</group>
      <groupName>字词问题</groupName>
      <ability>L2_Typo</ability>
      <abilityName>字词错误</abilityName>
      <candidateList>
        <item>查和</item>
      </candidateList>
      <explain/>
      <paraID>38170954</paraID>
      <start>45</start>
      <end>47</end>
      <status>modified</status>
      <modifiedWord>查和</modifiedWord>
      <trackRevisions>false</trackRevisions>
    </reviewItem>
    <reviewItem>
      <errorID>8a4a3c30-69c1-4c4c-a382-092bdbd1fc5c</errorID>
      <errorWord>债</errorWord>
      <group>L1_Sensitive</group>
      <groupName>敏感问题</groupName>
      <ability>L2_UserSensitive</ability>
      <abilityName>自定义敏感词</abilityName>
      <candidateList/>
      <explain>来自自定义敏感词库。</explain>
      <paraID>38170954</paraID>
      <start>51</start>
      <end>52</end>
      <status>unmodified</status>
      <modifiedWord/>
      <trackRevisions>false</trackRevisions>
    </reviewItem>
    <reviewItem>
      <errorID>567b52d2-02d5-4007-bc98-2aa86342bf97</errorID>
      <errorWord>;</errorWord>
      <group>L1_Format</group>
      <groupName>格式问题</groupName>
      <ability>L2_HalfPunc</ability>
      <abilityName>全半角检查</abilityName>
      <candidateList>
        <item>；</item>
      </candidateList>
      <explain>文本全半角错误。</explain>
      <paraID>72F4C3CD</paraID>
      <start>30</start>
      <end>31</end>
      <status>unmodified</status>
      <modifiedWord/>
      <trackRevisions>false</trackRevisions>
    </reviewItem>
    <reviewItem>
      <errorID>eb56e58f-f905-4f73-b4b1-6f20fdabaa9d</errorID>
      <errorWord>,</errorWord>
      <group>L1_Format</group>
      <groupName>格式问题</groupName>
      <ability>L2_HalfPunc</ability>
      <abilityName>全半角检查</abilityName>
      <candidateList>
        <item>，</item>
      </candidateList>
      <explain>文本全半角错误。</explain>
      <paraID> 14AD58E</paraID>
      <start>67</start>
      <end>68</end>
      <status>unmodified</status>
      <modifiedWord/>
      <trackRevisions>false</trackRevisions>
    </reviewItem>
    <reviewItem>
      <errorID>a8669984-7ea6-498f-ab31-d1534067b4a3</errorID>
      <errorWord>,</errorWord>
      <group>L1_Format</group>
      <groupName>格式问题</groupName>
      <ability>L2_HalfPunc</ability>
      <abilityName>全半角检查</abilityName>
      <candidateList>
        <item>，</item>
      </candidateList>
      <explain>文本全半角错误。</explain>
      <paraID> EAB3637</paraID>
      <start>171</start>
      <end>172</end>
      <status>unmodified</status>
      <modifiedWord/>
      <trackRevisions>false</trackRevisions>
    </reviewItem>
    <reviewItem>
      <errorID>c09620d8-df96-4c15-8b50-fd10ff2c59a9</errorID>
      <errorWord>,</errorWord>
      <group>L1_Format</group>
      <groupName>格式问题</groupName>
      <ability>L2_HalfPunc</ability>
      <abilityName>全半角检查</abilityName>
      <candidateList>
        <item>，</item>
      </candidateList>
      <explain>文本全半角错误。</explain>
      <paraID>74A1256E</paraID>
      <start>21</start>
      <end>22</end>
      <status>unmodified</status>
      <modifiedWord/>
      <trackRevisions>false</trackRevisions>
    </reviewItem>
    <reviewItem>
      <errorID>76fc88c0-376e-40a8-b454-05001dc24e36</errorID>
      <errorWord>,</errorWord>
      <group>L1_Format</group>
      <groupName>格式问题</groupName>
      <ability>L2_HalfPunc</ability>
      <abilityName>全半角检查</abilityName>
      <candidateList>
        <item>，</item>
      </candidateList>
      <explain>文本全半角错误。</explain>
      <paraID>34683C3C</paraID>
      <start>22</start>
      <end>23</end>
      <status>unmodified</status>
      <modifiedWord/>
      <trackRevisions>false</trackRevisions>
    </reviewItem>
    <reviewItem>
      <errorID>de9cb2fe-c147-433a-b1b7-832c794e1499</errorID>
      <errorWord>,</errorWord>
      <group>L1_Format</group>
      <groupName>格式问题</groupName>
      <ability>L2_HalfPunc</ability>
      <abilityName>全半角检查</abilityName>
      <candidateList>
        <item>，</item>
      </candidateList>
      <explain>文本全半角错误。</explain>
      <paraID>5E3E6464</paraID>
      <start>18</start>
      <end>19</end>
      <status>unmodified</status>
      <modifiedWord/>
      <trackRevisions>false</trackRevisions>
    </reviewItem>
    <reviewItem>
      <errorID>f20ffe67-f5c7-4c12-8a38-586ede022ca2</errorID>
      <errorWord>,</errorWord>
      <group>L1_Format</group>
      <groupName>格式问题</groupName>
      <ability>L2_HalfPunc</ability>
      <abilityName>全半角检查</abilityName>
      <candidateList>
        <item>，</item>
      </candidateList>
      <explain>文本全半角错误。</explain>
      <paraID>1DA990B5</paraID>
      <start>18</start>
      <end>19</end>
      <status>unmodified</status>
      <modifiedWord/>
      <trackRevisions>false</trackRevisions>
    </reviewItem>
    <reviewItem>
      <errorID>86321593-7907-482a-a06e-787c21814989</errorID>
      <errorWord>:</errorWord>
      <group>L1_Format</group>
      <groupName>格式问题</groupName>
      <ability>L2_HalfPunc</ability>
      <abilityName>全半角检查</abilityName>
      <candidateList>
        <item>：</item>
      </candidateList>
      <explain>文本全半角错误。</explain>
      <paraID> AB71590</paraID>
      <start>27</start>
      <end>28</end>
      <status>unmodified</status>
      <modifiedWord/>
      <trackRevisions>false</trackRevisions>
    </reviewItem>
    <reviewItem>
      <errorID>db6bd049-3554-469e-a012-b593f4c8abd4</errorID>
      <errorWord>,</errorWord>
      <group>L1_Format</group>
      <groupName>格式问题</groupName>
      <ability>L2_HalfPunc</ability>
      <abilityName>全半角检查</abilityName>
      <candidateList>
        <item>，</item>
      </candidateList>
      <explain>文本全半角错误。</explain>
      <paraID> AB71590</paraID>
      <start>67</start>
      <end>68</end>
      <status>unmodified</status>
      <modifiedWord/>
      <trackRevisions>false</trackRevisions>
    </reviewItem>
    <reviewItem>
      <errorID>e8da94b8-51e5-497f-8ead-0eaf18836bf3</errorID>
      <errorWord>:</errorWord>
      <group>L1_Format</group>
      <groupName>格式问题</groupName>
      <ability>L2_HalfPunc</ability>
      <abilityName>全半角检查</abilityName>
      <candidateList>
        <item>：</item>
      </candidateList>
      <explain>文本全半角错误。</explain>
      <paraID>36E8D6DD</paraID>
      <start>27</start>
      <end>28</end>
      <status>unmodified</status>
      <modifiedWord/>
      <trackRevisions>false</trackRevisions>
    </reviewItem>
    <reviewItem>
      <errorID>6c4e1932-0716-4a65-99c9-bdb9a802cfcd</errorID>
      <errorWord>,</errorWord>
      <group>L1_Format</group>
      <groupName>格式问题</groupName>
      <ability>L2_HalfPunc</ability>
      <abilityName>全半角检查</abilityName>
      <candidateList>
        <item>，</item>
      </candidateList>
      <explain>文本全半角错误。</explain>
      <paraID>36E8D6DD</paraID>
      <start>63</start>
      <end>64</end>
      <status>unmodified</status>
      <modifiedWord/>
      <trackRevisions>false</trackRevisions>
    </reviewItem>
    <reviewItem>
      <errorID>1cbab8ad-2157-4cd0-a8cc-bc48b45feb22</errorID>
      <errorWord>:</errorWord>
      <group>L1_Format</group>
      <groupName>格式问题</groupName>
      <ability>L2_HalfPunc</ability>
      <abilityName>全半角检查</abilityName>
      <candidateList>
        <item>：</item>
      </candidateList>
      <explain>文本全半角错误。</explain>
      <paraID>3357AFEA</paraID>
      <start>31</start>
      <end>32</end>
      <status>unmodified</status>
      <modifiedWord/>
      <trackRevisions>false</trackRevisions>
    </reviewItem>
    <reviewItem>
      <errorID>74b9a5b8-4ec2-4195-b9a2-8b89a1fa029b</errorID>
      <errorWord>,</errorWord>
      <group>L1_Format</group>
      <groupName>格式问题</groupName>
      <ability>L2_HalfPunc</ability>
      <abilityName>全半角检查</abilityName>
      <candidateList>
        <item>，</item>
      </candidateList>
      <explain>文本全半角错误。</explain>
      <paraID>3357AFEA</paraID>
      <start>68</start>
      <end>69</end>
      <status>unmodified</status>
      <modifiedWord/>
      <trackRevisions>false</trackRevisions>
    </reviewItem>
    <reviewItem>
      <errorID>2d726183-5ea8-4a58-89ea-811f5be22772</errorID>
      <errorWord>:</errorWord>
      <group>L1_Format</group>
      <groupName>格式问题</groupName>
      <ability>L2_HalfPunc</ability>
      <abilityName>全半角检查</abilityName>
      <candidateList>
        <item>：</item>
      </candidateList>
      <explain>文本全半角错误。</explain>
      <paraID>7D60AD0D</paraID>
      <start>37</start>
      <end>38</end>
      <status>unmodified</status>
      <modifiedWord/>
      <trackRevisions>false</trackRevisions>
    </reviewItem>
    <reviewItem>
      <errorID>c03326dc-4ad1-4cde-8a00-afcebf8abc0c</errorID>
      <errorWord>,</errorWord>
      <group>L1_Format</group>
      <groupName>格式问题</groupName>
      <ability>L2_HalfPunc</ability>
      <abilityName>全半角检查</abilityName>
      <candidateList>
        <item>，</item>
      </candidateList>
      <explain>文本全半角错误。</explain>
      <paraID>7D60AD0D</paraID>
      <start>75</start>
      <end>76</end>
      <status>unmodified</status>
      <modifiedWord/>
      <trackRevisions>false</trackRevisions>
    </reviewItem>
    <reviewItem>
      <errorID>b7b092bc-b117-4fdd-9d9b-b2c748465721</errorID>
      <errorWord>:</errorWord>
      <group>L1_Format</group>
      <groupName>格式问题</groupName>
      <ability>L2_HalfPunc</ability>
      <abilityName>全半角检查</abilityName>
      <candidateList>
        <item>：</item>
      </candidateList>
      <explain>文本全半角错误。</explain>
      <paraID>41E51EC0</paraID>
      <start>46</start>
      <end>47</end>
      <status>unmodified</status>
      <modifiedWord/>
      <trackRevisions>false</trackRevisions>
    </reviewItem>
    <reviewItem>
      <errorID>6535faba-5ea4-4511-9750-6934ee016f48</errorID>
      <errorWord>,</errorWord>
      <group>L1_Format</group>
      <groupName>格式问题</groupName>
      <ability>L2_HalfPunc</ability>
      <abilityName>全半角检查</abilityName>
      <candidateList>
        <item>，</item>
      </candidateList>
      <explain>文本全半角错误。</explain>
      <paraID>41E51EC0</paraID>
      <start>83</start>
      <end>84</end>
      <status>unmodified</status>
      <modifiedWord/>
      <trackRevisions>false</trackRevisions>
    </reviewItem>
    <reviewItem>
      <errorID>4146a137-6ae7-4f1a-95f6-1f7aa28eee70</errorID>
      <errorWord>:</errorWord>
      <group>L1_Format</group>
      <groupName>格式问题</groupName>
      <ability>L2_HalfPunc</ability>
      <abilityName>全半角检查</abilityName>
      <candidateList>
        <item>：</item>
      </candidateList>
      <explain>文本全半角错误。</explain>
      <paraID> 61DF9F7</paraID>
      <start>44</start>
      <end>45</end>
      <status>unmodified</status>
      <modifiedWord/>
      <trackRevisions>false</trackRevisions>
    </reviewItem>
    <reviewItem>
      <errorID>6ce3aa77-f167-4bf1-aff5-bf79dfc69244</errorID>
      <errorWord>,</errorWord>
      <group>L1_Format</group>
      <groupName>格式问题</groupName>
      <ability>L2_HalfPunc</ability>
      <abilityName>全半角检查</abilityName>
      <candidateList>
        <item>，</item>
      </candidateList>
      <explain>文本全半角错误。</explain>
      <paraID> 61DF9F7</paraID>
      <start>82</start>
      <end>83</end>
      <status>unmodified</status>
      <modifiedWord/>
      <trackRevisions>false</trackRevisions>
    </reviewItem>
    <reviewItem>
      <errorID>44dce492-e456-46c5-b48b-43d219ffc424</errorID>
      <errorWord>:</errorWord>
      <group>L1_Format</group>
      <groupName>格式问题</groupName>
      <ability>L2_HalfPunc</ability>
      <abilityName>全半角检查</abilityName>
      <candidateList>
        <item>：</item>
      </candidateList>
      <explain>文本全半角错误。</explain>
      <paraID>2FAEB293</paraID>
      <start>26</start>
      <end>27</end>
      <status>unmodified</status>
      <modifiedWord/>
      <trackRevisions>false</trackRevisions>
    </reviewItem>
    <reviewItem>
      <errorID>89ad4899-68fd-494b-b2a1-4ba0d10d8c91</errorID>
      <errorWord>,</errorWord>
      <group>L1_Format</group>
      <groupName>格式问题</groupName>
      <ability>L2_HalfPunc</ability>
      <abilityName>全半角检查</abilityName>
      <candidateList>
        <item>，</item>
      </candidateList>
      <explain>文本全半角错误。</explain>
      <paraID>2FAEB293</paraID>
      <start>64</start>
      <end>65</end>
      <status>unmodified</status>
      <modifiedWord/>
      <trackRevisions>false</trackRevisions>
    </reviewItem>
    <reviewItem>
      <errorID>68b62b70-5bd0-4825-9d44-126033dce993</errorID>
      <errorWord>:</errorWord>
      <group>L1_Format</group>
      <groupName>格式问题</groupName>
      <ability>L2_HalfPunc</ability>
      <abilityName>全半角检查</abilityName>
      <candidateList>
        <item>：</item>
      </candidateList>
      <explain>文本全半角错误。</explain>
      <paraID>6A296918</paraID>
      <start>31</start>
      <end>32</end>
      <status>unmodified</status>
      <modifiedWord/>
      <trackRevisions>false</trackRevisions>
    </reviewItem>
    <reviewItem>
      <errorID>de2aa4de-04e4-4240-8f28-885351c21f72</errorID>
      <errorWord>,</errorWord>
      <group>L1_Format</group>
      <groupName>格式问题</groupName>
      <ability>L2_HalfPunc</ability>
      <abilityName>全半角检查</abilityName>
      <candidateList>
        <item>，</item>
      </candidateList>
      <explain>文本全半角错误。</explain>
      <paraID>6A296918</paraID>
      <start>68</start>
      <end>69</end>
      <status>unmodified</status>
      <modifiedWord/>
      <trackRevisions>false</trackRevisions>
    </reviewItem>
    <reviewItem>
      <errorID>e66ffc2d-edb0-4ac7-a41c-e31bee9a0caf</errorID>
      <errorWord>:</errorWord>
      <group>L1_Format</group>
      <groupName>格式问题</groupName>
      <ability>L2_HalfPunc</ability>
      <abilityName>全半角检查</abilityName>
      <candidateList>
        <item>：</item>
      </candidateList>
      <explain>文本全半角错误。</explain>
      <paraID>29A5CFC2</paraID>
      <start>32</start>
      <end>33</end>
      <status>unmodified</status>
      <modifiedWord/>
      <trackRevisions>false</trackRevisions>
    </reviewItem>
    <reviewItem>
      <errorID>c80b3141-30be-4b94-91ba-74a33006c00b</errorID>
      <errorWord>,</errorWord>
      <group>L1_Format</group>
      <groupName>格式问题</groupName>
      <ability>L2_HalfPunc</ability>
      <abilityName>全半角检查</abilityName>
      <candidateList>
        <item>，</item>
      </candidateList>
      <explain>文本全半角错误。</explain>
      <paraID>29A5CFC2</paraID>
      <start>67</start>
      <end>68</end>
      <status>unmodified</status>
      <modifiedWord/>
      <trackRevisions>false</trackRevisions>
    </reviewItem>
    <reviewItem>
      <errorID>4b1cd48b-ae9f-4f11-8318-38edd0f488ea</errorID>
      <errorWord>:</errorWord>
      <group>L1_Format</group>
      <groupName>格式问题</groupName>
      <ability>L2_HalfPunc</ability>
      <abilityName>全半角检查</abilityName>
      <candidateList>
        <item>：</item>
      </candidateList>
      <explain>文本全半角错误。</explain>
      <paraID>4D36AEEC</paraID>
      <start>29</start>
      <end>30</end>
      <status>unmodified</status>
      <modifiedWord/>
      <trackRevisions>false</trackRevisions>
    </reviewItem>
    <reviewItem>
      <errorID>829d3034-1bc2-44be-8d4e-1be3bacaea95</errorID>
      <errorWord>,</errorWord>
      <group>L1_Format</group>
      <groupName>格式问题</groupName>
      <ability>L2_HalfPunc</ability>
      <abilityName>全半角检查</abilityName>
      <candidateList>
        <item>，</item>
      </candidateList>
      <explain>文本全半角错误。</explain>
      <paraID>4D36AEEC</paraID>
      <start>67</start>
      <end>68</end>
      <status>unmodified</status>
      <modifiedWord/>
      <trackRevisions>false</trackRevisions>
    </reviewItem>
    <reviewItem>
      <errorID>e2f305a9-e0fc-4dbc-8875-80e657976890</errorID>
      <errorWord>提高</errorWord>
      <group>L1_Word</group>
      <groupName>字词问题</groupName>
      <ability>L2_Typo</ability>
      <abilityName>字词错误</abilityName>
      <candidateList>
        <item>增强</item>
      </candidateList>
      <explain>“提高～意识”搭配不当，建议修改为“增强～意识”。</explain>
      <paraID>4D1C2D21</paraID>
      <start>419</start>
      <end>421</end>
      <status>unmodified</status>
      <modifiedWord/>
      <trackRevisions>false</trackRevisions>
    </reviewItem>
    <reviewItem>
      <errorID>797a208e-5e69-4072-b3ce-876aa6555fec</errorID>
      <errorWord>社会主义文明建设</errorWord>
      <group>L1_Political</group>
      <groupName>政治性问题</groupName>
      <ability>L2_Keyword</ability>
      <abilityName>固定表述</abilityName>
      <candidateList>
        <item>社会主义精神文明建设</item>
      </candidateList>
      <explain>词汇“社会主义精神文明建设”在特定场景下为固定表述形式，请确认此处的“社会主义文明建设”是否存在不当。</explain>
      <paraID> 759882A</paraID>
      <start>20</start>
      <end>30</end>
      <status>modified</status>
      <modifiedWord>社会主义精神文明建设</modifiedWord>
      <trackRevisions>false</trackRevisions>
    </reviewItem>
    <reviewItem>
      <errorID>d62f243a-6cb5-40cd-a61b-054e3b3a212d</errorID>
      <errorWord>查</errorWord>
      <group>L1_Word</group>
      <groupName>字词问题</groupName>
      <ability>L2_Typo</ability>
      <abilityName>字词错误</abilityName>
      <candidateList>
        <item>查和</item>
      </candidateList>
      <explain/>
      <paraID> 759882A</paraID>
      <start>208</start>
      <end>210</end>
      <status>modified</status>
      <modifiedWord>查和</modifiedWord>
      <trackRevisions>false</trackRevisions>
    </reviewItem>
    <reviewItem>
      <errorID>731d9e63-155c-4066-af8e-11e2cf915855</errorID>
      <errorWord>债</errorWord>
      <group>L1_Sensitive</group>
      <groupName>敏感问题</groupName>
      <ability>L2_UserSensitive</ability>
      <abilityName>自定义敏感词</abilityName>
      <candidateList/>
      <explain>来自自定义敏感词库。</explain>
      <paraID> 759882A</paraID>
      <start>214</start>
      <end>215</end>
      <status>unmodified</status>
      <modifiedWord/>
      <trackRevisions>false</trackRevisions>
    </reviewItem>
    <reviewItem>
      <errorID>e10c7c37-50e7-4022-8360-9884db710c96</errorID>
      <errorWord>定位</errorWord>
      <group>L1_Sensitive</group>
      <groupName>敏感问题</groupName>
      <ability>L2_UserSensitive</ability>
      <abilityName>自定义敏感词</abilityName>
      <candidateList/>
      <explain>来自自定义敏感词库。</explain>
      <paraID>446F8ACF</paraID>
      <start>278</start>
      <end>280</end>
      <status>unmodified</status>
      <modifiedWord/>
      <trackRevisions>false</trackRevisions>
    </reviewItem>
    <reviewItem>
      <errorID>62199e13-8550-40a0-a6c6-08f03c3868c1</errorID>
      <errorWord>,</errorWord>
      <group>L1_Format</group>
      <groupName>格式问题</groupName>
      <ability>L2_HalfPunc</ability>
      <abilityName>全半角检查</abilityName>
      <candidateList>
        <item>，</item>
      </candidateList>
      <explain>文本全半角错误。</explain>
      <paraID> DE7E5CE</paraID>
      <start>4</start>
      <end>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997e6e-c473-4422-82cf-7520e48c3ad7}">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5916</Words>
  <Characters>6640</Characters>
  <Lines>0</Lines>
  <Paragraphs>0</Paragraphs>
  <TotalTime>12</TotalTime>
  <ScaleCrop>false</ScaleCrop>
  <LinksUpToDate>false</LinksUpToDate>
  <CharactersWithSpaces>6648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2025-11-06T08:36:32Z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