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FCB727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叶城县人民政府外事办公室2024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8A87B1">
      <w:r>
        <w:br w:type="page"/>
      </w:r>
    </w:p>
    <w:p w14:paraId="7D69618A">
      <w:pPr>
        <w:spacing w:line="640" w:lineRule="exact"/>
        <w:jc w:val="center"/>
        <w:outlineLvl w:val="1"/>
      </w:pPr>
      <w:r>
        <w:rPr>
          <w:rFonts w:ascii="黑体" w:hAnsi="黑体" w:eastAsia="黑体"/>
          <w:sz w:val="32"/>
        </w:rPr>
        <w:t>第一部分 单位概况</w:t>
      </w:r>
    </w:p>
    <w:p w14:paraId="3052A6B3">
      <w:pPr>
        <w:spacing w:line="640" w:lineRule="exact"/>
        <w:ind w:firstLine="640"/>
        <w:jc w:val="both"/>
        <w:outlineLvl w:val="2"/>
      </w:pPr>
      <w:r>
        <w:rPr>
          <w:rFonts w:ascii="黑体" w:hAnsi="黑体" w:eastAsia="黑体"/>
          <w:sz w:val="32"/>
        </w:rPr>
        <w:t>一、主要职能</w:t>
      </w:r>
    </w:p>
    <w:p w14:paraId="4DD0735B">
      <w:pPr>
        <w:spacing w:line="580" w:lineRule="exact"/>
        <w:ind w:firstLine="640"/>
        <w:jc w:val="both"/>
      </w:pPr>
      <w:r>
        <w:rPr>
          <w:rFonts w:ascii="仿宋_GB2312" w:hAnsi="仿宋_GB2312" w:eastAsia="仿宋_GB2312"/>
          <w:sz w:val="32"/>
        </w:rPr>
        <w:t>（1）贯彻落实</w:t>
      </w:r>
      <w:bookmarkStart w:id="0" w:name="_GoBack"/>
      <w:r>
        <w:rPr>
          <w:rFonts w:ascii="仿宋_GB2312" w:hAnsi="仿宋_GB2312" w:eastAsia="仿宋_GB2312"/>
          <w:sz w:val="32"/>
        </w:rPr>
        <w:t>中央</w:t>
      </w:r>
      <w:bookmarkEnd w:id="0"/>
      <w:r>
        <w:rPr>
          <w:rFonts w:ascii="仿宋_GB2312" w:hAnsi="仿宋_GB2312" w:eastAsia="仿宋_GB2312"/>
          <w:sz w:val="32"/>
        </w:rPr>
        <w:t>、自治区、地委及县委的有关外事工作方针政策。</w:t>
      </w:r>
    </w:p>
    <w:p w14:paraId="1D31CC98">
      <w:pPr>
        <w:spacing w:line="580" w:lineRule="exact"/>
        <w:ind w:firstLine="640"/>
        <w:jc w:val="both"/>
      </w:pPr>
      <w:r>
        <w:rPr>
          <w:rFonts w:ascii="仿宋_GB2312" w:hAnsi="仿宋_GB2312" w:eastAsia="仿宋_GB2312"/>
          <w:sz w:val="32"/>
        </w:rPr>
        <w:t>（2）协调、管理全县涉外安全事务。</w:t>
      </w:r>
    </w:p>
    <w:p w14:paraId="6CD54358">
      <w:pPr>
        <w:spacing w:line="580" w:lineRule="exact"/>
        <w:ind w:firstLine="640"/>
        <w:jc w:val="both"/>
      </w:pPr>
      <w:r>
        <w:rPr>
          <w:rFonts w:ascii="仿宋_GB2312" w:hAnsi="仿宋_GB2312" w:eastAsia="仿宋_GB2312"/>
          <w:sz w:val="32"/>
        </w:rPr>
        <w:t>（3）外宾事务接待。</w:t>
      </w:r>
    </w:p>
    <w:p w14:paraId="6CF6F59F">
      <w:pPr>
        <w:spacing w:line="580" w:lineRule="exact"/>
        <w:ind w:firstLine="640"/>
        <w:jc w:val="both"/>
      </w:pPr>
      <w:r>
        <w:rPr>
          <w:rFonts w:ascii="仿宋_GB2312" w:hAnsi="仿宋_GB2312" w:eastAsia="仿宋_GB2312"/>
          <w:sz w:val="32"/>
        </w:rPr>
        <w:t>（4）申报因公临时出国（境）手续及外籍人员因公入境。</w:t>
      </w:r>
    </w:p>
    <w:p w14:paraId="152FD00E">
      <w:pPr>
        <w:spacing w:line="580" w:lineRule="exact"/>
        <w:ind w:firstLine="640"/>
        <w:jc w:val="both"/>
      </w:pPr>
      <w:r>
        <w:rPr>
          <w:rFonts w:ascii="仿宋_GB2312" w:hAnsi="仿宋_GB2312" w:eastAsia="仿宋_GB2312"/>
          <w:sz w:val="32"/>
        </w:rPr>
        <w:t>（5）边界日常维护管理。</w:t>
      </w:r>
    </w:p>
    <w:p w14:paraId="52F73614">
      <w:pPr>
        <w:spacing w:line="580" w:lineRule="exact"/>
        <w:ind w:firstLine="640"/>
        <w:jc w:val="both"/>
      </w:pPr>
      <w:r>
        <w:rPr>
          <w:rFonts w:ascii="仿宋_GB2312" w:hAnsi="仿宋_GB2312" w:eastAsia="仿宋_GB2312"/>
          <w:sz w:val="32"/>
        </w:rPr>
        <w:t>（6）国际友好城市缔结。</w:t>
      </w:r>
    </w:p>
    <w:p w14:paraId="039DDF82">
      <w:pPr>
        <w:spacing w:line="580" w:lineRule="exact"/>
        <w:ind w:firstLine="640"/>
        <w:jc w:val="both"/>
      </w:pPr>
      <w:r>
        <w:rPr>
          <w:rFonts w:ascii="仿宋_GB2312" w:hAnsi="仿宋_GB2312" w:eastAsia="仿宋_GB2312"/>
          <w:sz w:val="32"/>
        </w:rPr>
        <w:t>（7）开展“请进来、走出去”涉外活动。</w:t>
      </w:r>
    </w:p>
    <w:p w14:paraId="5638B0EC">
      <w:pPr>
        <w:spacing w:line="640" w:lineRule="exact"/>
        <w:ind w:firstLine="640"/>
        <w:jc w:val="both"/>
        <w:outlineLvl w:val="2"/>
      </w:pPr>
      <w:r>
        <w:rPr>
          <w:rFonts w:ascii="黑体" w:hAnsi="黑体" w:eastAsia="黑体"/>
          <w:sz w:val="32"/>
        </w:rPr>
        <w:t>二、机构设置及人员情况</w:t>
      </w:r>
    </w:p>
    <w:p w14:paraId="536194D4">
      <w:pPr>
        <w:spacing w:line="580" w:lineRule="exact"/>
        <w:ind w:firstLine="640"/>
        <w:jc w:val="both"/>
      </w:pPr>
      <w:r>
        <w:rPr>
          <w:rFonts w:ascii="仿宋_GB2312" w:hAnsi="仿宋_GB2312" w:eastAsia="仿宋_GB2312"/>
          <w:sz w:val="32"/>
        </w:rPr>
        <w:t>叶城县人民政府外事办公室2024年度，实有人数10人，其中：在职人员8人，增加5人；离休人员0人，增加0人；退休人员2人,增加0人。</w:t>
      </w:r>
    </w:p>
    <w:p w14:paraId="6C191C47">
      <w:pPr>
        <w:spacing w:line="580" w:lineRule="exact"/>
        <w:ind w:firstLine="640"/>
        <w:jc w:val="both"/>
      </w:pPr>
      <w:r>
        <w:rPr>
          <w:rFonts w:ascii="仿宋_GB2312" w:hAnsi="仿宋_GB2312" w:eastAsia="仿宋_GB2312"/>
          <w:sz w:val="32"/>
        </w:rPr>
        <w:t>叶城县人民政府外事办公室无下属预算单位，下设1个科室，分别是：办公室。</w:t>
      </w:r>
    </w:p>
    <w:p w14:paraId="7FBBF35D">
      <w:r>
        <w:br w:type="page"/>
      </w:r>
    </w:p>
    <w:p w14:paraId="2539BDB9">
      <w:pPr>
        <w:spacing w:line="240" w:lineRule="auto"/>
        <w:jc w:val="center"/>
        <w:outlineLvl w:val="1"/>
      </w:pPr>
      <w:r>
        <w:rPr>
          <w:rFonts w:ascii="黑体" w:hAnsi="黑体" w:eastAsia="黑体"/>
          <w:sz w:val="32"/>
        </w:rPr>
        <w:t>第二部分 部门决算情况说明</w:t>
      </w:r>
    </w:p>
    <w:p w14:paraId="7CC6383A">
      <w:pPr>
        <w:spacing w:line="640" w:lineRule="exact"/>
        <w:ind w:firstLine="640"/>
        <w:jc w:val="both"/>
        <w:outlineLvl w:val="2"/>
      </w:pPr>
      <w:r>
        <w:rPr>
          <w:rFonts w:ascii="黑体" w:hAnsi="黑体" w:eastAsia="黑体"/>
          <w:sz w:val="32"/>
        </w:rPr>
        <w:t>一、收入支出决算总体情况说明</w:t>
      </w:r>
    </w:p>
    <w:p w14:paraId="0A4303DA">
      <w:pPr>
        <w:spacing w:line="580" w:lineRule="exact"/>
        <w:ind w:firstLine="640"/>
        <w:jc w:val="both"/>
      </w:pPr>
      <w:r>
        <w:rPr>
          <w:rFonts w:ascii="仿宋_GB2312" w:hAnsi="仿宋_GB2312" w:eastAsia="仿宋_GB2312"/>
          <w:b/>
          <w:sz w:val="32"/>
        </w:rPr>
        <w:t>2024年度收入总计95.03万元，</w:t>
      </w:r>
      <w:r>
        <w:rPr>
          <w:rFonts w:ascii="仿宋_GB2312" w:hAnsi="仿宋_GB2312" w:eastAsia="仿宋_GB2312"/>
          <w:b w:val="0"/>
          <w:sz w:val="32"/>
        </w:rPr>
        <w:t>其中：本年收入合计95.03万元，使用非财政拨款结余（含专用结余）0.00万元，年初结转和结余0.00万元。</w:t>
      </w:r>
    </w:p>
    <w:p w14:paraId="0F7E50A2">
      <w:pPr>
        <w:spacing w:line="580" w:lineRule="exact"/>
        <w:ind w:firstLine="640"/>
        <w:jc w:val="both"/>
      </w:pPr>
      <w:r>
        <w:rPr>
          <w:rFonts w:ascii="仿宋_GB2312" w:hAnsi="仿宋_GB2312" w:eastAsia="仿宋_GB2312"/>
          <w:b/>
          <w:sz w:val="32"/>
        </w:rPr>
        <w:t>2024年度支出总计95.03万元，</w:t>
      </w:r>
      <w:r>
        <w:rPr>
          <w:rFonts w:ascii="仿宋_GB2312" w:hAnsi="仿宋_GB2312" w:eastAsia="仿宋_GB2312"/>
          <w:b w:val="0"/>
          <w:sz w:val="32"/>
        </w:rPr>
        <w:t>其中：本年支出合计95.03万元，结余分配0.00万元，年末结转和结余0.00万元。</w:t>
      </w:r>
    </w:p>
    <w:p w14:paraId="31C81589">
      <w:pPr>
        <w:spacing w:line="580" w:lineRule="exact"/>
        <w:ind w:firstLine="640"/>
        <w:jc w:val="both"/>
      </w:pPr>
      <w:r>
        <w:rPr>
          <w:rFonts w:ascii="仿宋_GB2312" w:hAnsi="仿宋_GB2312" w:eastAsia="仿宋_GB2312"/>
          <w:b w:val="0"/>
          <w:sz w:val="32"/>
        </w:rPr>
        <w:t>收入支出总体与上年相比，减少2.87万元，下降2.93%，主要原因是：本年无退休人员，减少机关事业单位职业年金缴费。</w:t>
      </w:r>
    </w:p>
    <w:p w14:paraId="71D13F86">
      <w:pPr>
        <w:spacing w:line="640" w:lineRule="exact"/>
        <w:ind w:firstLine="640"/>
        <w:jc w:val="both"/>
        <w:outlineLvl w:val="2"/>
      </w:pPr>
      <w:r>
        <w:rPr>
          <w:rFonts w:ascii="黑体" w:hAnsi="黑体" w:eastAsia="黑体"/>
          <w:sz w:val="32"/>
        </w:rPr>
        <w:t>二、收入决算情况说明</w:t>
      </w:r>
    </w:p>
    <w:p w14:paraId="17F1BB69">
      <w:pPr>
        <w:spacing w:line="580" w:lineRule="exact"/>
        <w:ind w:firstLine="640"/>
        <w:jc w:val="both"/>
      </w:pPr>
      <w:r>
        <w:rPr>
          <w:rFonts w:ascii="仿宋_GB2312" w:hAnsi="仿宋_GB2312" w:eastAsia="仿宋_GB2312"/>
          <w:b/>
          <w:sz w:val="32"/>
        </w:rPr>
        <w:t>本年收入95.03万元，</w:t>
      </w:r>
      <w:r>
        <w:rPr>
          <w:rFonts w:ascii="仿宋_GB2312" w:hAnsi="仿宋_GB2312" w:eastAsia="仿宋_GB2312"/>
          <w:b w:val="0"/>
          <w:sz w:val="32"/>
        </w:rPr>
        <w:t>其中：财政拨款收入95.03万元，占100.00%；上级补助收入0.00万元，占0.00%；事业收入0.00万元，占0.00%；经营收入0.00万元，占0.00%；附属单位上缴收入0.00万元，占0.00%；其他收入0.00万元，占0.00%。</w:t>
      </w:r>
    </w:p>
    <w:p w14:paraId="7C1D445D">
      <w:pPr>
        <w:spacing w:line="640" w:lineRule="exact"/>
        <w:ind w:firstLine="640"/>
        <w:jc w:val="both"/>
        <w:outlineLvl w:val="2"/>
      </w:pPr>
      <w:r>
        <w:rPr>
          <w:rFonts w:ascii="黑体" w:hAnsi="黑体" w:eastAsia="黑体"/>
          <w:sz w:val="32"/>
        </w:rPr>
        <w:t>三、支出决算情况说明</w:t>
      </w:r>
    </w:p>
    <w:p w14:paraId="4FB460FA">
      <w:pPr>
        <w:spacing w:line="580" w:lineRule="exact"/>
        <w:ind w:firstLine="640"/>
        <w:jc w:val="both"/>
      </w:pPr>
      <w:r>
        <w:rPr>
          <w:rFonts w:ascii="仿宋_GB2312" w:hAnsi="仿宋_GB2312" w:eastAsia="仿宋_GB2312"/>
          <w:b/>
          <w:sz w:val="32"/>
        </w:rPr>
        <w:t>本年支出95.03万元，</w:t>
      </w:r>
      <w:r>
        <w:rPr>
          <w:rFonts w:ascii="仿宋_GB2312" w:hAnsi="仿宋_GB2312" w:eastAsia="仿宋_GB2312"/>
          <w:b w:val="0"/>
          <w:sz w:val="32"/>
        </w:rPr>
        <w:t>其中：基本支出95.03万元，占100.00%；项目支出0.00万元，占0.00%；上缴上级支出0.00万元，占0.00%；经营支出0.00万元，占0.00%；对附属单位补助支出0.00万元，占0.00%。</w:t>
      </w:r>
    </w:p>
    <w:p w14:paraId="77236929">
      <w:pPr>
        <w:spacing w:line="640" w:lineRule="exact"/>
        <w:ind w:firstLine="640"/>
        <w:jc w:val="both"/>
        <w:outlineLvl w:val="2"/>
      </w:pPr>
      <w:r>
        <w:rPr>
          <w:rFonts w:ascii="黑体" w:hAnsi="黑体" w:eastAsia="黑体"/>
          <w:sz w:val="32"/>
        </w:rPr>
        <w:t>四、财政拨款收入支出决算总体情况说明</w:t>
      </w:r>
    </w:p>
    <w:p w14:paraId="1F5B4988">
      <w:pPr>
        <w:spacing w:line="580" w:lineRule="exact"/>
        <w:ind w:firstLine="640"/>
        <w:jc w:val="both"/>
      </w:pPr>
      <w:r>
        <w:rPr>
          <w:rFonts w:ascii="仿宋_GB2312" w:hAnsi="仿宋_GB2312" w:eastAsia="仿宋_GB2312"/>
          <w:b/>
          <w:sz w:val="32"/>
        </w:rPr>
        <w:t>2024年度财政拨款收入总计95.03万元，</w:t>
      </w:r>
      <w:r>
        <w:rPr>
          <w:rFonts w:ascii="仿宋_GB2312" w:hAnsi="仿宋_GB2312" w:eastAsia="仿宋_GB2312"/>
          <w:b w:val="0"/>
          <w:sz w:val="32"/>
        </w:rPr>
        <w:t>其中：年初财政拨款结转和结余0.00万元，本年财政拨款收入95.03万元。</w:t>
      </w:r>
      <w:r>
        <w:rPr>
          <w:rFonts w:ascii="仿宋_GB2312" w:hAnsi="仿宋_GB2312" w:eastAsia="仿宋_GB2312"/>
          <w:b/>
          <w:sz w:val="32"/>
        </w:rPr>
        <w:t>财政拨款支出总计95.03万元，</w:t>
      </w:r>
      <w:r>
        <w:rPr>
          <w:rFonts w:ascii="仿宋_GB2312" w:hAnsi="仿宋_GB2312" w:eastAsia="仿宋_GB2312"/>
          <w:b w:val="0"/>
          <w:sz w:val="32"/>
        </w:rPr>
        <w:t>其中：年末财政拨款结转和结余0.00万元，本年财政拨款支出95.03万元。</w:t>
      </w:r>
    </w:p>
    <w:p w14:paraId="712E07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减少2.87万元，下降2.93%，主要原因是：本年无退休人员，减少机关事业单位职业年金缴费。</w:t>
      </w:r>
      <w:r>
        <w:rPr>
          <w:rFonts w:ascii="仿宋_GB2312" w:hAnsi="仿宋_GB2312" w:eastAsia="仿宋_GB2312"/>
          <w:b/>
          <w:sz w:val="32"/>
        </w:rPr>
        <w:t>与年初预算相比，</w:t>
      </w:r>
      <w:r>
        <w:rPr>
          <w:rFonts w:ascii="仿宋_GB2312" w:hAnsi="仿宋_GB2312" w:eastAsia="仿宋_GB2312"/>
          <w:b w:val="0"/>
          <w:sz w:val="32"/>
        </w:rPr>
        <w:t>年初预算数77.15万元，决算数95.03万元，预决算差异率23.18%，主要原因是：年底新增叶城县外事服务中心，人员增加，年中追加人员经费及人员工资、社保、公积金基数调增部分资金，导致预决算存在差异。</w:t>
      </w:r>
    </w:p>
    <w:p w14:paraId="6F2DE67C">
      <w:pPr>
        <w:spacing w:line="640" w:lineRule="exact"/>
        <w:ind w:firstLine="640"/>
        <w:jc w:val="both"/>
        <w:outlineLvl w:val="2"/>
      </w:pPr>
      <w:r>
        <w:rPr>
          <w:rFonts w:ascii="黑体" w:hAnsi="黑体" w:eastAsia="黑体"/>
          <w:sz w:val="32"/>
        </w:rPr>
        <w:t>五、一般公共预算财政拨款支出决算情况说明</w:t>
      </w:r>
    </w:p>
    <w:p w14:paraId="23610CD2">
      <w:pPr>
        <w:spacing w:line="640" w:lineRule="exact"/>
        <w:ind w:firstLine="640"/>
        <w:jc w:val="both"/>
        <w:outlineLvl w:val="3"/>
      </w:pPr>
      <w:r>
        <w:rPr>
          <w:rFonts w:ascii="楷体_GB2312" w:hAnsi="楷体_GB2312" w:eastAsia="楷体_GB2312"/>
          <w:b/>
          <w:sz w:val="32"/>
        </w:rPr>
        <w:t>（一）一般公共预算财政拨款支出决算总体情况</w:t>
      </w:r>
    </w:p>
    <w:p w14:paraId="6D9B5931">
      <w:pPr>
        <w:spacing w:line="580" w:lineRule="exact"/>
        <w:ind w:firstLine="640"/>
        <w:jc w:val="both"/>
      </w:pPr>
      <w:r>
        <w:rPr>
          <w:rFonts w:ascii="仿宋_GB2312" w:hAnsi="仿宋_GB2312" w:eastAsia="仿宋_GB2312"/>
          <w:b/>
          <w:sz w:val="32"/>
        </w:rPr>
        <w:t>2024年度一般公共预算财政拨款支出95.03万元，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减少2.87万元，下降2.93%，主要原因是：本年无退休人员，减少机关事业单位职业年金缴费。</w:t>
      </w:r>
      <w:r>
        <w:rPr>
          <w:rFonts w:ascii="仿宋_GB2312" w:hAnsi="仿宋_GB2312" w:eastAsia="仿宋_GB2312"/>
          <w:b/>
          <w:sz w:val="32"/>
        </w:rPr>
        <w:t>与年初预算相比,</w:t>
      </w:r>
      <w:r>
        <w:rPr>
          <w:rFonts w:ascii="仿宋_GB2312" w:hAnsi="仿宋_GB2312" w:eastAsia="仿宋_GB2312"/>
          <w:b w:val="0"/>
          <w:sz w:val="32"/>
        </w:rPr>
        <w:t>年初预算数77.15万元，决算数95.03万元，预决算差异率23.18%，主要原因是：年底新增叶城县外事服务中心，人员增加，年中追加人员经费及人员工资、社保、公积金基数调增部分资金，导致预决算存在差异。</w:t>
      </w:r>
    </w:p>
    <w:p w14:paraId="0CDCED3D">
      <w:pPr>
        <w:spacing w:line="640" w:lineRule="exact"/>
        <w:ind w:firstLine="640"/>
        <w:jc w:val="both"/>
        <w:outlineLvl w:val="3"/>
      </w:pPr>
      <w:r>
        <w:rPr>
          <w:rFonts w:ascii="楷体_GB2312" w:hAnsi="楷体_GB2312" w:eastAsia="楷体_GB2312"/>
          <w:b/>
          <w:sz w:val="32"/>
        </w:rPr>
        <w:t>（二）一般公共预算财政拨款支出决算结构情况</w:t>
      </w:r>
    </w:p>
    <w:p w14:paraId="7F234DA4">
      <w:pPr>
        <w:spacing w:line="580" w:lineRule="exact"/>
        <w:ind w:firstLine="640"/>
        <w:jc w:val="both"/>
      </w:pPr>
      <w:r>
        <w:rPr>
          <w:rFonts w:ascii="仿宋_GB2312" w:hAnsi="仿宋_GB2312" w:eastAsia="仿宋_GB2312"/>
          <w:b w:val="0"/>
          <w:sz w:val="32"/>
        </w:rPr>
        <w:t>1.一般公共服务支出(类)69.77万元,占73.42%。</w:t>
      </w:r>
    </w:p>
    <w:p w14:paraId="0278DDC2">
      <w:pPr>
        <w:spacing w:line="580" w:lineRule="exact"/>
        <w:ind w:firstLine="640"/>
        <w:jc w:val="both"/>
      </w:pPr>
      <w:r>
        <w:rPr>
          <w:rFonts w:ascii="仿宋_GB2312" w:hAnsi="仿宋_GB2312" w:eastAsia="仿宋_GB2312"/>
          <w:b w:val="0"/>
          <w:sz w:val="32"/>
        </w:rPr>
        <w:t>2.社会保障和就业支出(类)11.73万元,占12.34%。</w:t>
      </w:r>
    </w:p>
    <w:p w14:paraId="11A2EF05">
      <w:pPr>
        <w:spacing w:line="580" w:lineRule="exact"/>
        <w:ind w:firstLine="640"/>
        <w:jc w:val="both"/>
      </w:pPr>
      <w:r>
        <w:rPr>
          <w:rFonts w:ascii="仿宋_GB2312" w:hAnsi="仿宋_GB2312" w:eastAsia="仿宋_GB2312"/>
          <w:b w:val="0"/>
          <w:sz w:val="32"/>
        </w:rPr>
        <w:t>3.卫生健康支出(类)5.14万元,占5.41%。</w:t>
      </w:r>
    </w:p>
    <w:p w14:paraId="397B1D30">
      <w:pPr>
        <w:spacing w:line="580" w:lineRule="exact"/>
        <w:ind w:firstLine="640"/>
        <w:jc w:val="both"/>
      </w:pPr>
      <w:r>
        <w:rPr>
          <w:rFonts w:ascii="仿宋_GB2312" w:hAnsi="仿宋_GB2312" w:eastAsia="仿宋_GB2312"/>
          <w:b w:val="0"/>
          <w:sz w:val="32"/>
        </w:rPr>
        <w:t>4.住房保障支出(类)8.40万元,占8.84%。</w:t>
      </w:r>
    </w:p>
    <w:p w14:paraId="5EA309BF">
      <w:pPr>
        <w:spacing w:line="640" w:lineRule="exact"/>
        <w:ind w:firstLine="640"/>
        <w:jc w:val="both"/>
        <w:outlineLvl w:val="3"/>
      </w:pPr>
      <w:r>
        <w:rPr>
          <w:rFonts w:ascii="楷体_GB2312" w:hAnsi="楷体_GB2312" w:eastAsia="楷体_GB2312"/>
          <w:b/>
          <w:sz w:val="32"/>
        </w:rPr>
        <w:t>（三）一般公共预算财政拨款支出决算具体情况</w:t>
      </w:r>
    </w:p>
    <w:p w14:paraId="46D20BB6">
      <w:pPr>
        <w:spacing w:line="580" w:lineRule="exact"/>
        <w:ind w:firstLine="640"/>
        <w:jc w:val="both"/>
      </w:pPr>
      <w:r>
        <w:rPr>
          <w:rFonts w:ascii="仿宋_GB2312" w:hAnsi="仿宋_GB2312" w:eastAsia="仿宋_GB2312"/>
          <w:b w:val="0"/>
          <w:sz w:val="32"/>
        </w:rPr>
        <w:t>1.一般公共服务支出(类)对外联络事务(款)行政运行(项):支出决算数为69.77万元，比上年决算增加5.28万元，增长8.19%,主要原因是：年底新增叶城县外事服务中心，人员增加，人员经费增加。</w:t>
      </w:r>
    </w:p>
    <w:p w14:paraId="4285F5B9">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2.社会保障和就业支出(类)行政事业单位养老支出(款)行政单位离退休(项):支出决算数为2.18万元，比上年决算增加0.60万元，增长37.97%,主要原因是：本年增加退休人员基础绩效奖，退休费支出增加。</w:t>
      </w:r>
    </w:p>
    <w:p w14:paraId="269492E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9.54万元，比上年决算增加3.61万元，增长60.88%,主要原因是：本年在职人员增加，养老保险缴费较上年增加。</w:t>
      </w:r>
    </w:p>
    <w:p w14:paraId="403094F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17.93万元，下降100.00%,主要原因是：本年无退休人员，机关事业单位职业年金缴费支出减少。</w:t>
      </w:r>
    </w:p>
    <w:p w14:paraId="34619912">
      <w:pPr>
        <w:spacing w:line="580" w:lineRule="exact"/>
        <w:ind w:firstLine="640"/>
        <w:jc w:val="both"/>
      </w:pPr>
      <w:r>
        <w:rPr>
          <w:rFonts w:ascii="仿宋_GB2312" w:hAnsi="仿宋_GB2312" w:eastAsia="仿宋_GB2312"/>
          <w:b w:val="0"/>
          <w:sz w:val="32"/>
        </w:rPr>
        <w:t>5.卫生健康支出(类)行政事业单位医疗(款)行政单位医疗(项):支出决算数为4.06万元，比上年决算增加1.35万元，增长49.82%,主要原因是：本年在职人员增加，行政单位医疗经费增加。</w:t>
      </w:r>
    </w:p>
    <w:p w14:paraId="354848D2">
      <w:pPr>
        <w:spacing w:line="580" w:lineRule="exact"/>
        <w:ind w:firstLine="640"/>
        <w:jc w:val="both"/>
      </w:pPr>
      <w:r>
        <w:rPr>
          <w:rFonts w:ascii="仿宋_GB2312" w:hAnsi="仿宋_GB2312" w:eastAsia="仿宋_GB2312"/>
          <w:b w:val="0"/>
          <w:sz w:val="32"/>
        </w:rPr>
        <w:t>6.卫生健康支出(类)行政事业单位医疗(款)公务员医疗补助(项):支出决算数为1.08万元，比上年决算增加0.27万元，增长33.33%,主要原因是：本年在职人员增加，公务员医疗补助经费增加。</w:t>
      </w:r>
    </w:p>
    <w:p w14:paraId="5C414ED0">
      <w:pPr>
        <w:spacing w:line="580" w:lineRule="exact"/>
        <w:ind w:firstLine="640"/>
        <w:jc w:val="both"/>
      </w:pPr>
      <w:r>
        <w:rPr>
          <w:rFonts w:ascii="仿宋_GB2312" w:hAnsi="仿宋_GB2312" w:eastAsia="仿宋_GB2312"/>
          <w:b w:val="0"/>
          <w:sz w:val="32"/>
        </w:rPr>
        <w:t>7.住房保障支出(类)住房改革支出(款)住房公积金(项):支出决算数为8.40万元，比上年决算增加3.96万元，增长89.19%,主要原因是：本年在职人员增加，住房公积金缴费支出增加。</w:t>
      </w:r>
    </w:p>
    <w:p w14:paraId="36B460C4">
      <w:pPr>
        <w:spacing w:line="640" w:lineRule="exact"/>
        <w:ind w:firstLine="640"/>
        <w:jc w:val="both"/>
        <w:outlineLvl w:val="2"/>
      </w:pPr>
      <w:r>
        <w:rPr>
          <w:rFonts w:ascii="黑体" w:hAnsi="黑体" w:eastAsia="黑体"/>
          <w:sz w:val="32"/>
        </w:rPr>
        <w:t>六、一般公共预算财政拨款基本支出决算情况说明</w:t>
      </w:r>
    </w:p>
    <w:p w14:paraId="6DD4969A">
      <w:pPr>
        <w:spacing w:line="580" w:lineRule="exact"/>
        <w:ind w:firstLine="640"/>
        <w:jc w:val="both"/>
      </w:pPr>
      <w:r>
        <w:rPr>
          <w:rFonts w:ascii="仿宋_GB2312" w:hAnsi="仿宋_GB2312" w:eastAsia="仿宋_GB2312"/>
          <w:b w:val="0"/>
          <w:sz w:val="32"/>
        </w:rPr>
        <w:t>2024年度一般公共预算财政拨款基本支出95.03万元，其中：</w:t>
      </w:r>
      <w:r>
        <w:rPr>
          <w:rFonts w:ascii="仿宋_GB2312" w:hAnsi="仿宋_GB2312" w:eastAsia="仿宋_GB2312"/>
          <w:b/>
          <w:sz w:val="32"/>
        </w:rPr>
        <w:t>人员经费93.44万元，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34912BA7">
      <w:pPr>
        <w:spacing w:line="580" w:lineRule="exact"/>
        <w:ind w:firstLine="640"/>
        <w:jc w:val="both"/>
      </w:pPr>
      <w:r>
        <w:rPr>
          <w:rFonts w:ascii="仿宋_GB2312" w:hAnsi="仿宋_GB2312" w:eastAsia="仿宋_GB2312"/>
          <w:b/>
          <w:sz w:val="32"/>
        </w:rPr>
        <w:t>公用经费1.59万元，</w:t>
      </w:r>
      <w:r>
        <w:rPr>
          <w:rFonts w:ascii="仿宋_GB2312" w:hAnsi="仿宋_GB2312" w:eastAsia="仿宋_GB2312"/>
          <w:b w:val="0"/>
          <w:sz w:val="32"/>
        </w:rPr>
        <w:t>包括：办公费、邮电费、差旅费。</w:t>
      </w:r>
    </w:p>
    <w:p w14:paraId="664A51F0">
      <w:pPr>
        <w:spacing w:line="640" w:lineRule="exact"/>
        <w:ind w:firstLine="640"/>
        <w:jc w:val="both"/>
        <w:outlineLvl w:val="2"/>
      </w:pPr>
      <w:r>
        <w:rPr>
          <w:rFonts w:ascii="黑体" w:hAnsi="黑体" w:eastAsia="黑体"/>
          <w:sz w:val="32"/>
        </w:rPr>
        <w:t>七、政府性基金预算财政拨款收入支出决算情况说明</w:t>
      </w:r>
    </w:p>
    <w:p w14:paraId="2365DD4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52622E">
      <w:pPr>
        <w:spacing w:line="640" w:lineRule="exact"/>
        <w:ind w:firstLine="640"/>
        <w:jc w:val="both"/>
        <w:outlineLvl w:val="2"/>
      </w:pPr>
      <w:r>
        <w:rPr>
          <w:rFonts w:ascii="黑体" w:hAnsi="黑体" w:eastAsia="黑体"/>
          <w:sz w:val="32"/>
        </w:rPr>
        <w:t>八、国有资本经营预算财政拨款收入支出决算情况说明</w:t>
      </w:r>
    </w:p>
    <w:p w14:paraId="35810F7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3F9129">
      <w:pPr>
        <w:spacing w:line="640" w:lineRule="exact"/>
        <w:ind w:firstLine="640"/>
        <w:jc w:val="both"/>
        <w:outlineLvl w:val="2"/>
      </w:pPr>
      <w:r>
        <w:rPr>
          <w:rFonts w:ascii="黑体" w:hAnsi="黑体" w:eastAsia="黑体"/>
          <w:sz w:val="32"/>
        </w:rPr>
        <w:t>九、财政拨款“三公”经费支出决算情况说明</w:t>
      </w:r>
    </w:p>
    <w:p w14:paraId="6C5C1DF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188AE58">
      <w:pPr>
        <w:spacing w:line="580" w:lineRule="exact"/>
        <w:ind w:firstLine="640"/>
        <w:jc w:val="both"/>
      </w:pPr>
      <w:r>
        <w:rPr>
          <w:rFonts w:ascii="仿宋_GB2312" w:hAnsi="仿宋_GB2312" w:eastAsia="仿宋_GB2312"/>
          <w:b/>
          <w:sz w:val="32"/>
        </w:rPr>
        <w:t>具体情况如下：</w:t>
      </w:r>
    </w:p>
    <w:p w14:paraId="30A0011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25A79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10AC3F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0D2F9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8D7605">
      <w:pPr>
        <w:spacing w:line="640" w:lineRule="exact"/>
        <w:ind w:firstLine="640"/>
        <w:jc w:val="both"/>
        <w:outlineLvl w:val="2"/>
      </w:pPr>
      <w:r>
        <w:rPr>
          <w:rFonts w:ascii="黑体" w:hAnsi="黑体" w:eastAsia="黑体"/>
          <w:sz w:val="32"/>
        </w:rPr>
        <w:t>十、其他重要事项的情况说明</w:t>
      </w:r>
    </w:p>
    <w:p w14:paraId="0982E046">
      <w:pPr>
        <w:spacing w:line="640" w:lineRule="exact"/>
        <w:ind w:firstLine="640"/>
        <w:jc w:val="both"/>
        <w:outlineLvl w:val="3"/>
      </w:pPr>
      <w:r>
        <w:rPr>
          <w:rFonts w:ascii="楷体_GB2312" w:hAnsi="楷体_GB2312" w:eastAsia="楷体_GB2312"/>
          <w:b/>
          <w:sz w:val="32"/>
        </w:rPr>
        <w:t>（一）机关运行经费及公用经费支出情况</w:t>
      </w:r>
    </w:p>
    <w:p w14:paraId="159E9B0F">
      <w:pPr>
        <w:spacing w:line="580" w:lineRule="exact"/>
        <w:ind w:firstLine="640"/>
        <w:jc w:val="both"/>
      </w:pPr>
      <w:r>
        <w:rPr>
          <w:rFonts w:ascii="仿宋_GB2312" w:hAnsi="仿宋_GB2312" w:eastAsia="仿宋_GB2312"/>
          <w:b w:val="0"/>
          <w:sz w:val="32"/>
        </w:rPr>
        <w:t>2024年度叶城县人民政府外事办公室（行政单位和参照公务员法管理事业单位）机关运行经费支出1.59万元，比上年增加0.56万元，增长54.37%，主要原因是：本年度办公用品耗材增加，</w:t>
      </w:r>
      <w:r>
        <w:rPr>
          <w:rFonts w:hint="eastAsia" w:ascii="仿宋_GB2312" w:hAnsi="仿宋_GB2312" w:eastAsia="仿宋_GB2312"/>
          <w:b w:val="0"/>
          <w:sz w:val="32"/>
          <w:lang w:val="en-US" w:eastAsia="zh-CN"/>
        </w:rPr>
        <w:t>公用</w:t>
      </w:r>
      <w:r>
        <w:rPr>
          <w:rFonts w:ascii="仿宋_GB2312" w:hAnsi="仿宋_GB2312" w:eastAsia="仿宋_GB2312"/>
          <w:b w:val="0"/>
          <w:sz w:val="32"/>
        </w:rPr>
        <w:t>经费增加。</w:t>
      </w:r>
    </w:p>
    <w:p w14:paraId="34BEC968">
      <w:pPr>
        <w:spacing w:line="640" w:lineRule="exact"/>
        <w:ind w:firstLine="640"/>
        <w:jc w:val="both"/>
        <w:outlineLvl w:val="3"/>
      </w:pPr>
      <w:r>
        <w:rPr>
          <w:rFonts w:ascii="楷体_GB2312" w:hAnsi="楷体_GB2312" w:eastAsia="楷体_GB2312"/>
          <w:b/>
          <w:sz w:val="32"/>
        </w:rPr>
        <w:t>（二）政府采购情况</w:t>
      </w:r>
    </w:p>
    <w:p w14:paraId="6327A17C">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F38B34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04B458D">
      <w:pPr>
        <w:spacing w:line="640" w:lineRule="exact"/>
        <w:ind w:firstLine="640"/>
        <w:jc w:val="both"/>
        <w:outlineLvl w:val="3"/>
      </w:pPr>
      <w:r>
        <w:rPr>
          <w:rFonts w:ascii="楷体_GB2312" w:hAnsi="楷体_GB2312" w:eastAsia="楷体_GB2312"/>
          <w:b/>
          <w:sz w:val="32"/>
        </w:rPr>
        <w:t>（三）国有资产占用情况说明</w:t>
      </w:r>
    </w:p>
    <w:p w14:paraId="286236F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C94C865">
      <w:pPr>
        <w:spacing w:line="640" w:lineRule="exact"/>
        <w:ind w:firstLine="640"/>
        <w:jc w:val="both"/>
        <w:outlineLvl w:val="2"/>
      </w:pPr>
      <w:r>
        <w:rPr>
          <w:rFonts w:ascii="黑体" w:hAnsi="黑体" w:eastAsia="黑体"/>
          <w:sz w:val="32"/>
        </w:rPr>
        <w:t>十一、预算绩效的情况说明</w:t>
      </w:r>
    </w:p>
    <w:p w14:paraId="0EB2908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95.03万元，实际执行总额95.03万元；预算绩效评价项目0个，全年预算数0.00万元，全年执行数0.00万元。预算绩效管理取得的成效：</w:t>
      </w:r>
      <w:r>
        <w:rPr>
          <w:rFonts w:hint="eastAsia" w:ascii="仿宋_GB2312" w:hAnsi="仿宋_GB2312" w:eastAsia="仿宋_GB2312"/>
          <w:b w:val="0"/>
          <w:sz w:val="32"/>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仿宋_GB2312" w:eastAsia="仿宋_GB2312"/>
          <w:b w:val="0"/>
          <w:sz w:val="32"/>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hAnsi="仿宋_GB2312" w:eastAsia="仿宋_GB2312"/>
          <w:b w:val="0"/>
          <w:sz w:val="32"/>
        </w:rPr>
        <w:t>。下一步改进措施：</w:t>
      </w:r>
      <w:r>
        <w:rPr>
          <w:rFonts w:hint="eastAsia" w:ascii="仿宋_GB2312" w:hAnsi="仿宋_GB2312" w:eastAsia="仿宋_GB2312"/>
          <w:b w:val="0"/>
          <w:sz w:val="32"/>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hint="eastAsia" w:ascii="仿宋_GB2312" w:hAnsi="仿宋_GB2312" w:eastAsia="仿宋_GB2312"/>
          <w:b w:val="0"/>
          <w:sz w:val="32"/>
        </w:rPr>
        <w:t>开展提供帮助。</w:t>
      </w:r>
      <w:r>
        <w:rPr>
          <w:rFonts w:ascii="仿宋_GB2312" w:hAnsi="仿宋_GB2312" w:eastAsia="仿宋_GB2312"/>
          <w:b w:val="0"/>
          <w:sz w:val="32"/>
        </w:rPr>
        <w:t>具体附整体支出绩效自评表。</w:t>
      </w:r>
    </w:p>
    <w:p w14:paraId="2BD85F4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484D43">
        <w:tblPrEx>
          <w:tblCellMar>
            <w:top w:w="0" w:type="dxa"/>
            <w:left w:w="108" w:type="dxa"/>
            <w:bottom w:w="0" w:type="dxa"/>
            <w:right w:w="108" w:type="dxa"/>
          </w:tblCellMar>
        </w:tblPrEx>
        <w:tc>
          <w:tcPr>
            <w:tcW w:w="8847" w:type="dxa"/>
            <w:gridSpan w:val="9"/>
            <w:vAlign w:val="center"/>
          </w:tcPr>
          <w:p w14:paraId="214691D3">
            <w:pPr>
              <w:jc w:val="center"/>
            </w:pPr>
            <w:r>
              <w:rPr>
                <w:rFonts w:ascii="宋体" w:hAnsi="宋体" w:eastAsia="宋体"/>
                <w:sz w:val="24"/>
              </w:rPr>
              <w:t>单位整体支出绩效自评表</w:t>
            </w:r>
          </w:p>
        </w:tc>
      </w:tr>
      <w:tr w14:paraId="470066D3">
        <w:tblPrEx>
          <w:tblCellMar>
            <w:top w:w="0" w:type="dxa"/>
            <w:left w:w="108" w:type="dxa"/>
            <w:bottom w:w="0" w:type="dxa"/>
            <w:right w:w="108" w:type="dxa"/>
          </w:tblCellMar>
        </w:tblPrEx>
        <w:tc>
          <w:tcPr>
            <w:tcW w:w="8847" w:type="dxa"/>
            <w:gridSpan w:val="9"/>
            <w:vAlign w:val="center"/>
          </w:tcPr>
          <w:p w14:paraId="1A61A90A">
            <w:pPr>
              <w:jc w:val="center"/>
            </w:pPr>
            <w:r>
              <w:rPr>
                <w:rFonts w:ascii="宋体" w:hAnsi="宋体" w:eastAsia="宋体"/>
                <w:sz w:val="24"/>
              </w:rPr>
              <w:t>（2024年度）</w:t>
            </w:r>
          </w:p>
        </w:tc>
      </w:tr>
      <w:tr w14:paraId="00338A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EE1E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5D881C">
            <w:pPr>
              <w:jc w:val="center"/>
            </w:pPr>
            <w:r>
              <w:rPr>
                <w:rFonts w:ascii="宋体" w:hAnsi="宋体" w:eastAsia="宋体"/>
                <w:sz w:val="16"/>
              </w:rPr>
              <w:t>叶城县人民政府外事办公室</w:t>
            </w:r>
          </w:p>
        </w:tc>
      </w:tr>
      <w:tr w14:paraId="636732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82C6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CAD9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C24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160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491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655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011E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6992">
            <w:pPr>
              <w:jc w:val="center"/>
            </w:pPr>
            <w:r>
              <w:rPr>
                <w:rFonts w:ascii="宋体" w:hAnsi="宋体" w:eastAsia="宋体"/>
                <w:sz w:val="16"/>
              </w:rPr>
              <w:t>得分</w:t>
            </w:r>
          </w:p>
        </w:tc>
      </w:tr>
      <w:tr w14:paraId="00507E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FD2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CEB2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AC94">
            <w:pPr>
              <w:jc w:val="center"/>
            </w:pPr>
            <w:r>
              <w:rPr>
                <w:rFonts w:ascii="宋体" w:hAnsi="宋体" w:eastAsia="宋体"/>
                <w:sz w:val="16"/>
              </w:rPr>
              <w:t>77.15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1A224">
            <w:pPr>
              <w:jc w:val="center"/>
            </w:pPr>
            <w:r>
              <w:rPr>
                <w:rFonts w:ascii="宋体" w:hAnsi="宋体" w:eastAsia="宋体"/>
                <w:sz w:val="16"/>
              </w:rPr>
              <w:t>95.03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88D6A">
            <w:pPr>
              <w:jc w:val="center"/>
            </w:pPr>
            <w:r>
              <w:rPr>
                <w:rFonts w:ascii="宋体" w:hAnsi="宋体" w:eastAsia="宋体"/>
                <w:sz w:val="16"/>
              </w:rPr>
              <w:t>95.03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4B5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63F8">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73E6">
            <w:pPr>
              <w:jc w:val="center"/>
            </w:pPr>
            <w:r>
              <w:rPr>
                <w:rFonts w:ascii="宋体" w:hAnsi="宋体" w:eastAsia="宋体"/>
                <w:sz w:val="16"/>
              </w:rPr>
              <w:t>10</w:t>
            </w:r>
          </w:p>
        </w:tc>
      </w:tr>
      <w:tr w14:paraId="3ECEE6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27A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E4E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9B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B3B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A79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43B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9606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A7BB8">
            <w:pPr>
              <w:jc w:val="center"/>
            </w:pPr>
            <w:r>
              <w:rPr>
                <w:rFonts w:ascii="宋体" w:hAnsi="宋体" w:eastAsia="宋体"/>
                <w:sz w:val="16"/>
              </w:rPr>
              <w:t>—</w:t>
            </w:r>
          </w:p>
        </w:tc>
      </w:tr>
      <w:tr w14:paraId="27AF44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F50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830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12A0">
            <w:pPr>
              <w:jc w:val="center"/>
            </w:pPr>
            <w:r>
              <w:rPr>
                <w:rFonts w:ascii="宋体" w:hAnsi="宋体" w:eastAsia="宋体"/>
                <w:sz w:val="16"/>
              </w:rPr>
              <w:t>77.15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D14F">
            <w:pPr>
              <w:jc w:val="center"/>
            </w:pPr>
            <w:r>
              <w:rPr>
                <w:rFonts w:ascii="宋体" w:hAnsi="宋体" w:eastAsia="宋体"/>
                <w:sz w:val="16"/>
              </w:rPr>
              <w:t>95.03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ADE04">
            <w:pPr>
              <w:jc w:val="center"/>
            </w:pPr>
            <w:r>
              <w:rPr>
                <w:rFonts w:ascii="宋体" w:hAnsi="宋体" w:eastAsia="宋体"/>
                <w:sz w:val="16"/>
              </w:rPr>
              <w:t>95.03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FB7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049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F27DD">
            <w:pPr>
              <w:jc w:val="center"/>
            </w:pPr>
            <w:r>
              <w:rPr>
                <w:rFonts w:ascii="宋体" w:hAnsi="宋体" w:eastAsia="宋体"/>
                <w:sz w:val="16"/>
              </w:rPr>
              <w:t>—</w:t>
            </w:r>
          </w:p>
        </w:tc>
      </w:tr>
      <w:tr w14:paraId="3CD6B8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FBE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929A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70F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2F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6A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C7B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8B37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1E10E">
            <w:pPr>
              <w:jc w:val="center"/>
            </w:pPr>
            <w:r>
              <w:rPr>
                <w:rFonts w:ascii="宋体" w:hAnsi="宋体" w:eastAsia="宋体"/>
                <w:sz w:val="16"/>
              </w:rPr>
              <w:t>—</w:t>
            </w:r>
          </w:p>
        </w:tc>
      </w:tr>
      <w:tr w14:paraId="46C792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3CEB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316A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DE612C">
            <w:pPr>
              <w:jc w:val="center"/>
            </w:pPr>
            <w:r>
              <w:rPr>
                <w:rFonts w:ascii="宋体" w:hAnsi="宋体" w:eastAsia="宋体"/>
                <w:sz w:val="16"/>
              </w:rPr>
              <w:t>实际完成情况</w:t>
            </w:r>
          </w:p>
        </w:tc>
      </w:tr>
      <w:tr w14:paraId="0F471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CE44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1DDD10">
            <w:pPr>
              <w:jc w:val="both"/>
            </w:pPr>
            <w:r>
              <w:rPr>
                <w:rFonts w:ascii="宋体" w:hAnsi="宋体" w:eastAsia="宋体"/>
                <w:sz w:val="16"/>
              </w:rPr>
              <w:t>贯彻执行党和国家对外工作方针、政策和有关法律、法规以及自治区党委、人民政府、地委、行署、县委、县人民政府关于外事工作的决定。负责县委外事工作委员会办公室日常工作，协调处理重要涉外事务。负责贯彻执行协调，协调推进全县对外交流合作规划和部署，并对外事工作履行综合管理职能，负责政策指导、情况通报、监督检查和干部培训等工作。围绕全县中心工作，研究提出外事工作中长期发展规划建议；参与“一带一路”建设工作，重点推动本县与周边国家地方层面各领域合作。负责来叶访问的国宾、党宾和其他重要外宾接待工作；负责驻华外交人员来叶公务活动接待工作；统筹安排县领导的外事活动。会同有关部门处理涉叶涉外安全事务；统筹协调县丝绸之路经济带核心区建设境外安全保障工作；配合有关部门开展对境外非政府组织在叶活动的管理。负责全县因公出国（境）管理工作；承办因公出国（境）人员护照、赴港澳通行证的申报和管理，承办应邀访华外国人签证通知函电，承办中巴</w:t>
            </w:r>
            <w:r>
              <w:rPr>
                <w:rFonts w:hint="eastAsia" w:ascii="宋体" w:hAnsi="宋体"/>
                <w:sz w:val="16"/>
                <w:lang w:eastAsia="zh-CN"/>
              </w:rPr>
              <w:t>BJ</w:t>
            </w:r>
            <w:r>
              <w:rPr>
                <w:rFonts w:ascii="宋体" w:hAnsi="宋体" w:eastAsia="宋体"/>
                <w:sz w:val="16"/>
              </w:rPr>
              <w:t>通行证。负责外国驻叶官方、半官方机构的管理和服务工作；会同有关部门处理重大涉外案（事）件及其他涉及在疆外国人员、机构管理的重要事项；协调有关部门向境外中国公民提供领事保护和协助。协助上级主管部门做好国界的划界、勘界、联检及边界日常管理维护等有关工作；会同有关部门做好边界管理和</w:t>
            </w:r>
            <w:r>
              <w:rPr>
                <w:rFonts w:hint="eastAsia" w:ascii="宋体" w:hAnsi="宋体"/>
                <w:sz w:val="16"/>
                <w:lang w:eastAsia="zh-CN"/>
              </w:rPr>
              <w:t>BJ</w:t>
            </w:r>
            <w:r>
              <w:rPr>
                <w:rFonts w:ascii="宋体" w:hAnsi="宋体" w:eastAsia="宋体"/>
                <w:sz w:val="16"/>
              </w:rPr>
              <w:t>涉外工作；指导并参与邻国情况调研以及与邻国地方交往、邻国地方涉外事务处理等工作；牵头审批相关单位的涉边生产生活活动。配合有关部门拟定</w:t>
            </w:r>
            <w:r>
              <w:rPr>
                <w:rFonts w:hint="eastAsia" w:ascii="宋体" w:hAnsi="宋体"/>
                <w:sz w:val="16"/>
                <w:lang w:eastAsia="zh-CN"/>
              </w:rPr>
              <w:t>涉及</w:t>
            </w:r>
            <w:r>
              <w:rPr>
                <w:rFonts w:ascii="宋体" w:hAnsi="宋体" w:eastAsia="宋体"/>
                <w:sz w:val="16"/>
              </w:rPr>
              <w:t>国际问题和事件对外表态口径；协助有关部门开展对外宣传。负责全县同外国驻华使领馆、国际组织驻华机构以及我国驻外使领馆和</w:t>
            </w:r>
            <w:r>
              <w:rPr>
                <w:rFonts w:hint="eastAsia" w:ascii="宋体" w:hAnsi="宋体"/>
                <w:sz w:val="16"/>
                <w:lang w:eastAsia="zh-CN"/>
              </w:rPr>
              <w:t>其他驻外</w:t>
            </w:r>
            <w:r>
              <w:rPr>
                <w:rFonts w:ascii="宋体" w:hAnsi="宋体" w:eastAsia="宋体"/>
                <w:sz w:val="16"/>
              </w:rPr>
              <w:t>机构联系；协调全县的官方和民间对外交往事宜；负责办理全县与国外友好城市缔结友好关系的有关事项，管理和指导友好城市工作。负责涉港澳事务，配合有关部门开展涉外工作。承办县委、县人民政府交办的</w:t>
            </w:r>
            <w:r>
              <w:rPr>
                <w:rFonts w:hint="eastAsia" w:ascii="宋体" w:hAnsi="宋体"/>
                <w:sz w:val="16"/>
                <w:lang w:eastAsia="zh-CN"/>
              </w:rPr>
              <w:t>其他事项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260F36">
            <w:pPr>
              <w:jc w:val="both"/>
            </w:pPr>
            <w:r>
              <w:rPr>
                <w:rFonts w:hint="eastAsia" w:ascii="宋体" w:hAnsi="宋体"/>
                <w:sz w:val="16"/>
                <w:lang w:eastAsia="zh-CN"/>
              </w:rPr>
              <w:t>截至</w:t>
            </w:r>
            <w:r>
              <w:rPr>
                <w:rFonts w:ascii="宋体" w:hAnsi="宋体" w:eastAsia="宋体"/>
                <w:sz w:val="16"/>
              </w:rPr>
              <w:t>监控节点，到位资金95.03万元，执行资金95.0万元，执行率100%，叶城县人民政府外事办公室保障在职8人1-12月工资正常发放，社保、医保、公积金正常缴纳，提高干部工作积极性，人员稳定性。单位公用经费保障叶城县人民政府外事办公室1-12月正常运转。</w:t>
            </w:r>
          </w:p>
        </w:tc>
      </w:tr>
      <w:tr w14:paraId="615BF2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51D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D5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23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FC65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54A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C2E1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CAB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CD1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FAFD8">
            <w:pPr>
              <w:jc w:val="center"/>
            </w:pPr>
            <w:r>
              <w:rPr>
                <w:rFonts w:ascii="宋体" w:hAnsi="宋体" w:eastAsia="宋体"/>
                <w:sz w:val="16"/>
              </w:rPr>
              <w:t>得分</w:t>
            </w:r>
          </w:p>
        </w:tc>
      </w:tr>
      <w:tr w14:paraId="7EE126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BBB0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2061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9634C">
            <w:pPr>
              <w:jc w:val="center"/>
            </w:pPr>
            <w:r>
              <w:rPr>
                <w:rFonts w:ascii="宋体" w:hAnsi="宋体" w:eastAsia="宋体"/>
                <w:sz w:val="16"/>
              </w:rPr>
              <w:t>负责县委外事</w:t>
            </w:r>
            <w:r>
              <w:rPr>
                <w:rFonts w:hint="eastAsia" w:ascii="宋体" w:hAnsi="宋体"/>
                <w:sz w:val="16"/>
                <w:lang w:eastAsia="zh-CN"/>
              </w:rPr>
              <w:t>工作</w:t>
            </w:r>
            <w:r>
              <w:rPr>
                <w:rFonts w:ascii="宋体" w:hAnsi="宋体" w:eastAsia="宋体"/>
                <w:sz w:val="16"/>
              </w:rPr>
              <w:t>的综合协调率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4B3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886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090F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2FC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4B9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42033">
            <w:pPr>
              <w:jc w:val="center"/>
            </w:pPr>
            <w:r>
              <w:rPr>
                <w:rFonts w:ascii="宋体" w:hAnsi="宋体" w:eastAsia="宋体"/>
                <w:sz w:val="16"/>
              </w:rPr>
              <w:t>18</w:t>
            </w:r>
          </w:p>
        </w:tc>
      </w:tr>
      <w:tr w14:paraId="68C3E8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3BF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845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B99D">
            <w:pPr>
              <w:jc w:val="center"/>
            </w:pPr>
            <w:r>
              <w:rPr>
                <w:rFonts w:ascii="宋体" w:hAnsi="宋体" w:eastAsia="宋体"/>
                <w:sz w:val="16"/>
              </w:rPr>
              <w:t>处理重要涉外事务完成率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617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C711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D76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D17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5D7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20BC7">
            <w:pPr>
              <w:jc w:val="center"/>
            </w:pPr>
            <w:r>
              <w:rPr>
                <w:rFonts w:ascii="宋体" w:hAnsi="宋体" w:eastAsia="宋体"/>
                <w:sz w:val="16"/>
              </w:rPr>
              <w:t>18</w:t>
            </w:r>
          </w:p>
        </w:tc>
      </w:tr>
      <w:tr w14:paraId="63D3A8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9C4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8862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E36A">
            <w:pPr>
              <w:jc w:val="center"/>
            </w:pPr>
            <w:r>
              <w:rPr>
                <w:rFonts w:ascii="宋体" w:hAnsi="宋体" w:eastAsia="宋体"/>
                <w:sz w:val="16"/>
              </w:rPr>
              <w:t>边界日常维护工作次数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499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F29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E3D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BE70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9DA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97A9C">
            <w:pPr>
              <w:jc w:val="center"/>
            </w:pPr>
            <w:r>
              <w:rPr>
                <w:rFonts w:ascii="宋体" w:hAnsi="宋体" w:eastAsia="宋体"/>
                <w:sz w:val="16"/>
              </w:rPr>
              <w:t>18</w:t>
            </w:r>
          </w:p>
        </w:tc>
      </w:tr>
      <w:tr w14:paraId="111EB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2CB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67E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5798">
            <w:pPr>
              <w:jc w:val="center"/>
            </w:pPr>
            <w:r>
              <w:rPr>
                <w:rFonts w:ascii="宋体" w:hAnsi="宋体" w:eastAsia="宋体"/>
                <w:sz w:val="16"/>
              </w:rPr>
              <w:t>因公临时出国（境）次数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FAE2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4778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8AD5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0476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942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81336">
            <w:pPr>
              <w:jc w:val="center"/>
            </w:pPr>
            <w:r>
              <w:rPr>
                <w:rFonts w:ascii="宋体" w:hAnsi="宋体" w:eastAsia="宋体"/>
                <w:sz w:val="16"/>
              </w:rPr>
              <w:t>18</w:t>
            </w:r>
          </w:p>
        </w:tc>
      </w:tr>
      <w:tr w14:paraId="40ADF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E5B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F4D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AC88F">
            <w:pPr>
              <w:jc w:val="center"/>
            </w:pPr>
            <w:r>
              <w:rPr>
                <w:rFonts w:ascii="宋体" w:hAnsi="宋体" w:eastAsia="宋体"/>
                <w:sz w:val="16"/>
              </w:rPr>
              <w:t>外交人员来叶城公务活动接待工作次数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2C93">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FE5D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BD08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B0AE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AE6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F9245">
            <w:pPr>
              <w:jc w:val="center"/>
            </w:pPr>
            <w:r>
              <w:rPr>
                <w:rFonts w:ascii="宋体" w:hAnsi="宋体" w:eastAsia="宋体"/>
                <w:sz w:val="16"/>
              </w:rPr>
              <w:t>18</w:t>
            </w:r>
          </w:p>
        </w:tc>
      </w:tr>
    </w:tbl>
    <w:p w14:paraId="1E75896E">
      <w:r>
        <w:br w:type="page"/>
      </w:r>
    </w:p>
    <w:p w14:paraId="600340ED">
      <w:pPr>
        <w:spacing w:line="640" w:lineRule="exact"/>
        <w:ind w:firstLine="640"/>
        <w:jc w:val="both"/>
        <w:outlineLvl w:val="2"/>
      </w:pPr>
      <w:r>
        <w:rPr>
          <w:rFonts w:ascii="黑体" w:hAnsi="黑体" w:eastAsia="黑体"/>
          <w:sz w:val="32"/>
        </w:rPr>
        <w:t>十二、其他需说明的事项</w:t>
      </w:r>
    </w:p>
    <w:p w14:paraId="29438DA2">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7327F52">
      <w:r>
        <w:br w:type="page"/>
      </w:r>
    </w:p>
    <w:p w14:paraId="74F1FFF1">
      <w:pPr>
        <w:spacing w:line="240" w:lineRule="auto"/>
        <w:jc w:val="center"/>
        <w:outlineLvl w:val="1"/>
      </w:pPr>
      <w:r>
        <w:rPr>
          <w:rFonts w:ascii="黑体" w:hAnsi="黑体" w:eastAsia="黑体"/>
          <w:sz w:val="32"/>
        </w:rPr>
        <w:t>第三部分 专业名词解释</w:t>
      </w:r>
    </w:p>
    <w:p w14:paraId="1E98008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08CCE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2BDDA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A605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D6215E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5221C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FBC86E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D35DB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1C4A8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930E7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5C16F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46FF8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B09C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1205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8C06A2">
      <w:r>
        <w:br w:type="page"/>
      </w:r>
    </w:p>
    <w:p w14:paraId="0C17F898">
      <w:pPr>
        <w:spacing w:line="240" w:lineRule="auto"/>
        <w:jc w:val="center"/>
        <w:outlineLvl w:val="1"/>
      </w:pPr>
      <w:r>
        <w:rPr>
          <w:rFonts w:ascii="黑体" w:hAnsi="黑体" w:eastAsia="黑体"/>
          <w:sz w:val="32"/>
        </w:rPr>
        <w:t>第四部分 部门决算报表（见附表）</w:t>
      </w:r>
    </w:p>
    <w:p w14:paraId="575E71C2">
      <w:pPr>
        <w:spacing w:line="240" w:lineRule="auto"/>
        <w:ind w:firstLine="640"/>
        <w:jc w:val="both"/>
      </w:pPr>
      <w:r>
        <w:rPr>
          <w:rFonts w:ascii="仿宋_GB2312" w:hAnsi="仿宋_GB2312" w:eastAsia="仿宋_GB2312"/>
          <w:b w:val="0"/>
          <w:sz w:val="32"/>
        </w:rPr>
        <w:t>一、《收入支出决算总表》</w:t>
      </w:r>
    </w:p>
    <w:p w14:paraId="26E99E80">
      <w:pPr>
        <w:spacing w:line="240" w:lineRule="auto"/>
        <w:ind w:firstLine="640"/>
        <w:jc w:val="both"/>
      </w:pPr>
      <w:r>
        <w:rPr>
          <w:rFonts w:ascii="仿宋_GB2312" w:hAnsi="仿宋_GB2312" w:eastAsia="仿宋_GB2312"/>
          <w:b w:val="0"/>
          <w:sz w:val="32"/>
        </w:rPr>
        <w:t>二、《收入决算表》</w:t>
      </w:r>
    </w:p>
    <w:p w14:paraId="2CD2B41A">
      <w:pPr>
        <w:spacing w:line="240" w:lineRule="auto"/>
        <w:ind w:firstLine="640"/>
        <w:jc w:val="both"/>
      </w:pPr>
      <w:r>
        <w:rPr>
          <w:rFonts w:ascii="仿宋_GB2312" w:hAnsi="仿宋_GB2312" w:eastAsia="仿宋_GB2312"/>
          <w:b w:val="0"/>
          <w:sz w:val="32"/>
        </w:rPr>
        <w:t>三、《支出决算表》</w:t>
      </w:r>
    </w:p>
    <w:p w14:paraId="64B49C3E">
      <w:pPr>
        <w:spacing w:line="240" w:lineRule="auto"/>
        <w:ind w:firstLine="640"/>
        <w:jc w:val="both"/>
      </w:pPr>
      <w:r>
        <w:rPr>
          <w:rFonts w:ascii="仿宋_GB2312" w:hAnsi="仿宋_GB2312" w:eastAsia="仿宋_GB2312"/>
          <w:b w:val="0"/>
          <w:sz w:val="32"/>
        </w:rPr>
        <w:t>四、《财政拨款收入支出决算总表》</w:t>
      </w:r>
    </w:p>
    <w:p w14:paraId="7A7AAE12">
      <w:pPr>
        <w:spacing w:line="240" w:lineRule="auto"/>
        <w:ind w:firstLine="640"/>
        <w:jc w:val="both"/>
      </w:pPr>
      <w:r>
        <w:rPr>
          <w:rFonts w:ascii="仿宋_GB2312" w:hAnsi="仿宋_GB2312" w:eastAsia="仿宋_GB2312"/>
          <w:b w:val="0"/>
          <w:sz w:val="32"/>
        </w:rPr>
        <w:t>五、《一般公共预算财政拨款支出决算表》</w:t>
      </w:r>
    </w:p>
    <w:p w14:paraId="0C97D325">
      <w:pPr>
        <w:spacing w:line="240" w:lineRule="auto"/>
        <w:ind w:firstLine="640"/>
        <w:jc w:val="both"/>
      </w:pPr>
      <w:r>
        <w:rPr>
          <w:rFonts w:ascii="仿宋_GB2312" w:hAnsi="仿宋_GB2312" w:eastAsia="仿宋_GB2312"/>
          <w:b w:val="0"/>
          <w:sz w:val="32"/>
        </w:rPr>
        <w:t>六、《一般公共预算财政拨款基本支出决算表》</w:t>
      </w:r>
    </w:p>
    <w:p w14:paraId="59CB3418">
      <w:pPr>
        <w:spacing w:line="240" w:lineRule="auto"/>
        <w:ind w:firstLine="640"/>
        <w:jc w:val="both"/>
      </w:pPr>
      <w:r>
        <w:rPr>
          <w:rFonts w:ascii="仿宋_GB2312" w:hAnsi="仿宋_GB2312" w:eastAsia="仿宋_GB2312"/>
          <w:b w:val="0"/>
          <w:sz w:val="32"/>
        </w:rPr>
        <w:t>七、《政府性基金预算财政拨款收入支出决算表》</w:t>
      </w:r>
    </w:p>
    <w:p w14:paraId="7B9333D9">
      <w:pPr>
        <w:spacing w:line="240" w:lineRule="auto"/>
        <w:ind w:firstLine="640"/>
        <w:jc w:val="both"/>
      </w:pPr>
      <w:r>
        <w:rPr>
          <w:rFonts w:ascii="仿宋_GB2312" w:hAnsi="仿宋_GB2312" w:eastAsia="仿宋_GB2312"/>
          <w:b w:val="0"/>
          <w:sz w:val="32"/>
        </w:rPr>
        <w:t>八、《国有资本经营预算财政拨款收入支出决算表》</w:t>
      </w:r>
    </w:p>
    <w:p w14:paraId="4B119DA7">
      <w:pPr>
        <w:spacing w:line="240" w:lineRule="auto"/>
        <w:ind w:firstLine="640"/>
        <w:jc w:val="both"/>
      </w:pPr>
      <w:r>
        <w:rPr>
          <w:rFonts w:ascii="仿宋_GB2312" w:hAnsi="仿宋_GB2312" w:eastAsia="仿宋_GB2312"/>
          <w:b w:val="0"/>
          <w:sz w:val="32"/>
        </w:rPr>
        <w:t>九、《财政拨款“三公”经费支出决算表》</w:t>
      </w:r>
    </w:p>
    <w:p w14:paraId="2EADF6DE">
      <w:pPr>
        <w:spacing w:line="240" w:lineRule="auto"/>
        <w:ind w:firstLine="640"/>
        <w:jc w:val="both"/>
      </w:pPr>
    </w:p>
    <w:p w14:paraId="021550F0">
      <w:pPr>
        <w:spacing w:line="240" w:lineRule="auto"/>
        <w:ind w:firstLine="640"/>
        <w:jc w:val="both"/>
      </w:pPr>
    </w:p>
    <w:p w14:paraId="26C7A387">
      <w:pPr>
        <w:spacing w:line="240" w:lineRule="auto"/>
        <w:ind w:firstLine="640"/>
        <w:jc w:val="both"/>
      </w:pPr>
    </w:p>
    <w:p w14:paraId="2659522B">
      <w:pPr>
        <w:spacing w:line="240" w:lineRule="auto"/>
        <w:ind w:firstLine="640"/>
        <w:jc w:val="both"/>
      </w:pPr>
    </w:p>
    <w:p w14:paraId="6203EC7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4E4E59"/>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645A4"/>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4263</Words>
  <Characters>4857</Characters>
  <Lines>0</Lines>
  <Paragraphs>0</Paragraphs>
  <TotalTime>3</TotalTime>
  <ScaleCrop>false</ScaleCrop>
  <LinksUpToDate>false</LinksUpToDate>
  <CharactersWithSpaces>4865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2025-09-29T08:16:38Z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