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叶城县信访局2024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0102AB">
      <w:r>
        <w:br w:type="page"/>
      </w:r>
    </w:p>
    <w:p w14:paraId="5E769A3D">
      <w:pPr>
        <w:spacing w:line="640" w:lineRule="exact"/>
        <w:jc w:val="center"/>
        <w:outlineLvl w:val="1"/>
      </w:pPr>
      <w:r>
        <w:rPr>
          <w:rFonts w:ascii="黑体" w:hAnsi="黑体" w:eastAsia="黑体"/>
          <w:sz w:val="32"/>
        </w:rPr>
        <w:t>第一部分 单位概况</w:t>
      </w:r>
    </w:p>
    <w:p w14:paraId="5073C84B">
      <w:pPr>
        <w:spacing w:line="640" w:lineRule="exact"/>
        <w:ind w:firstLine="640"/>
        <w:jc w:val="both"/>
        <w:outlineLvl w:val="2"/>
      </w:pPr>
      <w:r>
        <w:rPr>
          <w:rFonts w:ascii="黑体" w:hAnsi="黑体" w:eastAsia="黑体"/>
          <w:sz w:val="32"/>
        </w:rPr>
        <w:t>一、主要职能</w:t>
      </w:r>
    </w:p>
    <w:p w14:paraId="09791AB9">
      <w:pPr>
        <w:spacing w:line="580" w:lineRule="exact"/>
        <w:ind w:firstLine="640"/>
        <w:jc w:val="both"/>
      </w:pPr>
      <w:r>
        <w:rPr>
          <w:rFonts w:ascii="仿宋_GB2312" w:hAnsi="仿宋_GB2312" w:eastAsia="仿宋_GB2312"/>
          <w:sz w:val="32"/>
        </w:rPr>
        <w:t>（1）贯彻落实中央，自治区，地区和县委，人民政府和上级业务主管部门信访工作的方针政策和法规。</w:t>
      </w:r>
    </w:p>
    <w:p w14:paraId="4543AD55">
      <w:pPr>
        <w:spacing w:line="580" w:lineRule="exact"/>
        <w:ind w:firstLine="640"/>
        <w:jc w:val="both"/>
      </w:pPr>
      <w:r>
        <w:rPr>
          <w:rFonts w:ascii="仿宋_GB2312" w:hAnsi="仿宋_GB2312" w:eastAsia="仿宋_GB2312"/>
          <w:sz w:val="32"/>
        </w:rPr>
        <w:t>（2）负责接待群众来访，有针对性地做好和组织实施好有关部门的联合接待，积极为上访群众解难，定期</w:t>
      </w:r>
      <w:r>
        <w:rPr>
          <w:rFonts w:hint="eastAsia" w:ascii="仿宋_GB2312" w:hAnsi="仿宋_GB2312" w:eastAsia="仿宋_GB2312"/>
          <w:sz w:val="32"/>
          <w:lang w:eastAsia="zh-CN"/>
        </w:rPr>
        <w:t>向</w:t>
      </w:r>
      <w:r>
        <w:rPr>
          <w:rFonts w:ascii="仿宋_GB2312" w:hAnsi="仿宋_GB2312" w:eastAsia="仿宋_GB2312"/>
          <w:sz w:val="32"/>
        </w:rPr>
        <w:t>县委和人民政府领导汇报和反映来访情况，有针对性</w:t>
      </w:r>
      <w:r>
        <w:rPr>
          <w:rFonts w:hint="eastAsia" w:ascii="仿宋_GB2312" w:hAnsi="仿宋_GB2312" w:eastAsia="仿宋_GB2312"/>
          <w:sz w:val="32"/>
          <w:lang w:eastAsia="zh-CN"/>
        </w:rPr>
        <w:t>地</w:t>
      </w:r>
      <w:r>
        <w:rPr>
          <w:rFonts w:ascii="仿宋_GB2312" w:hAnsi="仿宋_GB2312" w:eastAsia="仿宋_GB2312"/>
          <w:sz w:val="32"/>
        </w:rPr>
        <w:t>提出重要建议，意见和问题。</w:t>
      </w:r>
    </w:p>
    <w:p w14:paraId="7138AA78">
      <w:pPr>
        <w:spacing w:line="580" w:lineRule="exact"/>
        <w:ind w:firstLine="640"/>
        <w:jc w:val="both"/>
      </w:pPr>
      <w:r>
        <w:rPr>
          <w:rFonts w:ascii="仿宋_GB2312" w:hAnsi="仿宋_GB2312" w:eastAsia="仿宋_GB2312"/>
          <w:sz w:val="32"/>
        </w:rPr>
        <w:t>（3）认真受理和处理群众来信，抓好信件和交办和督促工作，定期向县委和人民政府领导汇报和反映来信和办理情况，积极提出来信办理中的重要建议，意见和问题。</w:t>
      </w:r>
    </w:p>
    <w:p w14:paraId="0820FF13">
      <w:pPr>
        <w:spacing w:line="580" w:lineRule="exact"/>
        <w:ind w:firstLine="640"/>
        <w:jc w:val="both"/>
      </w:pPr>
      <w:r>
        <w:rPr>
          <w:rFonts w:ascii="仿宋_GB2312" w:hAnsi="仿宋_GB2312" w:eastAsia="仿宋_GB2312"/>
          <w:sz w:val="32"/>
        </w:rPr>
        <w:t>（4）负责办理自治区</w:t>
      </w:r>
      <w:r>
        <w:rPr>
          <w:rFonts w:hint="eastAsia" w:ascii="仿宋_GB2312" w:hAnsi="仿宋_GB2312" w:eastAsia="仿宋_GB2312"/>
          <w:sz w:val="32"/>
          <w:lang w:eastAsia="zh-CN"/>
        </w:rPr>
        <w:t>党委、政府</w:t>
      </w:r>
      <w:r>
        <w:rPr>
          <w:rFonts w:ascii="仿宋_GB2312" w:hAnsi="仿宋_GB2312" w:eastAsia="仿宋_GB2312"/>
          <w:sz w:val="32"/>
        </w:rPr>
        <w:t>信访部门，地区和县委，人民政府领导批办的信件，转办的人民群众来信，督促，检查和反馈重要信访事项处理和落实情况。</w:t>
      </w:r>
    </w:p>
    <w:p w14:paraId="5D38A796">
      <w:pPr>
        <w:spacing w:line="580" w:lineRule="exact"/>
        <w:ind w:firstLine="640"/>
        <w:jc w:val="both"/>
      </w:pPr>
      <w:r>
        <w:rPr>
          <w:rFonts w:ascii="仿宋_GB2312" w:hAnsi="仿宋_GB2312" w:eastAsia="仿宋_GB2312"/>
          <w:sz w:val="32"/>
        </w:rPr>
        <w:t>（5）负责信访工作检查监督，及时向县委反映情况，提出建议。</w:t>
      </w:r>
    </w:p>
    <w:p w14:paraId="3CE8E7C0">
      <w:pPr>
        <w:spacing w:line="580" w:lineRule="exact"/>
        <w:ind w:firstLine="640"/>
        <w:jc w:val="both"/>
      </w:pPr>
      <w:r>
        <w:rPr>
          <w:rFonts w:ascii="仿宋_GB2312" w:hAnsi="仿宋_GB2312" w:eastAsia="仿宋_GB2312"/>
          <w:sz w:val="32"/>
        </w:rPr>
        <w:t>（6）综合分析信访信息，报送信访信息，反映社情民意，为领导决策提供依据。</w:t>
      </w:r>
    </w:p>
    <w:p w14:paraId="64157EA9">
      <w:pPr>
        <w:spacing w:line="580" w:lineRule="exact"/>
        <w:ind w:firstLine="640"/>
        <w:jc w:val="both"/>
      </w:pPr>
      <w:r>
        <w:rPr>
          <w:rFonts w:ascii="仿宋_GB2312" w:hAnsi="仿宋_GB2312" w:eastAsia="仿宋_GB2312"/>
          <w:sz w:val="32"/>
        </w:rPr>
        <w:t>（7）宣传和贯彻落实“信访条例”组织信访干部培训。</w:t>
      </w:r>
    </w:p>
    <w:p w14:paraId="0E2A588D">
      <w:pPr>
        <w:spacing w:line="640" w:lineRule="exact"/>
        <w:ind w:firstLine="640"/>
        <w:jc w:val="both"/>
        <w:outlineLvl w:val="2"/>
      </w:pPr>
      <w:r>
        <w:rPr>
          <w:rFonts w:ascii="黑体" w:hAnsi="黑体" w:eastAsia="黑体"/>
          <w:sz w:val="32"/>
        </w:rPr>
        <w:t>二、机构设置及人员情况</w:t>
      </w:r>
    </w:p>
    <w:p w14:paraId="78F32452">
      <w:pPr>
        <w:spacing w:line="580" w:lineRule="exact"/>
        <w:ind w:firstLine="640"/>
        <w:jc w:val="both"/>
      </w:pPr>
      <w:r>
        <w:rPr>
          <w:rFonts w:ascii="仿宋_GB2312" w:hAnsi="仿宋_GB2312" w:eastAsia="仿宋_GB2312"/>
          <w:sz w:val="32"/>
        </w:rPr>
        <w:t>叶城县信访局2024年度，实有人数15人，其中：在职人员10人，增加2人；离休人员0人，增加0人；退休人员5人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4DAF3F77">
      <w:pPr>
        <w:spacing w:line="580" w:lineRule="exact"/>
        <w:ind w:firstLine="640"/>
        <w:jc w:val="both"/>
      </w:pPr>
      <w:r>
        <w:rPr>
          <w:rFonts w:ascii="仿宋_GB2312" w:hAnsi="仿宋_GB2312" w:eastAsia="仿宋_GB2312"/>
          <w:sz w:val="32"/>
        </w:rPr>
        <w:t>叶城县信访局无下属预算单位，下设3个科室，分别是：办公室、财务室、信访接待大厅。</w:t>
      </w:r>
    </w:p>
    <w:p w14:paraId="2776E6DC">
      <w:r>
        <w:br w:type="page"/>
      </w:r>
    </w:p>
    <w:p w14:paraId="53DAE956">
      <w:pPr>
        <w:spacing w:line="240" w:lineRule="auto"/>
        <w:jc w:val="center"/>
        <w:outlineLvl w:val="1"/>
      </w:pPr>
      <w:r>
        <w:rPr>
          <w:rFonts w:ascii="黑体" w:hAnsi="黑体" w:eastAsia="黑体"/>
          <w:sz w:val="32"/>
        </w:rPr>
        <w:t>第二部分 部门决算情况说明</w:t>
      </w:r>
    </w:p>
    <w:p w14:paraId="300D9505">
      <w:pPr>
        <w:spacing w:line="640" w:lineRule="exact"/>
        <w:ind w:firstLine="640"/>
        <w:jc w:val="both"/>
        <w:outlineLvl w:val="2"/>
      </w:pPr>
      <w:r>
        <w:rPr>
          <w:rFonts w:ascii="黑体" w:hAnsi="黑体" w:eastAsia="黑体"/>
          <w:sz w:val="32"/>
        </w:rPr>
        <w:t>一、收入支出决算总体情况说明</w:t>
      </w:r>
    </w:p>
    <w:p w14:paraId="1A9E4B77">
      <w:pPr>
        <w:spacing w:line="580" w:lineRule="exact"/>
        <w:ind w:firstLine="640"/>
        <w:jc w:val="both"/>
      </w:pPr>
      <w:r>
        <w:rPr>
          <w:rFonts w:ascii="仿宋_GB2312" w:hAnsi="仿宋_GB2312" w:eastAsia="仿宋_GB2312"/>
          <w:b/>
          <w:sz w:val="32"/>
        </w:rPr>
        <w:t>2024年度收入总计549.34万元，</w:t>
      </w:r>
      <w:r>
        <w:rPr>
          <w:rFonts w:ascii="仿宋_GB2312" w:hAnsi="仿宋_GB2312" w:eastAsia="仿宋_GB2312"/>
          <w:b w:val="0"/>
          <w:sz w:val="32"/>
        </w:rPr>
        <w:t>其中：本年收入合计549.34万元，使用非财政拨款结余（含专用结余）0.00万元，年初结转和结余0.00万元。</w:t>
      </w:r>
    </w:p>
    <w:p w14:paraId="74714992">
      <w:pPr>
        <w:spacing w:line="580" w:lineRule="exact"/>
        <w:ind w:firstLine="640"/>
        <w:jc w:val="both"/>
      </w:pPr>
      <w:r>
        <w:rPr>
          <w:rFonts w:ascii="仿宋_GB2312" w:hAnsi="仿宋_GB2312" w:eastAsia="仿宋_GB2312"/>
          <w:b/>
          <w:sz w:val="32"/>
        </w:rPr>
        <w:t>2024年度支出总计549.34万元，</w:t>
      </w:r>
      <w:r>
        <w:rPr>
          <w:rFonts w:ascii="仿宋_GB2312" w:hAnsi="仿宋_GB2312" w:eastAsia="仿宋_GB2312"/>
          <w:b w:val="0"/>
          <w:sz w:val="32"/>
        </w:rPr>
        <w:t>其中：本年支出合计549.34万元，结余分配0.00万元，年末结转和结余0.00万元。</w:t>
      </w:r>
    </w:p>
    <w:p w14:paraId="0FC608B4">
      <w:pPr>
        <w:spacing w:line="580" w:lineRule="exact"/>
        <w:ind w:firstLine="640"/>
        <w:jc w:val="both"/>
      </w:pPr>
      <w:r>
        <w:rPr>
          <w:rFonts w:ascii="仿宋_GB2312" w:hAnsi="仿宋_GB2312" w:eastAsia="仿宋_GB2312"/>
          <w:b w:val="0"/>
          <w:sz w:val="32"/>
        </w:rPr>
        <w:t>收入支出总体与上年相比，增加343.40万元，增长166.75%，主要原因是：本年在职人员增加，</w:t>
      </w:r>
      <w:r>
        <w:rPr>
          <w:rFonts w:hint="eastAsia" w:ascii="仿宋_GB2312" w:hAnsi="仿宋_GB2312" w:eastAsia="仿宋_GB2312"/>
          <w:b w:val="0"/>
          <w:sz w:val="32"/>
          <w:lang w:val="en-US" w:eastAsia="zh-CN"/>
        </w:rPr>
        <w:t>社保、公积金缴费基数调增，</w:t>
      </w:r>
      <w:r>
        <w:rPr>
          <w:rFonts w:ascii="仿宋_GB2312" w:hAnsi="仿宋_GB2312" w:eastAsia="仿宋_GB2312"/>
          <w:b w:val="0"/>
          <w:sz w:val="32"/>
        </w:rPr>
        <w:t>相关人员经费增加。</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信访局办公楼维修资金</w:t>
      </w:r>
      <w:r>
        <w:rPr>
          <w:rFonts w:hint="eastAsia" w:ascii="仿宋_GB2312" w:hAnsi="仿宋_GB2312" w:eastAsia="仿宋_GB2312"/>
          <w:b w:val="0"/>
          <w:sz w:val="32"/>
          <w:lang w:eastAsia="zh-CN"/>
        </w:rPr>
        <w:t>、</w:t>
      </w:r>
      <w:r>
        <w:rPr>
          <w:rFonts w:ascii="仿宋_GB2312" w:hAnsi="仿宋_GB2312" w:eastAsia="仿宋_GB2312"/>
          <w:b w:val="0"/>
          <w:sz w:val="32"/>
        </w:rPr>
        <w:t>办公经费</w:t>
      </w:r>
      <w:r>
        <w:rPr>
          <w:rFonts w:hint="eastAsia" w:ascii="仿宋_GB2312" w:hAnsi="仿宋_GB2312" w:eastAsia="仿宋_GB2312"/>
          <w:b w:val="0"/>
          <w:sz w:val="32"/>
          <w:lang w:eastAsia="zh-CN"/>
        </w:rPr>
        <w:t>。</w:t>
      </w:r>
      <w:r>
        <w:rPr>
          <w:rFonts w:ascii="仿宋_GB2312" w:hAnsi="仿宋_GB2312" w:eastAsia="仿宋_GB2312"/>
          <w:b w:val="0"/>
          <w:sz w:val="32"/>
        </w:rPr>
        <w:t>增加偿还2015年工业园区借款。</w:t>
      </w:r>
    </w:p>
    <w:p w14:paraId="69451CC1">
      <w:pPr>
        <w:spacing w:line="640" w:lineRule="exact"/>
        <w:ind w:firstLine="640"/>
        <w:jc w:val="both"/>
        <w:outlineLvl w:val="2"/>
      </w:pPr>
      <w:r>
        <w:rPr>
          <w:rFonts w:ascii="黑体" w:hAnsi="黑体" w:eastAsia="黑体"/>
          <w:sz w:val="32"/>
        </w:rPr>
        <w:t>二、收入决算情况说明</w:t>
      </w:r>
    </w:p>
    <w:p w14:paraId="4FD42AFF">
      <w:pPr>
        <w:spacing w:line="580" w:lineRule="exact"/>
        <w:ind w:firstLine="640"/>
        <w:jc w:val="both"/>
      </w:pPr>
      <w:r>
        <w:rPr>
          <w:rFonts w:ascii="仿宋_GB2312" w:hAnsi="仿宋_GB2312" w:eastAsia="仿宋_GB2312"/>
          <w:b/>
          <w:sz w:val="32"/>
        </w:rPr>
        <w:t>本年收入549.34万元，</w:t>
      </w:r>
      <w:r>
        <w:rPr>
          <w:rFonts w:ascii="仿宋_GB2312" w:hAnsi="仿宋_GB2312" w:eastAsia="仿宋_GB2312"/>
          <w:b w:val="0"/>
          <w:sz w:val="32"/>
        </w:rPr>
        <w:t>其中：财政拨款收入249.34万元，占45.39%；上级补助收入0.00万元，占0.00%；事业收入0.00万元，占0.00%；经营收入0.00万元，占0.00%；附属单位上缴收入0.00万元，占0.00%；其他收入300.00万元，占54.61%。</w:t>
      </w:r>
    </w:p>
    <w:p w14:paraId="776F238E">
      <w:pPr>
        <w:spacing w:line="640" w:lineRule="exact"/>
        <w:ind w:firstLine="640"/>
        <w:jc w:val="both"/>
        <w:outlineLvl w:val="2"/>
      </w:pPr>
      <w:r>
        <w:rPr>
          <w:rFonts w:ascii="黑体" w:hAnsi="黑体" w:eastAsia="黑体"/>
          <w:sz w:val="32"/>
        </w:rPr>
        <w:t>三、支出决算情况说明</w:t>
      </w:r>
    </w:p>
    <w:p w14:paraId="6890F397">
      <w:pPr>
        <w:spacing w:line="580" w:lineRule="exact"/>
        <w:ind w:firstLine="640"/>
        <w:jc w:val="both"/>
      </w:pPr>
      <w:r>
        <w:rPr>
          <w:rFonts w:ascii="仿宋_GB2312" w:hAnsi="仿宋_GB2312" w:eastAsia="仿宋_GB2312"/>
          <w:b/>
          <w:sz w:val="32"/>
        </w:rPr>
        <w:t>本年支出549.34万元，</w:t>
      </w:r>
      <w:r>
        <w:rPr>
          <w:rFonts w:ascii="仿宋_GB2312" w:hAnsi="仿宋_GB2312" w:eastAsia="仿宋_GB2312"/>
          <w:b w:val="0"/>
          <w:sz w:val="32"/>
        </w:rPr>
        <w:t>其中：基本支出235.60万元，占42.89%；项目支出313.75万元，占57.11%；上缴上级支出0.00万元，占0.00%；经营支出0.00万元，占0.00%；对附属单位补助支出0.00万元，占0.00%。</w:t>
      </w:r>
    </w:p>
    <w:p w14:paraId="7AE0CC82">
      <w:pPr>
        <w:spacing w:line="640" w:lineRule="exact"/>
        <w:ind w:firstLine="640"/>
        <w:jc w:val="both"/>
        <w:outlineLvl w:val="2"/>
      </w:pPr>
      <w:r>
        <w:rPr>
          <w:rFonts w:ascii="黑体" w:hAnsi="黑体" w:eastAsia="黑体"/>
          <w:sz w:val="32"/>
        </w:rPr>
        <w:t>四、财政拨款收入支出决算总体情况说明</w:t>
      </w:r>
    </w:p>
    <w:p w14:paraId="2EA4AE49">
      <w:pPr>
        <w:spacing w:line="580" w:lineRule="exact"/>
        <w:ind w:firstLine="640"/>
        <w:jc w:val="both"/>
      </w:pPr>
      <w:r>
        <w:rPr>
          <w:rFonts w:ascii="仿宋_GB2312" w:hAnsi="仿宋_GB2312" w:eastAsia="仿宋_GB2312"/>
          <w:b/>
          <w:sz w:val="32"/>
        </w:rPr>
        <w:t>2024年度财政拨款收入总计249.34万元，</w:t>
      </w:r>
      <w:r>
        <w:rPr>
          <w:rFonts w:ascii="仿宋_GB2312" w:hAnsi="仿宋_GB2312" w:eastAsia="仿宋_GB2312"/>
          <w:b w:val="0"/>
          <w:sz w:val="32"/>
        </w:rPr>
        <w:t>其中：年初财政拨款结转和结余0.00万元，本年财政拨款收入249.34万元。</w:t>
      </w:r>
      <w:r>
        <w:rPr>
          <w:rFonts w:ascii="仿宋_GB2312" w:hAnsi="仿宋_GB2312" w:eastAsia="仿宋_GB2312"/>
          <w:b/>
          <w:sz w:val="32"/>
        </w:rPr>
        <w:t>财政拨款支出总计249.34万元，</w:t>
      </w:r>
      <w:r>
        <w:rPr>
          <w:rFonts w:ascii="仿宋_GB2312" w:hAnsi="仿宋_GB2312" w:eastAsia="仿宋_GB2312"/>
          <w:b w:val="0"/>
          <w:sz w:val="32"/>
        </w:rPr>
        <w:t>其中：年末财政拨款结转和结余0.00万元，本年财政拨款支出249.34万元。</w:t>
      </w:r>
    </w:p>
    <w:p w14:paraId="16909E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增加43.40万元，增长21.07%，主要原因是：本年在职人员增加，</w:t>
      </w:r>
      <w:r>
        <w:rPr>
          <w:rFonts w:hint="eastAsia" w:ascii="仿宋_GB2312" w:hAnsi="仿宋_GB2312" w:eastAsia="仿宋_GB2312"/>
          <w:b w:val="0"/>
          <w:sz w:val="32"/>
          <w:lang w:val="en-US" w:eastAsia="zh-CN"/>
        </w:rPr>
        <w:t>社保、公积金缴费基数调增，</w:t>
      </w:r>
      <w:r>
        <w:rPr>
          <w:rFonts w:ascii="仿宋_GB2312" w:hAnsi="仿宋_GB2312" w:eastAsia="仿宋_GB2312"/>
          <w:b w:val="0"/>
          <w:sz w:val="32"/>
        </w:rPr>
        <w:t>相关人员经费增加。</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信访局办公楼维修资金</w:t>
      </w:r>
      <w:r>
        <w:rPr>
          <w:rFonts w:hint="eastAsia" w:ascii="仿宋_GB2312" w:hAnsi="仿宋_GB2312" w:eastAsia="仿宋_GB2312"/>
          <w:b w:val="0"/>
          <w:sz w:val="32"/>
          <w:lang w:eastAsia="zh-CN"/>
        </w:rPr>
        <w:t>、</w:t>
      </w:r>
      <w:r>
        <w:rPr>
          <w:rFonts w:ascii="仿宋_GB2312" w:hAnsi="仿宋_GB2312" w:eastAsia="仿宋_GB2312"/>
          <w:b w:val="0"/>
          <w:sz w:val="32"/>
        </w:rPr>
        <w:t>办公经费</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年初预算数200.23万元，决算数249.34万元，预决算差异率24.53%，主要原因是：本年在职人员增加，年中追加人员经费及人员工资、社保、公积金基数调增部分资金，导致预决算存在差异。</w:t>
      </w:r>
    </w:p>
    <w:p w14:paraId="64166755">
      <w:pPr>
        <w:spacing w:line="640" w:lineRule="exact"/>
        <w:ind w:firstLine="640"/>
        <w:jc w:val="both"/>
        <w:outlineLvl w:val="2"/>
      </w:pPr>
      <w:r>
        <w:rPr>
          <w:rFonts w:ascii="黑体" w:hAnsi="黑体" w:eastAsia="黑体"/>
          <w:sz w:val="32"/>
        </w:rPr>
        <w:t>五、一般公共预算财政拨款支出决算情况说明</w:t>
      </w:r>
    </w:p>
    <w:p w14:paraId="5A4303A3">
      <w:pPr>
        <w:spacing w:line="640" w:lineRule="exact"/>
        <w:ind w:firstLine="640"/>
        <w:jc w:val="both"/>
        <w:outlineLvl w:val="3"/>
      </w:pPr>
      <w:r>
        <w:rPr>
          <w:rFonts w:ascii="楷体_GB2312" w:hAnsi="楷体_GB2312" w:eastAsia="楷体_GB2312"/>
          <w:b/>
          <w:sz w:val="32"/>
        </w:rPr>
        <w:t>（一）一般公共预算财政拨款支出决算总体情况</w:t>
      </w:r>
    </w:p>
    <w:p w14:paraId="1F508719">
      <w:pPr>
        <w:spacing w:line="580" w:lineRule="exact"/>
        <w:ind w:firstLine="640"/>
        <w:jc w:val="both"/>
      </w:pPr>
      <w:r>
        <w:rPr>
          <w:rFonts w:ascii="仿宋_GB2312" w:hAnsi="仿宋_GB2312" w:eastAsia="仿宋_GB2312"/>
          <w:b/>
          <w:sz w:val="32"/>
        </w:rPr>
        <w:t>2024年度一般公共预算财政拨款支出249.34万元，</w:t>
      </w:r>
      <w:r>
        <w:rPr>
          <w:rFonts w:ascii="仿宋_GB2312" w:hAnsi="仿宋_GB2312" w:eastAsia="仿宋_GB2312"/>
          <w:b w:val="0"/>
          <w:sz w:val="32"/>
        </w:rPr>
        <w:t>占本年支出合计的45.39%。</w:t>
      </w:r>
      <w:r>
        <w:rPr>
          <w:rFonts w:ascii="仿宋_GB2312" w:hAnsi="仿宋_GB2312" w:eastAsia="仿宋_GB2312"/>
          <w:b/>
          <w:sz w:val="32"/>
        </w:rPr>
        <w:t>与上年相比，</w:t>
      </w:r>
      <w:r>
        <w:rPr>
          <w:rFonts w:ascii="仿宋_GB2312" w:hAnsi="仿宋_GB2312" w:eastAsia="仿宋_GB2312"/>
          <w:b w:val="0"/>
          <w:sz w:val="32"/>
        </w:rPr>
        <w:t>增加43.40万元，增长21.07%，主要原因是：本年在职人员增加，</w:t>
      </w:r>
      <w:r>
        <w:rPr>
          <w:rFonts w:hint="eastAsia" w:ascii="仿宋_GB2312" w:hAnsi="仿宋_GB2312" w:eastAsia="仿宋_GB2312"/>
          <w:b w:val="0"/>
          <w:sz w:val="32"/>
          <w:lang w:val="en-US" w:eastAsia="zh-CN"/>
        </w:rPr>
        <w:t>社保、公积金缴费基数调增，</w:t>
      </w:r>
      <w:r>
        <w:rPr>
          <w:rFonts w:ascii="仿宋_GB2312" w:hAnsi="仿宋_GB2312" w:eastAsia="仿宋_GB2312"/>
          <w:b w:val="0"/>
          <w:sz w:val="32"/>
        </w:rPr>
        <w:t>相关人员经费增加。</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信访局办公楼维修资金</w:t>
      </w:r>
      <w:r>
        <w:rPr>
          <w:rFonts w:hint="eastAsia" w:ascii="仿宋_GB2312" w:hAnsi="仿宋_GB2312" w:eastAsia="仿宋_GB2312"/>
          <w:b w:val="0"/>
          <w:sz w:val="32"/>
          <w:lang w:eastAsia="zh-CN"/>
        </w:rPr>
        <w:t>、</w:t>
      </w:r>
      <w:r>
        <w:rPr>
          <w:rFonts w:ascii="仿宋_GB2312" w:hAnsi="仿宋_GB2312" w:eastAsia="仿宋_GB2312"/>
          <w:b w:val="0"/>
          <w:sz w:val="32"/>
        </w:rPr>
        <w:t>办公经费</w:t>
      </w:r>
      <w:r>
        <w:rPr>
          <w:rFonts w:hint="eastAsia" w:ascii="仿宋_GB2312" w:hAnsi="仿宋_GB2312" w:eastAsia="仿宋_GB2312"/>
          <w:b w:val="0"/>
          <w:sz w:val="32"/>
          <w:lang w:eastAsia="zh-CN"/>
        </w:rPr>
        <w:t>。</w:t>
      </w:r>
      <w:r>
        <w:rPr>
          <w:rFonts w:ascii="仿宋_GB2312" w:hAnsi="仿宋_GB2312" w:eastAsia="仿宋_GB2312"/>
          <w:b/>
          <w:sz w:val="32"/>
        </w:rPr>
        <w:t>与年初预算相比,</w:t>
      </w:r>
      <w:r>
        <w:rPr>
          <w:rFonts w:ascii="仿宋_GB2312" w:hAnsi="仿宋_GB2312" w:eastAsia="仿宋_GB2312"/>
          <w:b w:val="0"/>
          <w:sz w:val="32"/>
        </w:rPr>
        <w:t>年初预算数200.23万元，决算数249.34万元，预决算差异率24.53%，主要原因是：本年在职人员增加，年中追加人员经费及人员工资、社保、公积金基数调增部分资金，导致预决算存在差异。</w:t>
      </w:r>
    </w:p>
    <w:p w14:paraId="0EB27FFF">
      <w:pPr>
        <w:spacing w:line="640" w:lineRule="exact"/>
        <w:ind w:firstLine="640"/>
        <w:jc w:val="both"/>
        <w:outlineLvl w:val="3"/>
      </w:pPr>
      <w:r>
        <w:rPr>
          <w:rFonts w:ascii="楷体_GB2312" w:hAnsi="楷体_GB2312" w:eastAsia="楷体_GB2312"/>
          <w:b/>
          <w:sz w:val="32"/>
        </w:rPr>
        <w:t>（二）一般公共预算财政拨款支出决算结构情况</w:t>
      </w:r>
    </w:p>
    <w:p w14:paraId="3686DDB2">
      <w:pPr>
        <w:spacing w:line="580" w:lineRule="exact"/>
        <w:ind w:firstLine="640"/>
        <w:jc w:val="both"/>
      </w:pPr>
      <w:r>
        <w:rPr>
          <w:rFonts w:ascii="仿宋_GB2312" w:hAnsi="仿宋_GB2312" w:eastAsia="仿宋_GB2312"/>
          <w:b w:val="0"/>
          <w:sz w:val="32"/>
        </w:rPr>
        <w:t>1.一般公共服务支出(类)183.45万元,占73.57%。</w:t>
      </w:r>
    </w:p>
    <w:p w14:paraId="04BD224D">
      <w:pPr>
        <w:spacing w:line="580" w:lineRule="exact"/>
        <w:ind w:firstLine="640"/>
        <w:jc w:val="both"/>
      </w:pPr>
      <w:r>
        <w:rPr>
          <w:rFonts w:ascii="仿宋_GB2312" w:hAnsi="仿宋_GB2312" w:eastAsia="仿宋_GB2312"/>
          <w:b w:val="0"/>
          <w:sz w:val="32"/>
        </w:rPr>
        <w:t>2.科学技术支出(类)5.06万元,占2.03%。</w:t>
      </w:r>
    </w:p>
    <w:p w14:paraId="28177BB1">
      <w:pPr>
        <w:spacing w:line="580" w:lineRule="exact"/>
        <w:ind w:firstLine="640"/>
        <w:jc w:val="both"/>
      </w:pPr>
      <w:r>
        <w:rPr>
          <w:rFonts w:ascii="仿宋_GB2312" w:hAnsi="仿宋_GB2312" w:eastAsia="仿宋_GB2312"/>
          <w:b w:val="0"/>
          <w:sz w:val="32"/>
        </w:rPr>
        <w:t>3.社会保障和就业支出(类)30.50万元,占12.23%。</w:t>
      </w:r>
    </w:p>
    <w:p w14:paraId="2220EB80">
      <w:pPr>
        <w:spacing w:line="580" w:lineRule="exact"/>
        <w:ind w:firstLine="640"/>
        <w:jc w:val="both"/>
      </w:pPr>
      <w:r>
        <w:rPr>
          <w:rFonts w:ascii="仿宋_GB2312" w:hAnsi="仿宋_GB2312" w:eastAsia="仿宋_GB2312"/>
          <w:b w:val="0"/>
          <w:sz w:val="32"/>
        </w:rPr>
        <w:t>4.卫生健康支出(类)11.74万元,占4.71%。</w:t>
      </w:r>
    </w:p>
    <w:p w14:paraId="0C18D0F4">
      <w:pPr>
        <w:spacing w:line="580" w:lineRule="exact"/>
        <w:ind w:firstLine="640"/>
        <w:jc w:val="both"/>
      </w:pPr>
      <w:r>
        <w:rPr>
          <w:rFonts w:ascii="仿宋_GB2312" w:hAnsi="仿宋_GB2312" w:eastAsia="仿宋_GB2312"/>
          <w:b w:val="0"/>
          <w:sz w:val="32"/>
        </w:rPr>
        <w:t>5.住房保障支出(类)18.60万元,占7.46%。</w:t>
      </w:r>
    </w:p>
    <w:p w14:paraId="23DCB17A">
      <w:pPr>
        <w:spacing w:line="640" w:lineRule="exact"/>
        <w:ind w:firstLine="640"/>
        <w:jc w:val="both"/>
        <w:outlineLvl w:val="3"/>
      </w:pPr>
      <w:r>
        <w:rPr>
          <w:rFonts w:ascii="楷体_GB2312" w:hAnsi="楷体_GB2312" w:eastAsia="楷体_GB2312"/>
          <w:b/>
          <w:sz w:val="32"/>
        </w:rPr>
        <w:t>（三）一般公共预算财政拨款支出决算具体情况</w:t>
      </w:r>
    </w:p>
    <w:p w14:paraId="48038D26">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1.一般公共服务支出(类)政府办公厅（室）及相关机构事务(款)信访事务(项):支出决算数为0.00万元，比上年决算减少162.04万元，下降100.00%,主要原因是：本年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单位主科目由信访事务(项)调整至一般公共服务支出(类)信访事务(款)行政运行(项)列支，导致经费较上年减少。</w:t>
      </w:r>
    </w:p>
    <w:p w14:paraId="08D48059">
      <w:pPr>
        <w:spacing w:line="580" w:lineRule="exact"/>
        <w:ind w:firstLine="640"/>
        <w:jc w:val="both"/>
      </w:pPr>
      <w:r>
        <w:rPr>
          <w:rFonts w:ascii="仿宋_GB2312" w:hAnsi="仿宋_GB2312" w:eastAsia="仿宋_GB2312"/>
          <w:b w:val="0"/>
          <w:sz w:val="32"/>
        </w:rPr>
        <w:t>2.一般公共服务支出(类)信访事务(款)行政运行(项):支出决算数为174.76万元，比上年决算增加174.76万元，增长100.00%,主要原因是：本年</w:t>
      </w:r>
      <w:r>
        <w:rPr>
          <w:rFonts w:hint="eastAsia" w:ascii="仿宋_GB2312" w:hAnsi="仿宋_GB2312" w:eastAsia="仿宋_GB2312"/>
          <w:b w:val="0"/>
          <w:sz w:val="32"/>
          <w:lang w:val="en-US" w:eastAsia="zh-CN"/>
        </w:rPr>
        <w:t>本</w:t>
      </w:r>
      <w:r>
        <w:rPr>
          <w:rFonts w:ascii="仿宋_GB2312" w:hAnsi="仿宋_GB2312" w:eastAsia="仿宋_GB2312"/>
          <w:b w:val="0"/>
          <w:sz w:val="32"/>
        </w:rPr>
        <w:t>单位主科目由信访事务(项)调整至行政运行(项)列支，导致经费较上年增加。</w:t>
      </w:r>
    </w:p>
    <w:p w14:paraId="1C78BD6C">
      <w:pPr>
        <w:spacing w:line="580" w:lineRule="exact"/>
        <w:ind w:firstLine="640"/>
        <w:jc w:val="both"/>
      </w:pPr>
      <w:r>
        <w:rPr>
          <w:rFonts w:ascii="仿宋_GB2312" w:hAnsi="仿宋_GB2312" w:eastAsia="仿宋_GB2312"/>
          <w:b w:val="0"/>
          <w:sz w:val="32"/>
        </w:rPr>
        <w:t>3.一般公共服务支出(类)信访事务(款)其他信访事务支出(项):支出决算数为8.69万元，比上年决算增加8.69万元，增长100.00%,主要原因是：本年增加叶城县信访局办公楼维修资金项目。</w:t>
      </w:r>
    </w:p>
    <w:p w14:paraId="7A702722">
      <w:pPr>
        <w:spacing w:line="580" w:lineRule="exact"/>
        <w:ind w:firstLine="640"/>
        <w:jc w:val="both"/>
      </w:pPr>
      <w:r>
        <w:rPr>
          <w:rFonts w:ascii="仿宋_GB2312" w:hAnsi="仿宋_GB2312" w:eastAsia="仿宋_GB2312"/>
          <w:b w:val="0"/>
          <w:sz w:val="32"/>
        </w:rPr>
        <w:t>4.科学技术支出(类)技术研究与开发(款)其他技术研究与开发支出(项):支出决算数为5.06万元，比上年决算增加5.06万元，增长100.00%,主要原因是：本年度新增办公经费专项资金项目。</w:t>
      </w:r>
    </w:p>
    <w:p w14:paraId="6059C55F">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5.社会保障和就业支出(类)行政事业单位养老支出(款)行政单位离退休(项):支出决算数为6.78万元，比上年决算增加1.23万元，增长22.16%,主要原因是：本年增加退休人员基础绩效奖，退休费支出增加。</w:t>
      </w:r>
    </w:p>
    <w:p w14:paraId="3844D9B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23.72万元，比上年决算增加10.48万元，增长79.15%,主要原因是：本年在职人员工资基数调增，养老缴费基数上涨，相应支出增加。</w:t>
      </w:r>
    </w:p>
    <w:p w14:paraId="4403E6FA">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7.社会保障和就业支出(类)行政事业单位养老支出(款)机关事业单位职业年金缴费支出(项):支出决算数为0.00万元，比上年决算减少8.35万元，下降100.00%,主要原因是：本年</w:t>
      </w:r>
      <w:r>
        <w:rPr>
          <w:rFonts w:hint="eastAsia" w:ascii="仿宋_GB2312" w:hAnsi="仿宋_GB2312" w:eastAsia="仿宋_GB2312"/>
          <w:b w:val="0"/>
          <w:sz w:val="32"/>
          <w:lang w:val="en-US" w:eastAsia="zh-CN"/>
        </w:rPr>
        <w:t>新增退休人员较上年减少，导致</w:t>
      </w:r>
      <w:r>
        <w:rPr>
          <w:rFonts w:ascii="仿宋_GB2312" w:hAnsi="仿宋_GB2312" w:eastAsia="仿宋_GB2312"/>
          <w:b w:val="0"/>
          <w:sz w:val="32"/>
        </w:rPr>
        <w:t>职业年金缴费支出</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61E6D9AE">
      <w:pPr>
        <w:spacing w:line="580" w:lineRule="exact"/>
        <w:ind w:firstLine="640"/>
        <w:jc w:val="both"/>
      </w:pPr>
      <w:r>
        <w:rPr>
          <w:rFonts w:ascii="仿宋_GB2312" w:hAnsi="仿宋_GB2312" w:eastAsia="仿宋_GB2312"/>
          <w:b w:val="0"/>
          <w:sz w:val="32"/>
        </w:rPr>
        <w:t>8.卫生健康支出(类)行政事业单位医疗(款)行政单位医疗(项):支出决算数为10.08万元，比上年决算增加4.37万元，增长76.53%,主要原因是：本年在职人员工资基数调增，医疗缴费基数上涨，相应支出增加。</w:t>
      </w:r>
    </w:p>
    <w:p w14:paraId="00A5A1A2">
      <w:pPr>
        <w:spacing w:line="580" w:lineRule="exact"/>
        <w:ind w:firstLine="640"/>
        <w:jc w:val="both"/>
      </w:pPr>
      <w:r>
        <w:rPr>
          <w:rFonts w:ascii="仿宋_GB2312" w:hAnsi="仿宋_GB2312" w:eastAsia="仿宋_GB2312"/>
          <w:b w:val="0"/>
          <w:sz w:val="32"/>
        </w:rPr>
        <w:t>9.卫生健康支出(类)行政事业单位医疗(款)公务员医疗补助(项):支出决算数为1.66万元，比上年决算增加0.54万元，增长48.21%,主要原因是：本年在职人员工资基数调增，公务员医疗补助缴费基数上涨，相应支出增加。</w:t>
      </w:r>
    </w:p>
    <w:p w14:paraId="2A5669C2">
      <w:pPr>
        <w:spacing w:line="580" w:lineRule="exact"/>
        <w:ind w:firstLine="640"/>
        <w:jc w:val="both"/>
      </w:pPr>
      <w:r>
        <w:rPr>
          <w:rFonts w:ascii="仿宋_GB2312" w:hAnsi="仿宋_GB2312" w:eastAsia="仿宋_GB2312"/>
          <w:b w:val="0"/>
          <w:sz w:val="32"/>
        </w:rPr>
        <w:t>10.住房保障支出(类)住房改革支出(款)住房公积金(项):支出决算数为18.60万元，比上年决算增加8.67万元，增长87.31%,主要原因是：本年在职人员工资基数调增，住房公积金缴费基数上涨，相应支出增加。</w:t>
      </w:r>
    </w:p>
    <w:p w14:paraId="0CBA7B9B">
      <w:pPr>
        <w:spacing w:line="640" w:lineRule="exact"/>
        <w:ind w:firstLine="640"/>
        <w:jc w:val="both"/>
        <w:outlineLvl w:val="2"/>
      </w:pPr>
      <w:r>
        <w:rPr>
          <w:rFonts w:ascii="黑体" w:hAnsi="黑体" w:eastAsia="黑体"/>
          <w:sz w:val="32"/>
        </w:rPr>
        <w:t>六、一般公共预算财政拨款基本支出决算情况说明</w:t>
      </w:r>
    </w:p>
    <w:p w14:paraId="6715DB04">
      <w:pPr>
        <w:spacing w:line="580" w:lineRule="exact"/>
        <w:ind w:firstLine="640"/>
        <w:jc w:val="both"/>
      </w:pPr>
      <w:r>
        <w:rPr>
          <w:rFonts w:ascii="仿宋_GB2312" w:hAnsi="仿宋_GB2312" w:eastAsia="仿宋_GB2312"/>
          <w:b w:val="0"/>
          <w:sz w:val="32"/>
        </w:rPr>
        <w:t>2024年度一般公共预算财政拨款基本支出235.60万元，其中：</w:t>
      </w:r>
      <w:r>
        <w:rPr>
          <w:rFonts w:ascii="仿宋_GB2312" w:hAnsi="仿宋_GB2312" w:eastAsia="仿宋_GB2312"/>
          <w:b/>
          <w:sz w:val="32"/>
        </w:rPr>
        <w:t>人员经费230.32万元，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包括：基本工资、津贴补贴、奖金、绩效工资、机关事业单位基本养老保险缴费、职工基本医疗保险缴费、公务员医疗补助缴费、其他社会保障缴费、住房公积金、退休费、奖励金。</w:t>
      </w:r>
    </w:p>
    <w:p w14:paraId="616E7FCB">
      <w:pPr>
        <w:spacing w:line="580" w:lineRule="exact"/>
        <w:ind w:firstLine="640"/>
        <w:jc w:val="both"/>
      </w:pPr>
      <w:r>
        <w:rPr>
          <w:rFonts w:ascii="仿宋_GB2312" w:hAnsi="仿宋_GB2312" w:eastAsia="仿宋_GB2312"/>
          <w:b/>
          <w:sz w:val="32"/>
        </w:rPr>
        <w:t>公用经费5.27万元，</w:t>
      </w:r>
      <w:r>
        <w:rPr>
          <w:rFonts w:ascii="仿宋_GB2312" w:hAnsi="仿宋_GB2312" w:eastAsia="仿宋_GB2312"/>
          <w:b w:val="0"/>
          <w:sz w:val="32"/>
        </w:rPr>
        <w:t>包括：办公费、水费、电费、取暖费、委托业务费、公务用车运行维护费。</w:t>
      </w:r>
    </w:p>
    <w:p w14:paraId="4AC07BEA">
      <w:pPr>
        <w:spacing w:line="640" w:lineRule="exact"/>
        <w:ind w:firstLine="640"/>
        <w:jc w:val="both"/>
        <w:outlineLvl w:val="2"/>
      </w:pPr>
      <w:r>
        <w:rPr>
          <w:rFonts w:ascii="黑体" w:hAnsi="黑体" w:eastAsia="黑体"/>
          <w:sz w:val="32"/>
        </w:rPr>
        <w:t>七、政府性基金预算财政拨款收入支出决算情况说明</w:t>
      </w:r>
    </w:p>
    <w:p w14:paraId="66385FD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E0BC5D1">
      <w:pPr>
        <w:spacing w:line="640" w:lineRule="exact"/>
        <w:ind w:firstLine="640"/>
        <w:jc w:val="both"/>
        <w:outlineLvl w:val="2"/>
      </w:pPr>
      <w:r>
        <w:rPr>
          <w:rFonts w:ascii="黑体" w:hAnsi="黑体" w:eastAsia="黑体"/>
          <w:sz w:val="32"/>
        </w:rPr>
        <w:t>八、国有资本经营预算财政拨款收入支出决算情况说明</w:t>
      </w:r>
    </w:p>
    <w:p w14:paraId="12F1BA6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FF33E8">
      <w:pPr>
        <w:spacing w:line="640" w:lineRule="exact"/>
        <w:ind w:firstLine="640"/>
        <w:jc w:val="both"/>
        <w:outlineLvl w:val="2"/>
      </w:pPr>
      <w:r>
        <w:rPr>
          <w:rFonts w:ascii="黑体" w:hAnsi="黑体" w:eastAsia="黑体"/>
          <w:sz w:val="32"/>
        </w:rPr>
        <w:t>九、财政拨款“三公”经费支出决算情况说明</w:t>
      </w:r>
    </w:p>
    <w:p w14:paraId="7A140F39">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1.42万元，占100.00%，比上年增加0.00万元，增长0.00%，主要原因是：本单位公务用车运行维护费与上年一致无变化。公务接待费支出0.00万元，占0.00%，比上年增加0.00万元，增长0.00%，主要原因是：2023年与2024年均未安排公务接待费支出。</w:t>
      </w:r>
    </w:p>
    <w:p w14:paraId="2C0B5F68">
      <w:pPr>
        <w:spacing w:line="580" w:lineRule="exact"/>
        <w:ind w:firstLine="640"/>
        <w:jc w:val="both"/>
      </w:pPr>
      <w:r>
        <w:rPr>
          <w:rFonts w:ascii="仿宋_GB2312" w:hAnsi="仿宋_GB2312" w:eastAsia="仿宋_GB2312"/>
          <w:b/>
          <w:sz w:val="32"/>
        </w:rPr>
        <w:t>具体情况如下：</w:t>
      </w:r>
    </w:p>
    <w:p w14:paraId="6C2449A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64B764">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380D3CB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F172FE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314A7DC4">
      <w:pPr>
        <w:spacing w:line="640" w:lineRule="exact"/>
        <w:ind w:firstLine="640"/>
        <w:jc w:val="both"/>
        <w:outlineLvl w:val="2"/>
      </w:pPr>
      <w:r>
        <w:rPr>
          <w:rFonts w:ascii="黑体" w:hAnsi="黑体" w:eastAsia="黑体"/>
          <w:sz w:val="32"/>
        </w:rPr>
        <w:t>十、其他重要事项的情况说明</w:t>
      </w:r>
    </w:p>
    <w:p w14:paraId="70B58F13">
      <w:pPr>
        <w:spacing w:line="640" w:lineRule="exact"/>
        <w:ind w:firstLine="640"/>
        <w:jc w:val="both"/>
        <w:outlineLvl w:val="3"/>
      </w:pPr>
      <w:r>
        <w:rPr>
          <w:rFonts w:ascii="楷体_GB2312" w:hAnsi="楷体_GB2312" w:eastAsia="楷体_GB2312"/>
          <w:b/>
          <w:sz w:val="32"/>
        </w:rPr>
        <w:t>（一）机关运行经费及公用经费支出情况</w:t>
      </w:r>
    </w:p>
    <w:p w14:paraId="318CB3A3">
      <w:pPr>
        <w:spacing w:line="580" w:lineRule="exact"/>
        <w:ind w:firstLine="640"/>
        <w:jc w:val="both"/>
      </w:pPr>
      <w:r>
        <w:rPr>
          <w:rFonts w:ascii="仿宋_GB2312" w:hAnsi="仿宋_GB2312" w:eastAsia="仿宋_GB2312"/>
          <w:b w:val="0"/>
          <w:sz w:val="32"/>
        </w:rPr>
        <w:t>2024年度叶城县信访局（行政单位和参照公务员法管理事业单位）机关运行经费支出5.27万元，比上年减少8.61万元，下降62.03%，主要原因是：本年办公费、邮电费减少，导致公用经费减少。</w:t>
      </w:r>
    </w:p>
    <w:p w14:paraId="2B0A874A">
      <w:pPr>
        <w:spacing w:line="640" w:lineRule="exact"/>
        <w:ind w:firstLine="640"/>
        <w:jc w:val="both"/>
        <w:outlineLvl w:val="3"/>
      </w:pPr>
      <w:r>
        <w:rPr>
          <w:rFonts w:ascii="楷体_GB2312" w:hAnsi="楷体_GB2312" w:eastAsia="楷体_GB2312"/>
          <w:b/>
          <w:sz w:val="32"/>
        </w:rPr>
        <w:t>（二）政府采购情况</w:t>
      </w:r>
    </w:p>
    <w:p w14:paraId="41460B68">
      <w:pPr>
        <w:spacing w:line="580" w:lineRule="exact"/>
        <w:ind w:firstLine="640"/>
        <w:jc w:val="both"/>
      </w:pPr>
      <w:r>
        <w:rPr>
          <w:rFonts w:ascii="仿宋_GB2312" w:hAnsi="仿宋_GB2312" w:eastAsia="仿宋_GB2312"/>
          <w:b w:val="0"/>
          <w:sz w:val="32"/>
        </w:rPr>
        <w:t>2024年度政府采购支出总额14.98万元，其中：政府采购货物支出3.66万元、政府采购工程支出8.69万元、政府采购服务支出2.64万元。</w:t>
      </w:r>
    </w:p>
    <w:p w14:paraId="3B4115A9">
      <w:pPr>
        <w:spacing w:line="580" w:lineRule="exact"/>
        <w:ind w:firstLine="640"/>
        <w:jc w:val="both"/>
      </w:pPr>
      <w:r>
        <w:rPr>
          <w:rFonts w:ascii="仿宋_GB2312" w:hAnsi="仿宋_GB2312" w:eastAsia="仿宋_GB2312"/>
          <w:b w:val="0"/>
          <w:sz w:val="32"/>
        </w:rPr>
        <w:t>授予中小企业合同金额12.25万元，占政府采购支出总额的81.78%，其中：授予小微企业合同金额12.10万元，占政府采购支出总额的80.77%。</w:t>
      </w:r>
    </w:p>
    <w:p w14:paraId="5B67A063">
      <w:pPr>
        <w:spacing w:line="640" w:lineRule="exact"/>
        <w:ind w:firstLine="640"/>
        <w:jc w:val="both"/>
        <w:outlineLvl w:val="3"/>
      </w:pPr>
      <w:r>
        <w:rPr>
          <w:rFonts w:ascii="楷体_GB2312" w:hAnsi="楷体_GB2312" w:eastAsia="楷体_GB2312"/>
          <w:b/>
          <w:sz w:val="32"/>
        </w:rPr>
        <w:t>（三）国有资产占用情况说明</w:t>
      </w:r>
    </w:p>
    <w:p w14:paraId="5B7EF05E">
      <w:pPr>
        <w:spacing w:line="580" w:lineRule="exact"/>
        <w:ind w:firstLine="640"/>
        <w:jc w:val="both"/>
      </w:pPr>
      <w:r>
        <w:rPr>
          <w:rFonts w:ascii="仿宋_GB2312" w:hAnsi="仿宋_GB2312" w:eastAsia="仿宋_GB2312"/>
          <w:b w:val="0"/>
          <w:sz w:val="32"/>
        </w:rPr>
        <w:t>截至2024年12月31日，房屋405.00平方米，价值32.09万元。车辆1辆，价值11.39万元，其中：副部（省）级及以上领导用车0辆、主要负责人用车0辆、机要通信用车0辆、应急保障用车0辆、执法执勤用车0辆、特种专业技术用车0辆、离退休干部服务用车0辆、其他用车1辆，其他用车主要是：用于开展信访业务的公务用车。单价100万元（含）以上设备（不含车辆）0台（套）。</w:t>
      </w:r>
    </w:p>
    <w:p w14:paraId="4CF74EDB">
      <w:pPr>
        <w:spacing w:line="640" w:lineRule="exact"/>
        <w:ind w:firstLine="640"/>
        <w:jc w:val="both"/>
        <w:outlineLvl w:val="2"/>
      </w:pPr>
      <w:r>
        <w:rPr>
          <w:rFonts w:ascii="黑体" w:hAnsi="黑体" w:eastAsia="黑体"/>
          <w:sz w:val="32"/>
        </w:rPr>
        <w:t>十一、预算绩效的情况说明</w:t>
      </w:r>
    </w:p>
    <w:p w14:paraId="18A9559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549.34万元，实际执行总额549.34万元；预算绩效评价项目1个，全年预算数26.62万元，全年执行数26.62万元。预算绩效管理取得的成效：一是制定相关的规章制度，二是抓好日常管理及支出，严格执行资金管理办法和财政资金管理制度，按照《叶城县信访局2024年办公经费专项资金项目实施方案》，项目进度严格执行，稳步推进，并对各项指标和指标值的设定要</w:t>
      </w:r>
      <w:r>
        <w:rPr>
          <w:rFonts w:hint="eastAsia" w:ascii="仿宋_GB2312" w:hAnsi="仿宋_GB2312" w:eastAsia="仿宋_GB2312"/>
          <w:b w:val="0"/>
          <w:sz w:val="32"/>
          <w:lang w:eastAsia="zh-CN"/>
        </w:rPr>
        <w:t>进一步</w:t>
      </w:r>
      <w:r>
        <w:rPr>
          <w:rFonts w:ascii="仿宋_GB2312" w:hAnsi="仿宋_GB2312" w:eastAsia="仿宋_GB2312"/>
          <w:b w:val="0"/>
          <w:sz w:val="32"/>
        </w:rPr>
        <w:t>优化、完善。通过对每笔资金的细致化管理来保障资金使用的合规、合法化，并据此分析各类资金支出产生的效益，使本单位的绩效工作上一个台阶。发现的问题及原因：一是年度绩效目标及重点工作任务细化量化程度不够，绩效目标多为定性描述，量化不充分，一定程度上影响客观评价；二是内控制度在健全性方面仍然存在不足，部分绩效信息收集和汇总分析不充分，内部控制信息系统未实现互联互通，内控制度有待进一步健全。三是对办公经费的</w:t>
      </w:r>
      <w:r>
        <w:rPr>
          <w:rFonts w:hint="eastAsia" w:ascii="仿宋_GB2312" w:hAnsi="仿宋_GB2312" w:eastAsia="仿宋_GB2312"/>
          <w:b w:val="0"/>
          <w:sz w:val="32"/>
          <w:lang w:eastAsia="zh-CN"/>
        </w:rPr>
        <w:t>各</w:t>
      </w:r>
      <w:r>
        <w:rPr>
          <w:rFonts w:ascii="仿宋_GB2312" w:hAnsi="仿宋_GB2312" w:eastAsia="仿宋_GB2312"/>
          <w:b w:val="0"/>
          <w:sz w:val="32"/>
        </w:rPr>
        <w:t>项目支出预估不够精准，导致一些</w:t>
      </w:r>
      <w:r>
        <w:rPr>
          <w:rFonts w:hint="eastAsia" w:ascii="仿宋_GB2312" w:hAnsi="仿宋_GB2312" w:eastAsia="仿宋_GB2312"/>
          <w:b w:val="0"/>
          <w:sz w:val="32"/>
          <w:lang w:eastAsia="zh-CN"/>
        </w:rPr>
        <w:t>费用</w:t>
      </w:r>
      <w:r>
        <w:rPr>
          <w:rFonts w:ascii="仿宋_GB2312" w:hAnsi="仿宋_GB2312" w:eastAsia="仿宋_GB2312"/>
          <w:b w:val="0"/>
          <w:sz w:val="32"/>
        </w:rPr>
        <w:t>有结余，影响资金使用效率。下一步改进措施：一是进一步提高认识。提高对预算绩效管理的认识，充分理解绩效评价指标体系，强化部门项目选择与部门职责的关联性，依据单位职责和年度工作重点，更加科学合理</w:t>
      </w:r>
      <w:r>
        <w:rPr>
          <w:rFonts w:hint="eastAsia" w:ascii="仿宋_GB2312" w:hAnsi="仿宋_GB2312" w:eastAsia="仿宋_GB2312"/>
          <w:b w:val="0"/>
          <w:sz w:val="32"/>
          <w:lang w:eastAsia="zh-CN"/>
        </w:rPr>
        <w:t>地</w:t>
      </w:r>
      <w:r>
        <w:rPr>
          <w:rFonts w:ascii="仿宋_GB2312" w:hAnsi="仿宋_GB2312" w:eastAsia="仿宋_GB2312"/>
          <w:b w:val="0"/>
          <w:sz w:val="32"/>
        </w:rPr>
        <w:t>确定部门绩效目标。二是优化绩效目标。以定量指标为主，定性指标为辅，从数量、质量、时效等维度细化设置绩效目标，更新优化绩效目标，以科学合理的目标要求，推进工作落实，充分发挥绩效目标的引导和评价作用；三是完善内部控制建设。全面梳理预算支出，优化财务管理业务流程，做到全覆盖。四是明确分类办公经费，对每个项目再进一步细分，按用途支付资金。具体附整体支出绩效自评表，项目支出绩效自评表和评价报告。</w:t>
      </w:r>
    </w:p>
    <w:p w14:paraId="12D2807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214"/>
        <w:gridCol w:w="752"/>
        <w:gridCol w:w="983"/>
        <w:gridCol w:w="983"/>
        <w:gridCol w:w="983"/>
        <w:gridCol w:w="983"/>
        <w:gridCol w:w="983"/>
      </w:tblGrid>
      <w:tr w14:paraId="450DA767">
        <w:tblPrEx>
          <w:tblCellMar>
            <w:top w:w="0" w:type="dxa"/>
            <w:left w:w="108" w:type="dxa"/>
            <w:bottom w:w="0" w:type="dxa"/>
            <w:right w:w="108" w:type="dxa"/>
          </w:tblCellMar>
        </w:tblPrEx>
        <w:tc>
          <w:tcPr>
            <w:tcW w:w="8847" w:type="dxa"/>
            <w:gridSpan w:val="9"/>
            <w:vAlign w:val="center"/>
          </w:tcPr>
          <w:p w14:paraId="3400D180">
            <w:pPr>
              <w:jc w:val="center"/>
            </w:pPr>
            <w:r>
              <w:rPr>
                <w:rFonts w:ascii="宋体" w:hAnsi="宋体" w:eastAsia="宋体"/>
                <w:sz w:val="24"/>
              </w:rPr>
              <w:t>单位整体支出绩效自评表</w:t>
            </w:r>
          </w:p>
        </w:tc>
      </w:tr>
      <w:tr w14:paraId="0677A8C8">
        <w:tblPrEx>
          <w:tblCellMar>
            <w:top w:w="0" w:type="dxa"/>
            <w:left w:w="108" w:type="dxa"/>
            <w:bottom w:w="0" w:type="dxa"/>
            <w:right w:w="108" w:type="dxa"/>
          </w:tblCellMar>
        </w:tblPrEx>
        <w:tc>
          <w:tcPr>
            <w:tcW w:w="8847" w:type="dxa"/>
            <w:gridSpan w:val="9"/>
            <w:vAlign w:val="center"/>
          </w:tcPr>
          <w:p w14:paraId="64FA20A3">
            <w:pPr>
              <w:jc w:val="center"/>
            </w:pPr>
            <w:r>
              <w:rPr>
                <w:rFonts w:ascii="宋体" w:hAnsi="宋体" w:eastAsia="宋体"/>
                <w:sz w:val="24"/>
              </w:rPr>
              <w:t>（2024年度）</w:t>
            </w:r>
          </w:p>
        </w:tc>
      </w:tr>
      <w:tr w14:paraId="7AC97E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29F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3F3646">
            <w:pPr>
              <w:jc w:val="center"/>
            </w:pPr>
            <w:r>
              <w:rPr>
                <w:rFonts w:ascii="宋体" w:hAnsi="宋体" w:eastAsia="宋体"/>
                <w:sz w:val="16"/>
              </w:rPr>
              <w:t>叶城县信访局</w:t>
            </w:r>
          </w:p>
        </w:tc>
      </w:tr>
      <w:tr w14:paraId="04A869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D349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3F40E">
            <w:pPr>
              <w:jc w:val="center"/>
            </w:pPr>
            <w:r>
              <w:rPr>
                <w:rFonts w:ascii="宋体" w:hAnsi="宋体" w:eastAsia="宋体"/>
                <w:sz w:val="16"/>
              </w:rPr>
              <w:t>资金来源</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3ACD4E6D">
            <w:pPr>
              <w:jc w:val="center"/>
            </w:pPr>
            <w:r>
              <w:rPr>
                <w:rFonts w:ascii="宋体" w:hAnsi="宋体" w:eastAsia="宋体"/>
                <w:sz w:val="16"/>
              </w:rPr>
              <w:t>年初预算数</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3D4C9A14">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71D7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4F7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BAC1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9E0F5">
            <w:pPr>
              <w:jc w:val="center"/>
            </w:pPr>
            <w:r>
              <w:rPr>
                <w:rFonts w:ascii="宋体" w:hAnsi="宋体" w:eastAsia="宋体"/>
                <w:sz w:val="16"/>
              </w:rPr>
              <w:t>得分</w:t>
            </w:r>
          </w:p>
        </w:tc>
      </w:tr>
      <w:tr w14:paraId="6ACFF2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AFD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06E76">
            <w:pPr>
              <w:jc w:val="center"/>
            </w:pPr>
            <w:r>
              <w:rPr>
                <w:rFonts w:ascii="宋体" w:hAnsi="宋体" w:eastAsia="宋体"/>
                <w:sz w:val="16"/>
              </w:rPr>
              <w:t>年度总资金：</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423FAB9D">
            <w:pPr>
              <w:jc w:val="center"/>
            </w:pPr>
            <w:r>
              <w:rPr>
                <w:rFonts w:ascii="宋体" w:hAnsi="宋体" w:eastAsia="宋体"/>
                <w:sz w:val="16"/>
              </w:rPr>
              <w:t>200.23</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747FD37E">
            <w:pPr>
              <w:jc w:val="center"/>
            </w:pPr>
            <w:r>
              <w:rPr>
                <w:rFonts w:ascii="宋体" w:hAnsi="宋体" w:eastAsia="宋体"/>
                <w:sz w:val="16"/>
              </w:rPr>
              <w:t>549.34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4E01">
            <w:pPr>
              <w:jc w:val="center"/>
            </w:pPr>
            <w:r>
              <w:rPr>
                <w:rFonts w:ascii="宋体" w:hAnsi="宋体" w:eastAsia="宋体"/>
                <w:sz w:val="16"/>
              </w:rPr>
              <w:t>549.34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1CA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9012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82BF5">
            <w:pPr>
              <w:jc w:val="center"/>
            </w:pPr>
            <w:r>
              <w:rPr>
                <w:rFonts w:ascii="宋体" w:hAnsi="宋体" w:eastAsia="宋体"/>
                <w:sz w:val="16"/>
              </w:rPr>
              <w:t>10</w:t>
            </w:r>
          </w:p>
        </w:tc>
      </w:tr>
      <w:tr w14:paraId="7A5C8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51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CA2A5">
            <w:pPr>
              <w:jc w:val="center"/>
            </w:pPr>
            <w:r>
              <w:rPr>
                <w:rFonts w:ascii="宋体" w:hAnsi="宋体" w:eastAsia="宋体"/>
                <w:sz w:val="16"/>
              </w:rPr>
              <w:t>上级资金：</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3B0040AF">
            <w:pPr>
              <w:jc w:val="center"/>
            </w:pPr>
            <w:r>
              <w:rPr>
                <w:rFonts w:ascii="宋体" w:hAnsi="宋体" w:eastAsia="宋体"/>
                <w:sz w:val="16"/>
              </w:rPr>
              <w:t>0.00</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5C1213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6D9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756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7B29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5C46C">
            <w:pPr>
              <w:jc w:val="center"/>
            </w:pPr>
            <w:r>
              <w:rPr>
                <w:rFonts w:ascii="宋体" w:hAnsi="宋体" w:eastAsia="宋体"/>
                <w:sz w:val="16"/>
              </w:rPr>
              <w:t>—</w:t>
            </w:r>
          </w:p>
        </w:tc>
      </w:tr>
      <w:tr w14:paraId="5EE2C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064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3BBB2">
            <w:pPr>
              <w:jc w:val="center"/>
            </w:pPr>
            <w:r>
              <w:rPr>
                <w:rFonts w:ascii="宋体" w:hAnsi="宋体" w:eastAsia="宋体"/>
                <w:sz w:val="16"/>
              </w:rPr>
              <w:t>本级资金：</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3FF01F61">
            <w:pPr>
              <w:jc w:val="center"/>
            </w:pPr>
            <w:r>
              <w:rPr>
                <w:rFonts w:ascii="宋体" w:hAnsi="宋体" w:eastAsia="宋体"/>
                <w:sz w:val="16"/>
              </w:rPr>
              <w:t>200.23</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494F040D">
            <w:pPr>
              <w:jc w:val="center"/>
            </w:pPr>
            <w:r>
              <w:rPr>
                <w:rFonts w:ascii="宋体" w:hAnsi="宋体" w:eastAsia="宋体"/>
                <w:sz w:val="16"/>
              </w:rPr>
              <w:t>549.34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D16A8">
            <w:pPr>
              <w:jc w:val="center"/>
            </w:pPr>
            <w:r>
              <w:rPr>
                <w:rFonts w:ascii="宋体" w:hAnsi="宋体" w:eastAsia="宋体"/>
                <w:sz w:val="16"/>
              </w:rPr>
              <w:t>549.34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421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2769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E085">
            <w:pPr>
              <w:jc w:val="center"/>
            </w:pPr>
            <w:r>
              <w:rPr>
                <w:rFonts w:ascii="宋体" w:hAnsi="宋体" w:eastAsia="宋体"/>
                <w:sz w:val="16"/>
              </w:rPr>
              <w:t>—</w:t>
            </w:r>
          </w:p>
        </w:tc>
      </w:tr>
      <w:tr w14:paraId="063C61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7C2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F2052">
            <w:pPr>
              <w:jc w:val="center"/>
            </w:pPr>
            <w:r>
              <w:rPr>
                <w:rFonts w:ascii="宋体" w:hAnsi="宋体" w:eastAsia="宋体"/>
                <w:sz w:val="16"/>
              </w:rPr>
              <w:t>其他资金：</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06BBD4B9">
            <w:pPr>
              <w:jc w:val="center"/>
            </w:pPr>
            <w:r>
              <w:rPr>
                <w:rFonts w:ascii="宋体" w:hAnsi="宋体" w:eastAsia="宋体"/>
                <w:sz w:val="16"/>
              </w:rPr>
              <w:t>0.00</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2495E5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4EA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742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BC38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B93F">
            <w:pPr>
              <w:jc w:val="center"/>
            </w:pPr>
            <w:r>
              <w:rPr>
                <w:rFonts w:ascii="宋体" w:hAnsi="宋体" w:eastAsia="宋体"/>
                <w:sz w:val="16"/>
              </w:rPr>
              <w:t>—</w:t>
            </w:r>
          </w:p>
        </w:tc>
      </w:tr>
      <w:tr w14:paraId="3733A2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515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AF859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3BA74">
            <w:pPr>
              <w:jc w:val="center"/>
            </w:pPr>
            <w:r>
              <w:rPr>
                <w:rFonts w:ascii="宋体" w:hAnsi="宋体" w:eastAsia="宋体"/>
                <w:sz w:val="16"/>
              </w:rPr>
              <w:t>实际完成情况</w:t>
            </w:r>
          </w:p>
        </w:tc>
      </w:tr>
      <w:tr w14:paraId="1DAE92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444E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90A08">
            <w:pPr>
              <w:jc w:val="both"/>
            </w:pPr>
            <w:r>
              <w:rPr>
                <w:rFonts w:ascii="宋体" w:hAnsi="宋体" w:eastAsia="宋体"/>
                <w:sz w:val="16"/>
              </w:rPr>
              <w:t>贯彻落实中央，自治区，地区和县委，人民政府和上级业务主管部门信访工作的方针政策和法规。负责接待群众来访，有针对性地做好和组织实施好有关部门的联合接待，积极为上访群众解难，定期</w:t>
            </w:r>
            <w:r>
              <w:rPr>
                <w:rFonts w:hint="eastAsia" w:ascii="宋体" w:hAnsi="宋体"/>
                <w:sz w:val="16"/>
                <w:lang w:eastAsia="zh-CN"/>
              </w:rPr>
              <w:t>向</w:t>
            </w:r>
            <w:r>
              <w:rPr>
                <w:rFonts w:ascii="宋体" w:hAnsi="宋体" w:eastAsia="宋体"/>
                <w:sz w:val="16"/>
              </w:rPr>
              <w:t>县委和县人民政府领导汇报和反映来访情况，有针对性</w:t>
            </w:r>
            <w:r>
              <w:rPr>
                <w:rFonts w:hint="eastAsia" w:ascii="宋体" w:hAnsi="宋体"/>
                <w:sz w:val="16"/>
                <w:lang w:eastAsia="zh-CN"/>
              </w:rPr>
              <w:t>地</w:t>
            </w:r>
            <w:r>
              <w:rPr>
                <w:rFonts w:ascii="宋体" w:hAnsi="宋体" w:eastAsia="宋体"/>
                <w:sz w:val="16"/>
              </w:rPr>
              <w:t>提出重要建议，意见和问题。认真受理和处理群众来信，抓好信件和交办和督促工作，定期向县委和人民政府领导汇报和反映来信和办理情况，积极提出来信办理中的重要建议，意见和问题。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710407">
            <w:pPr>
              <w:jc w:val="both"/>
            </w:pPr>
            <w:r>
              <w:rPr>
                <w:rFonts w:hint="eastAsia" w:ascii="宋体" w:hAnsi="宋体"/>
                <w:sz w:val="16"/>
                <w:lang w:eastAsia="zh-CN"/>
              </w:rPr>
              <w:t>截至</w:t>
            </w:r>
            <w:r>
              <w:rPr>
                <w:rFonts w:ascii="宋体" w:hAnsi="宋体" w:eastAsia="宋体"/>
                <w:sz w:val="16"/>
              </w:rPr>
              <w:t>2024年12月31日，本单位已完成贯彻落实中央，自治区，地区和县委，人民政府和上级业务主管部门信访工作的方针政策和法规。负责接待群众来访，有针对性地做好和组织实施好有关部门的联合接待，积极为上访群众解难，定期</w:t>
            </w:r>
            <w:r>
              <w:rPr>
                <w:rFonts w:hint="eastAsia" w:ascii="宋体" w:hAnsi="宋体"/>
                <w:sz w:val="16"/>
                <w:lang w:eastAsia="zh-CN"/>
              </w:rPr>
              <w:t>向</w:t>
            </w:r>
            <w:r>
              <w:rPr>
                <w:rFonts w:ascii="宋体" w:hAnsi="宋体" w:eastAsia="宋体"/>
                <w:sz w:val="16"/>
              </w:rPr>
              <w:t>县委和县人民政府领导汇报和反映来访情况，有针对性</w:t>
            </w:r>
            <w:r>
              <w:rPr>
                <w:rFonts w:hint="eastAsia" w:ascii="宋体" w:hAnsi="宋体"/>
                <w:sz w:val="16"/>
                <w:lang w:eastAsia="zh-CN"/>
              </w:rPr>
              <w:t>地</w:t>
            </w:r>
            <w:r>
              <w:rPr>
                <w:rFonts w:ascii="宋体" w:hAnsi="宋体" w:eastAsia="宋体"/>
                <w:sz w:val="16"/>
              </w:rPr>
              <w:t>提出重要建议，意见和问题。认真受理和处理群众来信，抓好信件和交办和督促工作，定期向县委和人民政府领导汇报和反映来信和办理情况，积极提出来信办理中的重要建议，意见和问题。接待群众来访月数12月、矛盾纠纷调处化解率100%、有效畅通信访渠道，规范信访秩序100%、信访条例宣传覆盖率100%、办理网上信访业务及时率100%。</w:t>
            </w:r>
          </w:p>
        </w:tc>
      </w:tr>
      <w:tr w14:paraId="3D4506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42C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563BA">
            <w:pPr>
              <w:jc w:val="center"/>
            </w:pPr>
            <w:r>
              <w:rPr>
                <w:rFonts w:ascii="宋体" w:hAnsi="宋体" w:eastAsia="宋体"/>
                <w:sz w:val="16"/>
              </w:rPr>
              <w:t>二级指标</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7781DB1E">
            <w:pPr>
              <w:jc w:val="center"/>
            </w:pPr>
            <w:r>
              <w:rPr>
                <w:rFonts w:ascii="宋体" w:hAnsi="宋体" w:eastAsia="宋体"/>
                <w:sz w:val="16"/>
              </w:rPr>
              <w:t>三级指标</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1CCC09F9">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2B1E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932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7918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8940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4F12">
            <w:pPr>
              <w:jc w:val="center"/>
            </w:pPr>
            <w:r>
              <w:rPr>
                <w:rFonts w:ascii="宋体" w:hAnsi="宋体" w:eastAsia="宋体"/>
                <w:sz w:val="16"/>
              </w:rPr>
              <w:t>得分</w:t>
            </w:r>
          </w:p>
        </w:tc>
      </w:tr>
      <w:tr w14:paraId="0A454F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F6DCC">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52F35">
            <w:pPr>
              <w:jc w:val="center"/>
            </w:pPr>
            <w:r>
              <w:rPr>
                <w:rFonts w:ascii="宋体" w:hAnsi="宋体" w:eastAsia="宋体"/>
                <w:sz w:val="16"/>
              </w:rPr>
              <w:t>数量指标</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548D8ACB">
            <w:pPr>
              <w:jc w:val="center"/>
            </w:pPr>
            <w:r>
              <w:rPr>
                <w:rFonts w:ascii="宋体" w:hAnsi="宋体" w:eastAsia="宋体"/>
                <w:sz w:val="16"/>
              </w:rPr>
              <w:t>接待群众来访月数</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7C3041AE">
            <w:pPr>
              <w:jc w:val="center"/>
            </w:pPr>
            <w:r>
              <w:rPr>
                <w:rFonts w:ascii="宋体" w:hAnsi="宋体" w:eastAsia="宋体"/>
                <w:sz w:val="16"/>
              </w:rPr>
              <w: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0EE5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171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65C3E">
            <w:pPr>
              <w:jc w:val="center"/>
            </w:pPr>
            <w:r>
              <w:rPr>
                <w:rFonts w:ascii="宋体" w:hAnsi="宋体" w:eastAsia="宋体"/>
                <w:sz w:val="16"/>
              </w:rPr>
              <w:t>12个月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80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D535C">
            <w:pPr>
              <w:jc w:val="center"/>
            </w:pPr>
            <w:r>
              <w:rPr>
                <w:rFonts w:ascii="宋体" w:hAnsi="宋体" w:eastAsia="宋体"/>
                <w:sz w:val="16"/>
              </w:rPr>
              <w:t>20</w:t>
            </w:r>
          </w:p>
        </w:tc>
      </w:tr>
      <w:tr w14:paraId="296DB6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F72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DB798">
            <w:pPr>
              <w:jc w:val="center"/>
            </w:pPr>
            <w:r>
              <w:rPr>
                <w:rFonts w:ascii="宋体" w:hAnsi="宋体" w:eastAsia="宋体"/>
                <w:sz w:val="16"/>
              </w:rPr>
              <w:t>质量指标</w:t>
            </w:r>
          </w:p>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630737C3">
            <w:pPr>
              <w:jc w:val="center"/>
            </w:pPr>
            <w:r>
              <w:rPr>
                <w:rFonts w:ascii="宋体" w:hAnsi="宋体" w:eastAsia="宋体"/>
                <w:sz w:val="16"/>
              </w:rPr>
              <w:t>矛盾纠纷调处化解率</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0250F8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579A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0F3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B46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D7B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C99B">
            <w:pPr>
              <w:jc w:val="center"/>
            </w:pPr>
            <w:r>
              <w:rPr>
                <w:rFonts w:ascii="宋体" w:hAnsi="宋体" w:eastAsia="宋体"/>
                <w:sz w:val="16"/>
              </w:rPr>
              <w:t>20</w:t>
            </w:r>
          </w:p>
        </w:tc>
      </w:tr>
      <w:tr w14:paraId="3560B5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104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A4F11"/>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420B3F61">
            <w:pPr>
              <w:jc w:val="center"/>
            </w:pPr>
            <w:r>
              <w:rPr>
                <w:rFonts w:ascii="宋体" w:hAnsi="宋体" w:eastAsia="宋体"/>
                <w:sz w:val="16"/>
              </w:rPr>
              <w:t>有效畅通信访渠道，规范信访秩序</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352A7C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3EE0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6E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E23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63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8B0FA">
            <w:pPr>
              <w:jc w:val="center"/>
            </w:pPr>
            <w:r>
              <w:rPr>
                <w:rFonts w:ascii="宋体" w:hAnsi="宋体" w:eastAsia="宋体"/>
                <w:sz w:val="16"/>
              </w:rPr>
              <w:t>20</w:t>
            </w:r>
          </w:p>
        </w:tc>
      </w:tr>
      <w:tr w14:paraId="4EC26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6EF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4A192"/>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4F457E77">
            <w:pPr>
              <w:jc w:val="center"/>
            </w:pPr>
            <w:r>
              <w:rPr>
                <w:rFonts w:ascii="宋体" w:hAnsi="宋体" w:eastAsia="宋体"/>
                <w:sz w:val="16"/>
              </w:rPr>
              <w:t>信访条例宣传覆盖率</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6A82C5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398F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9190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DFC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F33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30718">
            <w:pPr>
              <w:jc w:val="center"/>
            </w:pPr>
            <w:r>
              <w:rPr>
                <w:rFonts w:ascii="宋体" w:hAnsi="宋体" w:eastAsia="宋体"/>
                <w:sz w:val="16"/>
              </w:rPr>
              <w:t>15</w:t>
            </w:r>
          </w:p>
        </w:tc>
      </w:tr>
      <w:tr w14:paraId="1B19D5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58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D6E7D"/>
        </w:tc>
        <w:tc>
          <w:tcPr>
            <w:tcW w:w="1214" w:type="dxa"/>
            <w:tcBorders>
              <w:top w:val="single" w:color="auto" w:sz="10" w:space="0"/>
              <w:left w:val="single" w:color="auto" w:sz="10" w:space="0"/>
              <w:bottom w:val="single" w:color="auto" w:sz="10" w:space="0"/>
              <w:right w:val="single" w:color="auto" w:sz="10" w:space="0"/>
              <w:insideV w:val="single" w:sz="10" w:space="0"/>
            </w:tcBorders>
            <w:vAlign w:val="center"/>
          </w:tcPr>
          <w:p w14:paraId="671BE1F7">
            <w:pPr>
              <w:jc w:val="center"/>
            </w:pPr>
            <w:r>
              <w:rPr>
                <w:rFonts w:ascii="宋体" w:hAnsi="宋体" w:eastAsia="宋体"/>
                <w:sz w:val="16"/>
              </w:rPr>
              <w:t>办理网上信访业务及时率</w:t>
            </w:r>
          </w:p>
        </w:tc>
        <w:tc>
          <w:tcPr>
            <w:tcW w:w="752" w:type="dxa"/>
            <w:tcBorders>
              <w:top w:val="single" w:color="auto" w:sz="10" w:space="0"/>
              <w:left w:val="single" w:color="auto" w:sz="10" w:space="0"/>
              <w:bottom w:val="single" w:color="auto" w:sz="10" w:space="0"/>
              <w:right w:val="single" w:color="auto" w:sz="10" w:space="0"/>
              <w:insideV w:val="single" w:sz="10" w:space="0"/>
            </w:tcBorders>
            <w:vAlign w:val="center"/>
          </w:tcPr>
          <w:p w14:paraId="4421BA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AEA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B3B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7A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14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C2ADC">
            <w:pPr>
              <w:jc w:val="center"/>
            </w:pPr>
            <w:r>
              <w:rPr>
                <w:rFonts w:ascii="宋体" w:hAnsi="宋体" w:eastAsia="宋体"/>
                <w:sz w:val="16"/>
              </w:rPr>
              <w:t>15</w:t>
            </w:r>
          </w:p>
        </w:tc>
      </w:tr>
    </w:tbl>
    <w:p w14:paraId="620727F0">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2A2F921A">
        <w:tblPrEx>
          <w:tblCellMar>
            <w:top w:w="0" w:type="dxa"/>
            <w:left w:w="108" w:type="dxa"/>
            <w:bottom w:w="0" w:type="dxa"/>
            <w:right w:w="108" w:type="dxa"/>
          </w:tblCellMar>
        </w:tblPrEx>
        <w:tc>
          <w:tcPr>
            <w:tcW w:w="8848" w:type="dxa"/>
            <w:gridSpan w:val="14"/>
            <w:vAlign w:val="center"/>
          </w:tcPr>
          <w:p w14:paraId="1068FF68">
            <w:pPr>
              <w:jc w:val="center"/>
            </w:pPr>
            <w:r>
              <w:rPr>
                <w:rFonts w:ascii="宋体" w:hAnsi="宋体" w:eastAsia="宋体"/>
                <w:sz w:val="24"/>
              </w:rPr>
              <w:t>项目支出绩效自评表</w:t>
            </w:r>
          </w:p>
        </w:tc>
      </w:tr>
      <w:tr w14:paraId="6969B454">
        <w:tblPrEx>
          <w:tblCellMar>
            <w:top w:w="0" w:type="dxa"/>
            <w:left w:w="108" w:type="dxa"/>
            <w:bottom w:w="0" w:type="dxa"/>
            <w:right w:w="108" w:type="dxa"/>
          </w:tblCellMar>
        </w:tblPrEx>
        <w:tc>
          <w:tcPr>
            <w:tcW w:w="8848" w:type="dxa"/>
            <w:gridSpan w:val="14"/>
            <w:vAlign w:val="center"/>
          </w:tcPr>
          <w:p w14:paraId="7FD48C8A">
            <w:pPr>
              <w:jc w:val="center"/>
            </w:pPr>
            <w:r>
              <w:rPr>
                <w:rFonts w:ascii="宋体" w:hAnsi="宋体" w:eastAsia="宋体"/>
                <w:sz w:val="24"/>
              </w:rPr>
              <w:t>(2024年度)</w:t>
            </w:r>
          </w:p>
        </w:tc>
      </w:tr>
      <w:tr w14:paraId="750D85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D4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18A264">
            <w:pPr>
              <w:jc w:val="center"/>
            </w:pPr>
            <w:r>
              <w:rPr>
                <w:rFonts w:ascii="宋体" w:hAnsi="宋体" w:eastAsia="宋体"/>
                <w:sz w:val="16"/>
              </w:rPr>
              <w:t>叶城县信访局2024年办公经费专项资金项目</w:t>
            </w:r>
          </w:p>
        </w:tc>
      </w:tr>
      <w:tr w14:paraId="65D9C4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39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F58BBF">
            <w:pPr>
              <w:jc w:val="center"/>
            </w:pPr>
            <w:r>
              <w:rPr>
                <w:rFonts w:ascii="宋体" w:hAnsi="宋体" w:eastAsia="宋体"/>
                <w:sz w:val="16"/>
              </w:rPr>
              <w:t>中共叶城县委办公室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672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F04350">
            <w:pPr>
              <w:jc w:val="center"/>
            </w:pPr>
            <w:r>
              <w:rPr>
                <w:rFonts w:ascii="宋体" w:hAnsi="宋体" w:eastAsia="宋体"/>
                <w:sz w:val="16"/>
              </w:rPr>
              <w:t>叶城县信访局</w:t>
            </w:r>
          </w:p>
        </w:tc>
      </w:tr>
      <w:tr w14:paraId="6071B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AAC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E38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D2F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7B2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FDC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0AD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DD5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9608">
            <w:pPr>
              <w:jc w:val="center"/>
            </w:pPr>
            <w:r>
              <w:rPr>
                <w:rFonts w:ascii="宋体" w:hAnsi="宋体" w:eastAsia="宋体"/>
                <w:sz w:val="16"/>
              </w:rPr>
              <w:t>得分</w:t>
            </w:r>
          </w:p>
        </w:tc>
      </w:tr>
      <w:tr w14:paraId="500DC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907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F60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4999">
            <w:pPr>
              <w:jc w:val="center"/>
            </w:pPr>
            <w:r>
              <w:rPr>
                <w:rFonts w:ascii="宋体" w:hAnsi="宋体" w:eastAsia="宋体"/>
                <w:sz w:val="16"/>
              </w:rPr>
              <w:t>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38CAA">
            <w:pPr>
              <w:jc w:val="center"/>
            </w:pPr>
            <w:r>
              <w:rPr>
                <w:rFonts w:ascii="宋体" w:hAnsi="宋体" w:eastAsia="宋体"/>
                <w:sz w:val="16"/>
              </w:rPr>
              <w:t>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07C7D">
            <w:pPr>
              <w:jc w:val="center"/>
            </w:pPr>
            <w:r>
              <w:rPr>
                <w:rFonts w:ascii="宋体" w:hAnsi="宋体" w:eastAsia="宋体"/>
                <w:sz w:val="16"/>
              </w:rPr>
              <w:t>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61C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98DB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C1D3">
            <w:pPr>
              <w:jc w:val="center"/>
            </w:pPr>
            <w:r>
              <w:rPr>
                <w:rFonts w:ascii="宋体" w:hAnsi="宋体" w:eastAsia="宋体"/>
                <w:sz w:val="16"/>
              </w:rPr>
              <w:t>10.00分</w:t>
            </w:r>
          </w:p>
        </w:tc>
      </w:tr>
      <w:tr w14:paraId="2EC8B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B6C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5CA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3AD0">
            <w:pPr>
              <w:jc w:val="center"/>
            </w:pPr>
            <w:r>
              <w:rPr>
                <w:rFonts w:ascii="宋体" w:hAnsi="宋体" w:eastAsia="宋体"/>
                <w:sz w:val="16"/>
              </w:rPr>
              <w:t>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42A6">
            <w:pPr>
              <w:jc w:val="center"/>
            </w:pPr>
            <w:r>
              <w:rPr>
                <w:rFonts w:ascii="宋体" w:hAnsi="宋体" w:eastAsia="宋体"/>
                <w:sz w:val="16"/>
              </w:rPr>
              <w:t>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D08D6">
            <w:pPr>
              <w:jc w:val="center"/>
            </w:pPr>
            <w:r>
              <w:rPr>
                <w:rFonts w:ascii="宋体" w:hAnsi="宋体" w:eastAsia="宋体"/>
                <w:sz w:val="16"/>
              </w:rPr>
              <w:t>26.62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98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9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9A8E">
            <w:pPr>
              <w:jc w:val="center"/>
            </w:pPr>
            <w:r>
              <w:rPr>
                <w:rFonts w:ascii="宋体" w:hAnsi="宋体" w:eastAsia="宋体"/>
                <w:sz w:val="16"/>
              </w:rPr>
              <w:t>—</w:t>
            </w:r>
          </w:p>
        </w:tc>
      </w:tr>
      <w:tr w14:paraId="2ED89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87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CC2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B5E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74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A08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B9F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7CA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118F2">
            <w:pPr>
              <w:jc w:val="center"/>
            </w:pPr>
            <w:r>
              <w:rPr>
                <w:rFonts w:ascii="宋体" w:hAnsi="宋体" w:eastAsia="宋体"/>
                <w:sz w:val="16"/>
              </w:rPr>
              <w:t>—</w:t>
            </w:r>
          </w:p>
        </w:tc>
      </w:tr>
      <w:tr w14:paraId="081EF9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697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552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7584A9">
            <w:pPr>
              <w:jc w:val="center"/>
            </w:pPr>
            <w:r>
              <w:rPr>
                <w:rFonts w:ascii="宋体" w:hAnsi="宋体" w:eastAsia="宋体"/>
                <w:sz w:val="16"/>
              </w:rPr>
              <w:t>实际完成情况</w:t>
            </w:r>
          </w:p>
        </w:tc>
      </w:tr>
      <w:tr w14:paraId="2A32D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293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F67838">
            <w:pPr>
              <w:jc w:val="both"/>
            </w:pPr>
            <w:r>
              <w:rPr>
                <w:rFonts w:ascii="宋体" w:hAnsi="宋体" w:eastAsia="宋体"/>
                <w:sz w:val="16"/>
              </w:rPr>
              <w:t>项目总资金26.62万元。主要用于本单位办公运转，取暖费、差旅费、维修费等。通过项目的实施有效提高办公工作效率，提升服务群众满意度。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846CDD">
            <w:pPr>
              <w:jc w:val="both"/>
            </w:pPr>
            <w:r>
              <w:rPr>
                <w:rFonts w:hint="eastAsia" w:ascii="宋体" w:hAnsi="宋体"/>
                <w:sz w:val="16"/>
                <w:lang w:eastAsia="zh-CN"/>
              </w:rPr>
              <w:t>截至</w:t>
            </w:r>
            <w:r>
              <w:rPr>
                <w:rFonts w:ascii="宋体" w:hAnsi="宋体" w:eastAsia="宋体"/>
                <w:sz w:val="16"/>
              </w:rPr>
              <w:t>2024年12月31日，该项目预算资金26.62万元，到位资金 26.62 万元，已支付 26.62万元，资金支付率100%，用于保障运转办公数量1个、支付本单位办公运转，取暖费、差旅费、维修费等。资金使用合规率100%、资金支付及时率100%、项目的实施有效提高办公工作效率。</w:t>
            </w:r>
            <w:r>
              <w:rPr>
                <w:rFonts w:ascii="宋体" w:hAnsi="宋体" w:eastAsia="宋体"/>
                <w:sz w:val="16"/>
              </w:rPr>
              <w:br w:type="textWrapping"/>
            </w:r>
            <w:r>
              <w:rPr>
                <w:rFonts w:ascii="宋体" w:hAnsi="宋体" w:eastAsia="宋体"/>
                <w:sz w:val="16"/>
              </w:rPr>
              <w:t xml:space="preserve">                            </w:t>
            </w:r>
          </w:p>
        </w:tc>
      </w:tr>
      <w:tr w14:paraId="416076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294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BB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1E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DD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193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29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AB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C5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FC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D2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B7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824B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728D0">
            <w:pPr>
              <w:jc w:val="center"/>
            </w:pPr>
            <w:r>
              <w:rPr>
                <w:rFonts w:ascii="宋体" w:hAnsi="宋体" w:eastAsia="宋体"/>
                <w:sz w:val="16"/>
              </w:rPr>
              <w:t>偏差原因分析及改进措施</w:t>
            </w:r>
          </w:p>
        </w:tc>
      </w:tr>
      <w:tr w14:paraId="099DF9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5F9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6B98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46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BD73">
            <w:pPr>
              <w:jc w:val="center"/>
            </w:pPr>
            <w:r>
              <w:rPr>
                <w:rFonts w:ascii="宋体" w:hAnsi="宋体" w:eastAsia="宋体"/>
                <w:sz w:val="16"/>
              </w:rPr>
              <w:t>保障运转办公数量（个）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71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77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C1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75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3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3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A9D4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49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5BE8">
            <w:pPr>
              <w:jc w:val="center"/>
            </w:pPr>
          </w:p>
        </w:tc>
      </w:tr>
      <w:tr w14:paraId="0C21E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7B0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7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DC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8F4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C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7D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B1C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C92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3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8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E9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E1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6D944">
            <w:pPr>
              <w:jc w:val="center"/>
            </w:pPr>
          </w:p>
        </w:tc>
      </w:tr>
      <w:tr w14:paraId="179DC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E5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B60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0EE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D12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2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A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04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D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2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A5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B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4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9390D">
            <w:pPr>
              <w:jc w:val="center"/>
            </w:pPr>
          </w:p>
        </w:tc>
      </w:tr>
      <w:tr w14:paraId="2E7B6A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B5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096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AC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5C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2A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38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07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2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2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8D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29C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7C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9F08">
            <w:pPr>
              <w:jc w:val="center"/>
            </w:pPr>
          </w:p>
        </w:tc>
      </w:tr>
      <w:tr w14:paraId="71210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83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FC4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DA97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DB68">
            <w:pPr>
              <w:jc w:val="center"/>
            </w:pPr>
            <w:r>
              <w:rPr>
                <w:rFonts w:ascii="宋体" w:hAnsi="宋体" w:eastAsia="宋体"/>
                <w:sz w:val="16"/>
              </w:rPr>
              <w:t>办公费成本（万元）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E4F5">
            <w:pPr>
              <w:jc w:val="center"/>
            </w:pPr>
            <w:r>
              <w:rPr>
                <w:rFonts w:ascii="宋体" w:hAnsi="宋体" w:eastAsia="宋体"/>
                <w:sz w:val="16"/>
              </w:rPr>
              <w:t>&lt;=17.76万元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1D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0A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F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70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D0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7008">
            <w:pPr>
              <w:jc w:val="center"/>
            </w:pPr>
            <w:r>
              <w:rPr>
                <w:rFonts w:ascii="宋体" w:hAnsi="宋体" w:eastAsia="宋体"/>
                <w:sz w:val="16"/>
              </w:rPr>
              <w:t>=17.76万元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F6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E3E1">
            <w:pPr>
              <w:jc w:val="center"/>
            </w:pPr>
          </w:p>
        </w:tc>
      </w:tr>
      <w:tr w14:paraId="261ED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D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4A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C5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211D">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688A">
            <w:pPr>
              <w:jc w:val="center"/>
            </w:pPr>
            <w:r>
              <w:rPr>
                <w:rFonts w:ascii="宋体" w:hAnsi="宋体" w:eastAsia="宋体"/>
                <w:sz w:val="16"/>
              </w:rPr>
              <w:t>&lt;=8.86万元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560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7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E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4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E6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1B24">
            <w:pPr>
              <w:jc w:val="center"/>
            </w:pPr>
            <w:r>
              <w:rPr>
                <w:rFonts w:ascii="宋体" w:hAnsi="宋体" w:eastAsia="宋体"/>
                <w:sz w:val="16"/>
              </w:rPr>
              <w:t>=8.86万元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36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63DAE">
            <w:pPr>
              <w:jc w:val="center"/>
            </w:pPr>
          </w:p>
        </w:tc>
      </w:tr>
      <w:tr w14:paraId="23FCF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3A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48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1D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5847">
            <w:pPr>
              <w:jc w:val="center"/>
            </w:pPr>
            <w:r>
              <w:rPr>
                <w:rFonts w:ascii="宋体" w:hAnsi="宋体" w:eastAsia="宋体"/>
                <w:sz w:val="16"/>
              </w:rPr>
              <w:t>提高办公工作效率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F95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A3B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F8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BA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A0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4C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BA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6C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11CD">
            <w:pPr>
              <w:jc w:val="center"/>
            </w:pPr>
          </w:p>
        </w:tc>
      </w:tr>
      <w:tr w14:paraId="62264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11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C3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B0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ED38">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DB4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7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CB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93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96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4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E57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09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65697">
            <w:pPr>
              <w:jc w:val="center"/>
            </w:pPr>
          </w:p>
        </w:tc>
      </w:tr>
      <w:tr w14:paraId="4F084F6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7A6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98D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491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662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E367DF"/>
        </w:tc>
      </w:tr>
    </w:tbl>
    <w:p w14:paraId="5037B851">
      <w:r>
        <w:br w:type="page"/>
      </w:r>
    </w:p>
    <w:p w14:paraId="09EE7F2D">
      <w:pPr>
        <w:spacing w:line="640" w:lineRule="exact"/>
        <w:ind w:firstLine="640"/>
        <w:jc w:val="both"/>
        <w:outlineLvl w:val="2"/>
      </w:pPr>
      <w:r>
        <w:rPr>
          <w:rFonts w:ascii="黑体" w:hAnsi="黑体" w:eastAsia="黑体"/>
          <w:sz w:val="32"/>
        </w:rPr>
        <w:t>十二、其他需说明的事项</w:t>
      </w:r>
    </w:p>
    <w:p w14:paraId="30B54393">
      <w:pPr>
        <w:spacing w:line="580" w:lineRule="exact"/>
        <w:ind w:firstLine="640"/>
        <w:jc w:val="both"/>
      </w:pPr>
      <w:r>
        <w:rPr>
          <w:rFonts w:ascii="仿宋_GB2312" w:hAnsi="仿宋_GB2312" w:eastAsia="仿宋_GB2312"/>
          <w:b w:val="0"/>
          <w:sz w:val="32"/>
        </w:rPr>
        <w:t>本单位无其他需说明的事项。</w:t>
      </w:r>
    </w:p>
    <w:p w14:paraId="4EC90748">
      <w:r>
        <w:br w:type="page"/>
      </w:r>
    </w:p>
    <w:p w14:paraId="0ED4A3F6">
      <w:pPr>
        <w:spacing w:line="240" w:lineRule="auto"/>
        <w:jc w:val="center"/>
        <w:outlineLvl w:val="1"/>
      </w:pPr>
      <w:r>
        <w:rPr>
          <w:rFonts w:ascii="黑体" w:hAnsi="黑体" w:eastAsia="黑体"/>
          <w:sz w:val="32"/>
        </w:rPr>
        <w:t>第三部分 专业名词解释</w:t>
      </w:r>
    </w:p>
    <w:p w14:paraId="3B2EC86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5917D1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5F4428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836930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86122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8A50D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E5F1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DACF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3F6DB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AD327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2FA7C5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9E683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ED248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3766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DED2A9">
      <w:r>
        <w:br w:type="page"/>
      </w:r>
    </w:p>
    <w:p w14:paraId="01C8DE2D">
      <w:pPr>
        <w:spacing w:line="240" w:lineRule="auto"/>
        <w:jc w:val="center"/>
        <w:outlineLvl w:val="1"/>
      </w:pPr>
      <w:r>
        <w:rPr>
          <w:rFonts w:ascii="黑体" w:hAnsi="黑体" w:eastAsia="黑体"/>
          <w:sz w:val="32"/>
        </w:rPr>
        <w:t>第四部分 部门决算报表（见附表）</w:t>
      </w:r>
    </w:p>
    <w:p w14:paraId="244FFAB3">
      <w:pPr>
        <w:spacing w:line="240" w:lineRule="auto"/>
        <w:ind w:firstLine="640"/>
        <w:jc w:val="both"/>
      </w:pPr>
      <w:r>
        <w:rPr>
          <w:rFonts w:ascii="仿宋_GB2312" w:hAnsi="仿宋_GB2312" w:eastAsia="仿宋_GB2312"/>
          <w:b w:val="0"/>
          <w:sz w:val="32"/>
        </w:rPr>
        <w:t>一、《收入支出决算总表》</w:t>
      </w:r>
    </w:p>
    <w:p w14:paraId="0130D280">
      <w:pPr>
        <w:spacing w:line="240" w:lineRule="auto"/>
        <w:ind w:firstLine="640"/>
        <w:jc w:val="both"/>
      </w:pPr>
      <w:r>
        <w:rPr>
          <w:rFonts w:ascii="仿宋_GB2312" w:hAnsi="仿宋_GB2312" w:eastAsia="仿宋_GB2312"/>
          <w:b w:val="0"/>
          <w:sz w:val="32"/>
        </w:rPr>
        <w:t>二、《收入决算表》</w:t>
      </w:r>
    </w:p>
    <w:p w14:paraId="4115DA10">
      <w:pPr>
        <w:spacing w:line="240" w:lineRule="auto"/>
        <w:ind w:firstLine="640"/>
        <w:jc w:val="both"/>
      </w:pPr>
      <w:r>
        <w:rPr>
          <w:rFonts w:ascii="仿宋_GB2312" w:hAnsi="仿宋_GB2312" w:eastAsia="仿宋_GB2312"/>
          <w:b w:val="0"/>
          <w:sz w:val="32"/>
        </w:rPr>
        <w:t>三、《支出决算表》</w:t>
      </w:r>
    </w:p>
    <w:p w14:paraId="1B88B553">
      <w:pPr>
        <w:spacing w:line="240" w:lineRule="auto"/>
        <w:ind w:firstLine="640"/>
        <w:jc w:val="both"/>
      </w:pPr>
      <w:r>
        <w:rPr>
          <w:rFonts w:ascii="仿宋_GB2312" w:hAnsi="仿宋_GB2312" w:eastAsia="仿宋_GB2312"/>
          <w:b w:val="0"/>
          <w:sz w:val="32"/>
        </w:rPr>
        <w:t>四、《财政拨款收入支出决算总表》</w:t>
      </w:r>
    </w:p>
    <w:p w14:paraId="709D4BC8">
      <w:pPr>
        <w:spacing w:line="240" w:lineRule="auto"/>
        <w:ind w:firstLine="640"/>
        <w:jc w:val="both"/>
      </w:pPr>
      <w:r>
        <w:rPr>
          <w:rFonts w:ascii="仿宋_GB2312" w:hAnsi="仿宋_GB2312" w:eastAsia="仿宋_GB2312"/>
          <w:b w:val="0"/>
          <w:sz w:val="32"/>
        </w:rPr>
        <w:t>五、《一般公共预算财政拨款支出决算表》</w:t>
      </w:r>
    </w:p>
    <w:p w14:paraId="3620A66C">
      <w:pPr>
        <w:spacing w:line="240" w:lineRule="auto"/>
        <w:ind w:firstLine="640"/>
        <w:jc w:val="both"/>
      </w:pPr>
      <w:r>
        <w:rPr>
          <w:rFonts w:ascii="仿宋_GB2312" w:hAnsi="仿宋_GB2312" w:eastAsia="仿宋_GB2312"/>
          <w:b w:val="0"/>
          <w:sz w:val="32"/>
        </w:rPr>
        <w:t>六、《一般公共预算财政拨款基本支出决算表》</w:t>
      </w:r>
    </w:p>
    <w:p w14:paraId="35F3A3F2">
      <w:pPr>
        <w:spacing w:line="240" w:lineRule="auto"/>
        <w:ind w:firstLine="640"/>
        <w:jc w:val="both"/>
      </w:pPr>
      <w:r>
        <w:rPr>
          <w:rFonts w:ascii="仿宋_GB2312" w:hAnsi="仿宋_GB2312" w:eastAsia="仿宋_GB2312"/>
          <w:b w:val="0"/>
          <w:sz w:val="32"/>
        </w:rPr>
        <w:t>七、《政府性基金预算财政拨款收入支出决算表》</w:t>
      </w:r>
    </w:p>
    <w:p w14:paraId="3E46A271">
      <w:pPr>
        <w:spacing w:line="240" w:lineRule="auto"/>
        <w:ind w:firstLine="640"/>
        <w:jc w:val="both"/>
      </w:pPr>
      <w:r>
        <w:rPr>
          <w:rFonts w:ascii="仿宋_GB2312" w:hAnsi="仿宋_GB2312" w:eastAsia="仿宋_GB2312"/>
          <w:b w:val="0"/>
          <w:sz w:val="32"/>
        </w:rPr>
        <w:t>八、《国有资本经营预算财政拨款收入支出决算表》</w:t>
      </w:r>
    </w:p>
    <w:p w14:paraId="432DD30E">
      <w:pPr>
        <w:spacing w:line="240" w:lineRule="auto"/>
        <w:ind w:firstLine="640"/>
        <w:jc w:val="both"/>
      </w:pPr>
      <w:r>
        <w:rPr>
          <w:rFonts w:ascii="仿宋_GB2312" w:hAnsi="仿宋_GB2312" w:eastAsia="仿宋_GB2312"/>
          <w:b w:val="0"/>
          <w:sz w:val="32"/>
        </w:rPr>
        <w:t>九、《财政拨款“三公”经费支出决算表》</w:t>
      </w:r>
    </w:p>
    <w:p w14:paraId="34D696A0">
      <w:pPr>
        <w:spacing w:line="240" w:lineRule="auto"/>
        <w:ind w:firstLine="640"/>
        <w:jc w:val="both"/>
      </w:pPr>
    </w:p>
    <w:p w14:paraId="6D780FB5">
      <w:pPr>
        <w:spacing w:line="240" w:lineRule="auto"/>
        <w:ind w:firstLine="640"/>
        <w:jc w:val="both"/>
      </w:pPr>
    </w:p>
    <w:p w14:paraId="0642D3EB">
      <w:pPr>
        <w:spacing w:line="240" w:lineRule="auto"/>
        <w:ind w:firstLine="640"/>
        <w:jc w:val="both"/>
      </w:pPr>
    </w:p>
    <w:p w14:paraId="227B9F9B">
      <w:pPr>
        <w:spacing w:line="240" w:lineRule="auto"/>
        <w:ind w:firstLine="640"/>
        <w:jc w:val="both"/>
      </w:pPr>
    </w:p>
    <w:p w14:paraId="190728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7999AF-0FFF-4A82-8C0F-A6CC83385C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840824B-C3AD-4F09-9C45-01BCC1FE1DE7}"/>
  </w:font>
  <w:font w:name="仿宋_GB2312">
    <w:panose1 w:val="02010609030101010101"/>
    <w:charset w:val="86"/>
    <w:family w:val="modern"/>
    <w:pitch w:val="default"/>
    <w:sig w:usb0="00000001" w:usb1="080E0000" w:usb2="00000000" w:usb3="00000000" w:csb0="00040000" w:csb1="00000000"/>
    <w:embedRegular r:id="rId3" w:fontKey="{D0517DAF-61E2-4E2A-B56E-C71F55531603}"/>
  </w:font>
  <w:font w:name="楷体_GB2312">
    <w:panose1 w:val="02010609030101010101"/>
    <w:charset w:val="86"/>
    <w:family w:val="auto"/>
    <w:pitch w:val="default"/>
    <w:sig w:usb0="00000001" w:usb1="080E0000" w:usb2="00000000" w:usb3="00000000" w:csb0="00040000" w:csb1="00000000"/>
    <w:embedRegular r:id="rId4" w:fontKey="{B08AC1D6-24AD-4237-8A62-FEA08C536C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E40396"/>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CE7E0F"/>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5872</Words>
  <Characters>6703</Characters>
  <Lines>0</Lines>
  <Paragraphs>0</Paragraphs>
  <TotalTime>5</TotalTime>
  <ScaleCrop>false</ScaleCrop>
  <LinksUpToDate>false</LinksUpToDate>
  <CharactersWithSpaces>6711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2025-09-30T03:34:11Z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