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叶城县公安局2024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8C23FC">
      <w:r>
        <w:br w:type="page"/>
      </w:r>
    </w:p>
    <w:p w14:paraId="7817F305">
      <w:pPr>
        <w:spacing w:line="640" w:lineRule="exact"/>
        <w:jc w:val="center"/>
        <w:outlineLvl w:val="1"/>
      </w:pPr>
      <w:r>
        <w:rPr>
          <w:rFonts w:ascii="黑体" w:hAnsi="黑体" w:eastAsia="黑体"/>
          <w:sz w:val="32"/>
        </w:rPr>
        <w:t>第一部分 单位概况</w:t>
      </w:r>
    </w:p>
    <w:p w14:paraId="15D10DC3">
      <w:pPr>
        <w:spacing w:line="640" w:lineRule="exact"/>
        <w:ind w:firstLine="640"/>
        <w:jc w:val="both"/>
        <w:outlineLvl w:val="2"/>
      </w:pPr>
      <w:r>
        <w:rPr>
          <w:rFonts w:ascii="黑体" w:hAnsi="黑体" w:eastAsia="黑体"/>
          <w:sz w:val="32"/>
        </w:rPr>
        <w:t>一、主要职能</w:t>
      </w:r>
    </w:p>
    <w:p w14:paraId="24AFF23E">
      <w:pPr>
        <w:spacing w:line="580" w:lineRule="exact"/>
        <w:ind w:firstLine="640"/>
        <w:jc w:val="both"/>
      </w:pPr>
      <w:r>
        <w:rPr>
          <w:rFonts w:ascii="仿宋_GB2312" w:hAnsi="仿宋_GB2312" w:eastAsia="仿宋_GB2312"/>
          <w:sz w:val="32"/>
        </w:rPr>
        <w:t>（1）贯彻执行公安工作的法律，法规、规章和方针，政策，研究制定公安</w:t>
      </w:r>
      <w:r>
        <w:rPr>
          <w:rFonts w:hint="eastAsia" w:ascii="仿宋_GB2312" w:hAnsi="仿宋_GB2312" w:eastAsia="仿宋_GB2312"/>
          <w:sz w:val="32"/>
          <w:lang w:eastAsia="zh-CN"/>
        </w:rPr>
        <w:t>工作</w:t>
      </w:r>
      <w:r>
        <w:rPr>
          <w:rFonts w:ascii="仿宋_GB2312" w:hAnsi="仿宋_GB2312" w:eastAsia="仿宋_GB2312"/>
          <w:sz w:val="32"/>
        </w:rPr>
        <w:t>方案和措施，领导，监督、检查全县公安工作。</w:t>
      </w:r>
    </w:p>
    <w:p w14:paraId="1F622056">
      <w:pPr>
        <w:spacing w:line="580" w:lineRule="exact"/>
        <w:ind w:firstLine="640"/>
        <w:jc w:val="both"/>
      </w:pPr>
      <w:r>
        <w:rPr>
          <w:rFonts w:ascii="仿宋_GB2312" w:hAnsi="仿宋_GB2312" w:eastAsia="仿宋_GB2312"/>
          <w:sz w:val="32"/>
        </w:rPr>
        <w:t>（2）调查研究公安工作中出现的新情况，新问题，掌握危害国家安全，影响社会治安的情况，分析预测敌情和社情，为县委、县政府和上级公安机关提供信息，并提出对策。</w:t>
      </w:r>
    </w:p>
    <w:p w14:paraId="2F8CFA2F">
      <w:pPr>
        <w:spacing w:line="580" w:lineRule="exact"/>
        <w:ind w:firstLine="640"/>
        <w:jc w:val="both"/>
      </w:pPr>
      <w:r>
        <w:rPr>
          <w:rFonts w:ascii="仿宋_GB2312" w:hAnsi="仿宋_GB2312" w:eastAsia="仿宋_GB2312"/>
          <w:sz w:val="32"/>
        </w:rPr>
        <w:t>（3）制定完善内部执法制度，实施内部执法监督，依法办理行政复议，行政诉讼案件。</w:t>
      </w:r>
    </w:p>
    <w:p w14:paraId="7F2446CC">
      <w:pPr>
        <w:spacing w:line="580" w:lineRule="exact"/>
        <w:ind w:firstLine="640"/>
        <w:jc w:val="both"/>
      </w:pPr>
      <w:r>
        <w:rPr>
          <w:rFonts w:ascii="仿宋_GB2312" w:hAnsi="仿宋_GB2312" w:eastAsia="仿宋_GB2312"/>
          <w:sz w:val="32"/>
        </w:rPr>
        <w:t>（4）依法查处危害社会治安秩序行为，承担全县治安，户口、居民身份证，危险物品，特种行业和出入境管理责任。</w:t>
      </w:r>
    </w:p>
    <w:p w14:paraId="76FC1A69">
      <w:pPr>
        <w:spacing w:line="640" w:lineRule="exact"/>
        <w:ind w:firstLine="640"/>
        <w:jc w:val="both"/>
        <w:outlineLvl w:val="2"/>
      </w:pPr>
      <w:r>
        <w:rPr>
          <w:rFonts w:ascii="黑体" w:hAnsi="黑体" w:eastAsia="黑体"/>
          <w:sz w:val="32"/>
        </w:rPr>
        <w:t>二、机构设置及人员情况</w:t>
      </w:r>
    </w:p>
    <w:p w14:paraId="78311661">
      <w:pPr>
        <w:spacing w:line="580" w:lineRule="exact"/>
        <w:ind w:firstLine="640"/>
        <w:jc w:val="both"/>
      </w:pPr>
      <w:r>
        <w:rPr>
          <w:rFonts w:ascii="仿宋_GB2312" w:hAnsi="仿宋_GB2312" w:eastAsia="仿宋_GB2312"/>
          <w:sz w:val="32"/>
        </w:rPr>
        <w:t>叶城县公安局2024年度，实有人数1,025人，其中：在职人员928人，增加2人；离休人员0人，增加0人；退休人员97人,增加7人。</w:t>
      </w:r>
    </w:p>
    <w:p w14:paraId="24648796">
      <w:pPr>
        <w:spacing w:line="580" w:lineRule="exact"/>
        <w:ind w:firstLine="640"/>
        <w:jc w:val="both"/>
      </w:pPr>
      <w:r>
        <w:rPr>
          <w:rFonts w:ascii="仿宋_GB2312" w:hAnsi="仿宋_GB2312" w:eastAsia="仿宋_GB2312"/>
          <w:sz w:val="32"/>
        </w:rPr>
        <w:t>叶城县公安局无下属预算单位，下设1个科室，分别是：办公室。</w:t>
      </w:r>
    </w:p>
    <w:p w14:paraId="662BAC11">
      <w:r>
        <w:br w:type="page"/>
      </w:r>
    </w:p>
    <w:p w14:paraId="53B0F707">
      <w:pPr>
        <w:spacing w:line="240" w:lineRule="auto"/>
        <w:jc w:val="center"/>
        <w:outlineLvl w:val="1"/>
      </w:pPr>
      <w:r>
        <w:rPr>
          <w:rFonts w:ascii="黑体" w:hAnsi="黑体" w:eastAsia="黑体"/>
          <w:sz w:val="32"/>
        </w:rPr>
        <w:t>第二部分 部门决算情况说明</w:t>
      </w:r>
    </w:p>
    <w:p w14:paraId="4097D9C0">
      <w:pPr>
        <w:spacing w:line="640" w:lineRule="exact"/>
        <w:ind w:firstLine="640"/>
        <w:jc w:val="both"/>
        <w:outlineLvl w:val="2"/>
      </w:pPr>
      <w:r>
        <w:rPr>
          <w:rFonts w:ascii="黑体" w:hAnsi="黑体" w:eastAsia="黑体"/>
          <w:sz w:val="32"/>
        </w:rPr>
        <w:t>一、收入支出决算总体情况说明</w:t>
      </w:r>
    </w:p>
    <w:p w14:paraId="0C24DE7A">
      <w:pPr>
        <w:spacing w:line="580" w:lineRule="exact"/>
        <w:ind w:firstLine="640"/>
        <w:jc w:val="both"/>
      </w:pPr>
      <w:r>
        <w:rPr>
          <w:rFonts w:ascii="仿宋_GB2312" w:hAnsi="仿宋_GB2312" w:eastAsia="仿宋_GB2312"/>
          <w:b/>
          <w:sz w:val="32"/>
        </w:rPr>
        <w:t>2024年度收入总计41,114.31万元，</w:t>
      </w:r>
      <w:r>
        <w:rPr>
          <w:rFonts w:ascii="仿宋_GB2312" w:hAnsi="仿宋_GB2312" w:eastAsia="仿宋_GB2312"/>
          <w:b w:val="0"/>
          <w:sz w:val="32"/>
        </w:rPr>
        <w:t>其中：本年收入合计41,114.31万元，使用非财政拨款结余（含专用结余）0.00万元，年初结转和结余0.00万元。</w:t>
      </w:r>
    </w:p>
    <w:p w14:paraId="485A756C">
      <w:pPr>
        <w:spacing w:line="580" w:lineRule="exact"/>
        <w:ind w:firstLine="640"/>
        <w:jc w:val="both"/>
      </w:pPr>
      <w:r>
        <w:rPr>
          <w:rFonts w:ascii="仿宋_GB2312" w:hAnsi="仿宋_GB2312" w:eastAsia="仿宋_GB2312"/>
          <w:b/>
          <w:sz w:val="32"/>
        </w:rPr>
        <w:t>2024年度支出总计41,114.31万元，</w:t>
      </w:r>
      <w:r>
        <w:rPr>
          <w:rFonts w:ascii="仿宋_GB2312" w:hAnsi="仿宋_GB2312" w:eastAsia="仿宋_GB2312"/>
          <w:b w:val="0"/>
          <w:sz w:val="32"/>
        </w:rPr>
        <w:t>其中：本年支出合计41,114.31万元，结余分配0.00万元，年末结转和结余0.00万元。</w:t>
      </w:r>
    </w:p>
    <w:p w14:paraId="096E1E91">
      <w:pPr>
        <w:spacing w:line="580" w:lineRule="exact"/>
        <w:ind w:firstLine="640"/>
        <w:jc w:val="both"/>
      </w:pPr>
      <w:r>
        <w:rPr>
          <w:rFonts w:ascii="仿宋_GB2312" w:hAnsi="仿宋_GB2312" w:eastAsia="仿宋_GB2312"/>
          <w:b w:val="0"/>
          <w:sz w:val="32"/>
        </w:rPr>
        <w:t>收入支出总体与上年相比，减少7,990.59万元，下降16.27%，主要原因是：本年减少消化项目</w:t>
      </w:r>
      <w:r>
        <w:rPr>
          <w:rFonts w:hint="eastAsia" w:ascii="仿宋_GB2312" w:hAnsi="仿宋_GB2312" w:eastAsia="仿宋_GB2312"/>
          <w:b w:val="0"/>
          <w:sz w:val="32"/>
          <w:lang w:eastAsia="zh-CN"/>
        </w:rPr>
        <w:t>、</w:t>
      </w:r>
      <w:r>
        <w:rPr>
          <w:rFonts w:ascii="仿宋_GB2312" w:hAnsi="仿宋_GB2312" w:eastAsia="仿宋_GB2312"/>
          <w:b w:val="0"/>
          <w:sz w:val="32"/>
        </w:rPr>
        <w:t>县级公用经费、</w:t>
      </w:r>
      <w:bookmarkStart w:id="0" w:name="_GoBack"/>
      <w:r>
        <w:rPr>
          <w:rFonts w:ascii="仿宋_GB2312" w:hAnsi="仿宋_GB2312" w:eastAsia="仿宋_GB2312"/>
          <w:b w:val="0"/>
          <w:sz w:val="32"/>
        </w:rPr>
        <w:t>监控</w:t>
      </w:r>
      <w:bookmarkEnd w:id="0"/>
      <w:r>
        <w:rPr>
          <w:rFonts w:ascii="仿宋_GB2312" w:hAnsi="仿宋_GB2312" w:eastAsia="仿宋_GB2312"/>
          <w:b w:val="0"/>
          <w:sz w:val="32"/>
        </w:rPr>
        <w:t>线路租费（电信、移动、联通）、辅警工资、信息化建设项目、叶城县公安局临聘人员3月至5月份工资(存量）、叶城县公安局办公费(存量）、叶城县基层阵地建设和社会治理能力提升项目（援疆）。</w:t>
      </w:r>
    </w:p>
    <w:p w14:paraId="3077AB84">
      <w:pPr>
        <w:spacing w:line="640" w:lineRule="exact"/>
        <w:ind w:firstLine="640"/>
        <w:jc w:val="both"/>
        <w:outlineLvl w:val="2"/>
      </w:pPr>
      <w:r>
        <w:rPr>
          <w:rFonts w:ascii="黑体" w:hAnsi="黑体" w:eastAsia="黑体"/>
          <w:sz w:val="32"/>
        </w:rPr>
        <w:t>二、收入决算情况说明</w:t>
      </w:r>
    </w:p>
    <w:p w14:paraId="3B30D195">
      <w:pPr>
        <w:spacing w:line="580" w:lineRule="exact"/>
        <w:ind w:firstLine="640"/>
        <w:jc w:val="both"/>
      </w:pPr>
      <w:r>
        <w:rPr>
          <w:rFonts w:ascii="仿宋_GB2312" w:hAnsi="仿宋_GB2312" w:eastAsia="仿宋_GB2312"/>
          <w:b/>
          <w:sz w:val="32"/>
        </w:rPr>
        <w:t>本年收入41,114.31万元，</w:t>
      </w:r>
      <w:r>
        <w:rPr>
          <w:rFonts w:ascii="仿宋_GB2312" w:hAnsi="仿宋_GB2312" w:eastAsia="仿宋_GB2312"/>
          <w:b w:val="0"/>
          <w:sz w:val="32"/>
        </w:rPr>
        <w:t>其中：财政拨款收入40,079.45万元，占97.48%；上级补助收入0.00万元，占0.00%；事业收入0.00万元，占0.00%；经营收入0.00万元，占0.00%；附属单位上缴收入0.00万元，占0.00%；其他收入1,034.86万元，占2.52%。</w:t>
      </w:r>
    </w:p>
    <w:p w14:paraId="24568F62">
      <w:pPr>
        <w:spacing w:line="640" w:lineRule="exact"/>
        <w:ind w:firstLine="640"/>
        <w:jc w:val="both"/>
        <w:outlineLvl w:val="2"/>
      </w:pPr>
      <w:r>
        <w:rPr>
          <w:rFonts w:ascii="黑体" w:hAnsi="黑体" w:eastAsia="黑体"/>
          <w:sz w:val="32"/>
        </w:rPr>
        <w:t>三、支出决算情况说明</w:t>
      </w:r>
    </w:p>
    <w:p w14:paraId="2352D231">
      <w:pPr>
        <w:spacing w:line="580" w:lineRule="exact"/>
        <w:ind w:firstLine="640"/>
        <w:jc w:val="both"/>
      </w:pPr>
      <w:r>
        <w:rPr>
          <w:rFonts w:ascii="仿宋_GB2312" w:hAnsi="仿宋_GB2312" w:eastAsia="仿宋_GB2312"/>
          <w:b/>
          <w:sz w:val="32"/>
        </w:rPr>
        <w:t>本年支出41,114.31万元，</w:t>
      </w:r>
      <w:r>
        <w:rPr>
          <w:rFonts w:ascii="仿宋_GB2312" w:hAnsi="仿宋_GB2312" w:eastAsia="仿宋_GB2312"/>
          <w:b w:val="0"/>
          <w:sz w:val="32"/>
        </w:rPr>
        <w:t>其中：基本支出30,335.28万元，占73.78%；项目支出10,779.03万元，占26.22%；上缴上级支出0.00万元，占0.00%；经营支出0.00万元，占0.00%；对附属单位补助支出0.00万元，占0.00%。</w:t>
      </w:r>
    </w:p>
    <w:p w14:paraId="16CC4136">
      <w:pPr>
        <w:spacing w:line="640" w:lineRule="exact"/>
        <w:ind w:firstLine="640"/>
        <w:jc w:val="both"/>
        <w:outlineLvl w:val="2"/>
      </w:pPr>
      <w:r>
        <w:rPr>
          <w:rFonts w:ascii="黑体" w:hAnsi="黑体" w:eastAsia="黑体"/>
          <w:sz w:val="32"/>
        </w:rPr>
        <w:t>四、财政拨款收入支出决算总体情况说明</w:t>
      </w:r>
    </w:p>
    <w:p w14:paraId="72D4F043">
      <w:pPr>
        <w:spacing w:line="580" w:lineRule="exact"/>
        <w:ind w:firstLine="640"/>
        <w:jc w:val="both"/>
      </w:pPr>
      <w:r>
        <w:rPr>
          <w:rFonts w:ascii="仿宋_GB2312" w:hAnsi="仿宋_GB2312" w:eastAsia="仿宋_GB2312"/>
          <w:b/>
          <w:sz w:val="32"/>
        </w:rPr>
        <w:t>2024年度财政拨款收入总计40,079.45万元，</w:t>
      </w:r>
      <w:r>
        <w:rPr>
          <w:rFonts w:ascii="仿宋_GB2312" w:hAnsi="仿宋_GB2312" w:eastAsia="仿宋_GB2312"/>
          <w:b w:val="0"/>
          <w:sz w:val="32"/>
        </w:rPr>
        <w:t>其中：年初财政拨款结转和结余0.00万元，本年财政拨款收入40,079.45万元。</w:t>
      </w:r>
      <w:r>
        <w:rPr>
          <w:rFonts w:ascii="仿宋_GB2312" w:hAnsi="仿宋_GB2312" w:eastAsia="仿宋_GB2312"/>
          <w:b/>
          <w:sz w:val="32"/>
        </w:rPr>
        <w:t>财政拨款支出总计40,079.45万元，</w:t>
      </w:r>
      <w:r>
        <w:rPr>
          <w:rFonts w:ascii="仿宋_GB2312" w:hAnsi="仿宋_GB2312" w:eastAsia="仿宋_GB2312"/>
          <w:b w:val="0"/>
          <w:sz w:val="32"/>
        </w:rPr>
        <w:t>其中：年末财政拨款结转和结余0.00万元，本年财政拨款支出40,079.45万元。</w:t>
      </w:r>
    </w:p>
    <w:p w14:paraId="6DBEE9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减少3,819.68万元，下降8.70%，主要原因是：本年减少消化项目、县级公用经费、监控线路租费（电信、移动、联通）、辅警工资、信息化建设项目。</w:t>
      </w:r>
      <w:r>
        <w:rPr>
          <w:rFonts w:ascii="仿宋_GB2312" w:hAnsi="仿宋_GB2312" w:eastAsia="仿宋_GB2312"/>
          <w:b/>
          <w:sz w:val="32"/>
        </w:rPr>
        <w:t>与年初预算相比，</w:t>
      </w:r>
      <w:r>
        <w:rPr>
          <w:rFonts w:ascii="仿宋_GB2312" w:hAnsi="仿宋_GB2312" w:eastAsia="仿宋_GB2312"/>
          <w:b w:val="0"/>
          <w:sz w:val="32"/>
        </w:rPr>
        <w:t>年初预算数53,620.75万元，决算数40,079.45万元，预决算差异率-25.25%，主要原因是：年中调减维护经费（交警业务经费）、县级公用经费、监控线路租费（电信、移动、联通）、辅警工资，导致预决算存在差异。</w:t>
      </w:r>
    </w:p>
    <w:p w14:paraId="56341716">
      <w:pPr>
        <w:spacing w:line="640" w:lineRule="exact"/>
        <w:ind w:firstLine="640"/>
        <w:jc w:val="both"/>
        <w:outlineLvl w:val="2"/>
      </w:pPr>
      <w:r>
        <w:rPr>
          <w:rFonts w:ascii="黑体" w:hAnsi="黑体" w:eastAsia="黑体"/>
          <w:sz w:val="32"/>
        </w:rPr>
        <w:t>五、一般公共预算财政拨款支出决算情况说明</w:t>
      </w:r>
    </w:p>
    <w:p w14:paraId="6B92FE45">
      <w:pPr>
        <w:spacing w:line="640" w:lineRule="exact"/>
        <w:ind w:firstLine="640"/>
        <w:jc w:val="both"/>
        <w:outlineLvl w:val="3"/>
      </w:pPr>
      <w:r>
        <w:rPr>
          <w:rFonts w:ascii="楷体_GB2312" w:hAnsi="楷体_GB2312" w:eastAsia="楷体_GB2312"/>
          <w:b/>
          <w:sz w:val="32"/>
        </w:rPr>
        <w:t>（一）一般公共预算财政拨款支出决算总体情况</w:t>
      </w:r>
    </w:p>
    <w:p w14:paraId="1CC3231A">
      <w:pPr>
        <w:spacing w:line="580" w:lineRule="exact"/>
        <w:ind w:firstLine="640"/>
        <w:jc w:val="both"/>
      </w:pPr>
      <w:r>
        <w:rPr>
          <w:rFonts w:ascii="仿宋_GB2312" w:hAnsi="仿宋_GB2312" w:eastAsia="仿宋_GB2312"/>
          <w:b/>
          <w:sz w:val="32"/>
        </w:rPr>
        <w:t>2024年度一般公共预算财政拨款支出40,079.45万元，</w:t>
      </w:r>
      <w:r>
        <w:rPr>
          <w:rFonts w:ascii="仿宋_GB2312" w:hAnsi="仿宋_GB2312" w:eastAsia="仿宋_GB2312"/>
          <w:b w:val="0"/>
          <w:sz w:val="32"/>
        </w:rPr>
        <w:t>占本年支出合计的97.48%。</w:t>
      </w:r>
      <w:r>
        <w:rPr>
          <w:rFonts w:ascii="仿宋_GB2312" w:hAnsi="仿宋_GB2312" w:eastAsia="仿宋_GB2312"/>
          <w:b/>
          <w:sz w:val="32"/>
        </w:rPr>
        <w:t>与上年相比，</w:t>
      </w:r>
      <w:r>
        <w:rPr>
          <w:rFonts w:ascii="仿宋_GB2312" w:hAnsi="仿宋_GB2312" w:eastAsia="仿宋_GB2312"/>
          <w:b w:val="0"/>
          <w:sz w:val="32"/>
        </w:rPr>
        <w:t>减少3,819.68万元，下降8.70%，主要原因是：本年减少消化项目、县级公用经费、监控线路租费（电信、移动、联通）、辅警工资、信息化建设项目。</w:t>
      </w:r>
      <w:r>
        <w:rPr>
          <w:rFonts w:ascii="仿宋_GB2312" w:hAnsi="仿宋_GB2312" w:eastAsia="仿宋_GB2312"/>
          <w:b/>
          <w:sz w:val="32"/>
        </w:rPr>
        <w:t>与年初预算相比,</w:t>
      </w:r>
      <w:r>
        <w:rPr>
          <w:rFonts w:ascii="仿宋_GB2312" w:hAnsi="仿宋_GB2312" w:eastAsia="仿宋_GB2312"/>
          <w:b w:val="0"/>
          <w:sz w:val="32"/>
        </w:rPr>
        <w:t>年初预算数53,620.75万元，决算数40,079.45万元，预决算差异率-25.25%，主要原因是：年中调减维护经费（交警业务经费）、县级公用经费、监控线路租费（电信、移动、联通）、辅警工资，导致预决算存在差异。</w:t>
      </w:r>
    </w:p>
    <w:p w14:paraId="5FD2D5A7">
      <w:pPr>
        <w:spacing w:line="640" w:lineRule="exact"/>
        <w:ind w:firstLine="640"/>
        <w:jc w:val="both"/>
        <w:outlineLvl w:val="3"/>
      </w:pPr>
      <w:r>
        <w:rPr>
          <w:rFonts w:ascii="楷体_GB2312" w:hAnsi="楷体_GB2312" w:eastAsia="楷体_GB2312"/>
          <w:b/>
          <w:sz w:val="32"/>
        </w:rPr>
        <w:t>（二）一般公共预算财政拨款支出决算结构情况</w:t>
      </w:r>
    </w:p>
    <w:p w14:paraId="7C407BDC">
      <w:pPr>
        <w:spacing w:line="580" w:lineRule="exact"/>
        <w:ind w:firstLine="640"/>
        <w:jc w:val="both"/>
      </w:pPr>
      <w:r>
        <w:rPr>
          <w:rFonts w:ascii="仿宋_GB2312" w:hAnsi="仿宋_GB2312" w:eastAsia="仿宋_GB2312"/>
          <w:b w:val="0"/>
          <w:sz w:val="32"/>
        </w:rPr>
        <w:t>1.公共安全支出(类)32,484.60万元,占81.05%。</w:t>
      </w:r>
    </w:p>
    <w:p w14:paraId="27690857">
      <w:pPr>
        <w:spacing w:line="580" w:lineRule="exact"/>
        <w:ind w:firstLine="640"/>
        <w:jc w:val="both"/>
      </w:pPr>
      <w:r>
        <w:rPr>
          <w:rFonts w:ascii="仿宋_GB2312" w:hAnsi="仿宋_GB2312" w:eastAsia="仿宋_GB2312"/>
          <w:b w:val="0"/>
          <w:sz w:val="32"/>
        </w:rPr>
        <w:t>2.科学技术支出(类)1,145.89万元,占2.86%。</w:t>
      </w:r>
    </w:p>
    <w:p w14:paraId="131C7525">
      <w:pPr>
        <w:spacing w:line="580" w:lineRule="exact"/>
        <w:ind w:firstLine="640"/>
        <w:jc w:val="both"/>
      </w:pPr>
      <w:r>
        <w:rPr>
          <w:rFonts w:ascii="仿宋_GB2312" w:hAnsi="仿宋_GB2312" w:eastAsia="仿宋_GB2312"/>
          <w:b w:val="0"/>
          <w:sz w:val="32"/>
        </w:rPr>
        <w:t>3.社会保障和就业支出(类)3,014.05万元,占7.52%。</w:t>
      </w:r>
    </w:p>
    <w:p w14:paraId="2935B6BD">
      <w:pPr>
        <w:spacing w:line="580" w:lineRule="exact"/>
        <w:ind w:firstLine="640"/>
        <w:jc w:val="both"/>
      </w:pPr>
      <w:r>
        <w:rPr>
          <w:rFonts w:ascii="仿宋_GB2312" w:hAnsi="仿宋_GB2312" w:eastAsia="仿宋_GB2312"/>
          <w:b w:val="0"/>
          <w:sz w:val="32"/>
        </w:rPr>
        <w:t>4.卫生健康支出(类)1,405.54万元,占3.51%。</w:t>
      </w:r>
    </w:p>
    <w:p w14:paraId="3151979B">
      <w:pPr>
        <w:spacing w:line="580" w:lineRule="exact"/>
        <w:ind w:firstLine="640"/>
        <w:jc w:val="both"/>
      </w:pPr>
      <w:r>
        <w:rPr>
          <w:rFonts w:ascii="仿宋_GB2312" w:hAnsi="仿宋_GB2312" w:eastAsia="仿宋_GB2312"/>
          <w:b w:val="0"/>
          <w:sz w:val="32"/>
        </w:rPr>
        <w:t>5.住房保障支出(类)2,029.38万元,占5.06%。</w:t>
      </w:r>
    </w:p>
    <w:p w14:paraId="2920BBAA">
      <w:pPr>
        <w:spacing w:line="640" w:lineRule="exact"/>
        <w:ind w:firstLine="640"/>
        <w:jc w:val="both"/>
        <w:outlineLvl w:val="3"/>
      </w:pPr>
      <w:r>
        <w:rPr>
          <w:rFonts w:ascii="楷体_GB2312" w:hAnsi="楷体_GB2312" w:eastAsia="楷体_GB2312"/>
          <w:b/>
          <w:sz w:val="32"/>
        </w:rPr>
        <w:t>（三）一般公共预算财政拨款支出决算具体情况</w:t>
      </w:r>
    </w:p>
    <w:p w14:paraId="6698BAFB">
      <w:pPr>
        <w:spacing w:line="580" w:lineRule="exact"/>
        <w:ind w:firstLine="640"/>
        <w:jc w:val="both"/>
      </w:pPr>
      <w:r>
        <w:rPr>
          <w:rFonts w:ascii="仿宋_GB2312" w:hAnsi="仿宋_GB2312" w:eastAsia="仿宋_GB2312"/>
          <w:b w:val="0"/>
          <w:sz w:val="32"/>
        </w:rPr>
        <w:t>1.公共安全支出(类)公安(款)行政运行(项):支出决算数为20,276.87万元，比上年决算减少823.26万元，下降3.90%,主要原因是：上年度补发津贴补贴、奖金，本年正常发放，导致经费较上年减少。</w:t>
      </w:r>
    </w:p>
    <w:p w14:paraId="7E805031">
      <w:pPr>
        <w:spacing w:line="580" w:lineRule="exact"/>
        <w:ind w:firstLine="640"/>
        <w:jc w:val="both"/>
      </w:pPr>
      <w:r>
        <w:rPr>
          <w:rFonts w:ascii="仿宋_GB2312" w:hAnsi="仿宋_GB2312" w:eastAsia="仿宋_GB2312"/>
          <w:b w:val="0"/>
          <w:sz w:val="32"/>
        </w:rPr>
        <w:t>2.公共安全支出(类)公安(款)执法办案(项):支出决算数为8.17万元，比上年决算减少36.66万元，下降81.78%,主要原因是：本年维护经费（交警业务经费）减少。</w:t>
      </w:r>
    </w:p>
    <w:p w14:paraId="27CF8E4F">
      <w:pPr>
        <w:spacing w:line="580" w:lineRule="exact"/>
        <w:ind w:firstLine="640"/>
        <w:jc w:val="both"/>
      </w:pPr>
      <w:r>
        <w:rPr>
          <w:rFonts w:ascii="仿宋_GB2312" w:hAnsi="仿宋_GB2312" w:eastAsia="仿宋_GB2312"/>
          <w:b w:val="0"/>
          <w:sz w:val="32"/>
        </w:rPr>
        <w:t>3.公共安全支出(类)公安(款)其他公安支出(项):支出决算数为12,199.57万元，比上年决算减少3,782.57万元，下降23.67%,主要原因是：本年减少消化项目、县级公用经费、监控线路租费（电信、移动、联通）、辅警工资。</w:t>
      </w:r>
    </w:p>
    <w:p w14:paraId="2FD7EC40">
      <w:pPr>
        <w:spacing w:line="580" w:lineRule="exact"/>
        <w:ind w:firstLine="640"/>
        <w:jc w:val="both"/>
      </w:pPr>
      <w:r>
        <w:rPr>
          <w:rFonts w:ascii="仿宋_GB2312" w:hAnsi="仿宋_GB2312" w:eastAsia="仿宋_GB2312"/>
          <w:b w:val="0"/>
          <w:sz w:val="32"/>
        </w:rPr>
        <w:t>4.公共安全支出(类)其他公共安全支出(款)其他公共安全支出(项):支出决算数为0.00万元，比上年决算减少2.00万元，下降100.00%,主要原因是：本年度减少中央政法纪检监察扫黑除恶专项经费。</w:t>
      </w:r>
    </w:p>
    <w:p w14:paraId="2F4EF124">
      <w:pPr>
        <w:spacing w:line="580" w:lineRule="exact"/>
        <w:ind w:firstLine="640"/>
        <w:jc w:val="both"/>
      </w:pPr>
      <w:r>
        <w:rPr>
          <w:rFonts w:ascii="仿宋_GB2312" w:hAnsi="仿宋_GB2312" w:eastAsia="仿宋_GB2312"/>
          <w:b w:val="0"/>
          <w:sz w:val="32"/>
        </w:rPr>
        <w:t>5.科学技术支出(类)技术研究与开发(款)其他技术研究与开发支出(项):支出决算数为1,145.89万元，比上年决算减少519.71万元，下降31.20%,主要原因是：本年减少信息化建设项目。</w:t>
      </w:r>
    </w:p>
    <w:p w14:paraId="283B2BB7">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6.社会保障和就业支出(类)行政事业单位养老支出(款)行政单位离退休(项):支出决算数为117.74万元，比上年决算减少21.94万元，下降15.71%,主要原因是：上年度补发退休人员绩效，本年无补发，导致经费较上年减少。</w:t>
      </w:r>
    </w:p>
    <w:p w14:paraId="4A11AE3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2,573.82万元，比上年决算增加1,133.67万元，增长78.72%,主要原因是：本年在职人员工资基数调增，养老缴费基数上涨，相应支出增加。</w:t>
      </w:r>
    </w:p>
    <w:p w14:paraId="4861B5CE">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8.社会保障和就业支出(类)行政事业单位养老支出(款)机关事业单位职业年金缴费支出(项):支出决算数为28.47万元，比上年决算增加28.47万元，增长100.00%,主要原因是：本年新增退休人员，职业年金缴费支出增加。</w:t>
      </w:r>
    </w:p>
    <w:p w14:paraId="4D252E19">
      <w:pPr>
        <w:spacing w:line="580" w:lineRule="exact"/>
        <w:ind w:firstLine="640"/>
        <w:jc w:val="both"/>
      </w:pPr>
      <w:r>
        <w:rPr>
          <w:rFonts w:ascii="仿宋_GB2312" w:hAnsi="仿宋_GB2312" w:eastAsia="仿宋_GB2312"/>
          <w:b w:val="0"/>
          <w:sz w:val="32"/>
        </w:rPr>
        <w:t>9.社会保障和就业支出(类)就业补助(款)其他就业补助支出(项):支出决算数为294.01万元，比上年决算减少832.25万元，下降73.90%,主要原因是：本年辅警工资减少。</w:t>
      </w:r>
    </w:p>
    <w:p w14:paraId="6EE0BC6C">
      <w:pPr>
        <w:spacing w:line="580" w:lineRule="exact"/>
        <w:ind w:firstLine="640"/>
        <w:jc w:val="both"/>
      </w:pPr>
      <w:r>
        <w:rPr>
          <w:rFonts w:ascii="仿宋_GB2312" w:hAnsi="仿宋_GB2312" w:eastAsia="仿宋_GB2312"/>
          <w:b w:val="0"/>
          <w:sz w:val="32"/>
        </w:rPr>
        <w:t>10.社会保障和就业支出(类)抚恤(款)死亡抚恤(项):支出决算数为0.00万元，比上年决算减少56.91万元，下降100.00%,主要原因是：本年无新增死亡人员，死亡抚恤支出较上年减少。</w:t>
      </w:r>
    </w:p>
    <w:p w14:paraId="2C80E3ED">
      <w:pPr>
        <w:spacing w:line="580" w:lineRule="exact"/>
        <w:ind w:firstLine="640"/>
        <w:jc w:val="both"/>
      </w:pPr>
      <w:r>
        <w:rPr>
          <w:rFonts w:ascii="仿宋_GB2312" w:hAnsi="仿宋_GB2312" w:eastAsia="仿宋_GB2312"/>
          <w:b w:val="0"/>
          <w:sz w:val="32"/>
        </w:rPr>
        <w:t>11.卫生健康支出(类)行政事业单位医疗(款)行政单位医疗(项):支出决算数为1,106.07万元，比上年决算增加322.19万元，增长41.10%,主要原因是：本年在职人员工资调增，行政单位医疗经费增加。</w:t>
      </w:r>
    </w:p>
    <w:p w14:paraId="33530157">
      <w:pPr>
        <w:spacing w:line="580" w:lineRule="exact"/>
        <w:ind w:firstLine="640"/>
        <w:jc w:val="both"/>
      </w:pPr>
      <w:r>
        <w:rPr>
          <w:rFonts w:ascii="仿宋_GB2312" w:hAnsi="仿宋_GB2312" w:eastAsia="仿宋_GB2312"/>
          <w:b w:val="0"/>
          <w:sz w:val="32"/>
        </w:rPr>
        <w:t>12.卫生健康支出(类)行政事业单位医疗(款)公务员医疗补助(项):支出决算数为299.47万元，比上年决算增加81.94万元，增长37.67%,主要原因是：本年在职人员工资调增，公务员医疗补助经费增加。</w:t>
      </w:r>
    </w:p>
    <w:p w14:paraId="50F15A7E">
      <w:pPr>
        <w:spacing w:line="580" w:lineRule="exact"/>
        <w:ind w:firstLine="640"/>
        <w:jc w:val="both"/>
      </w:pPr>
      <w:r>
        <w:rPr>
          <w:rFonts w:ascii="仿宋_GB2312" w:hAnsi="仿宋_GB2312" w:eastAsia="仿宋_GB2312"/>
          <w:b w:val="0"/>
          <w:sz w:val="32"/>
        </w:rPr>
        <w:t>13.住房保障支出(类)住房改革支出(款)住房公积金(项):支出决算数为2,029.38万元，比上年决算增加689.37万元，增长51.45%,主要原因是：本年在职人员工资基数调增，公积金缴费基数上涨，相应支出增加。</w:t>
      </w:r>
    </w:p>
    <w:p w14:paraId="52026F1F">
      <w:pPr>
        <w:spacing w:line="640" w:lineRule="exact"/>
        <w:ind w:firstLine="640"/>
        <w:jc w:val="both"/>
        <w:outlineLvl w:val="2"/>
      </w:pPr>
      <w:r>
        <w:rPr>
          <w:rFonts w:ascii="黑体" w:hAnsi="黑体" w:eastAsia="黑体"/>
          <w:sz w:val="32"/>
        </w:rPr>
        <w:t>六、一般公共预算财政拨款基本支出决算情况说明</w:t>
      </w:r>
    </w:p>
    <w:p w14:paraId="491F1D9A">
      <w:pPr>
        <w:spacing w:line="580" w:lineRule="exact"/>
        <w:ind w:firstLine="640"/>
        <w:jc w:val="both"/>
      </w:pPr>
      <w:r>
        <w:rPr>
          <w:rFonts w:ascii="仿宋_GB2312" w:hAnsi="仿宋_GB2312" w:eastAsia="仿宋_GB2312"/>
          <w:b w:val="0"/>
          <w:sz w:val="32"/>
        </w:rPr>
        <w:t>2024年度一般公共预算财政拨款基本支出30,335.28万元，其中：</w:t>
      </w:r>
      <w:r>
        <w:rPr>
          <w:rFonts w:ascii="仿宋_GB2312" w:hAnsi="仿宋_GB2312" w:eastAsia="仿宋_GB2312"/>
          <w:b/>
          <w:sz w:val="32"/>
        </w:rPr>
        <w:t>人员经费28,911.39万元，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2221E1E">
      <w:pPr>
        <w:spacing w:line="580" w:lineRule="exact"/>
        <w:ind w:firstLine="640"/>
        <w:jc w:val="both"/>
      </w:pPr>
      <w:r>
        <w:rPr>
          <w:rFonts w:ascii="仿宋_GB2312" w:hAnsi="仿宋_GB2312" w:eastAsia="仿宋_GB2312"/>
          <w:b/>
          <w:sz w:val="32"/>
        </w:rPr>
        <w:t>公用经费1,423.89万元，</w:t>
      </w:r>
      <w:r>
        <w:rPr>
          <w:rFonts w:ascii="仿宋_GB2312" w:hAnsi="仿宋_GB2312" w:eastAsia="仿宋_GB2312"/>
          <w:b w:val="0"/>
          <w:sz w:val="32"/>
        </w:rPr>
        <w:t>包括：办公费、水费、电费、邮电费、取暖费、物业管理费、维修（护）费、租赁费、公务接待费、其他交通费用。</w:t>
      </w:r>
    </w:p>
    <w:p w14:paraId="03D9A914">
      <w:pPr>
        <w:spacing w:line="640" w:lineRule="exact"/>
        <w:ind w:firstLine="640"/>
        <w:jc w:val="both"/>
        <w:outlineLvl w:val="2"/>
      </w:pPr>
      <w:r>
        <w:rPr>
          <w:rFonts w:ascii="黑体" w:hAnsi="黑体" w:eastAsia="黑体"/>
          <w:sz w:val="32"/>
        </w:rPr>
        <w:t>七、政府性基金预算财政拨款收入支出决算情况说明</w:t>
      </w:r>
    </w:p>
    <w:p w14:paraId="60FC82E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0ACE38">
      <w:pPr>
        <w:spacing w:line="640" w:lineRule="exact"/>
        <w:ind w:firstLine="640"/>
        <w:jc w:val="both"/>
        <w:outlineLvl w:val="2"/>
      </w:pPr>
      <w:r>
        <w:rPr>
          <w:rFonts w:ascii="黑体" w:hAnsi="黑体" w:eastAsia="黑体"/>
          <w:sz w:val="32"/>
        </w:rPr>
        <w:t>八、国有资本经营预算财政拨款收入支出决算情况说明</w:t>
      </w:r>
    </w:p>
    <w:p w14:paraId="00BCD1B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40F1EB">
      <w:pPr>
        <w:spacing w:line="640" w:lineRule="exact"/>
        <w:ind w:firstLine="640"/>
        <w:jc w:val="both"/>
        <w:outlineLvl w:val="2"/>
      </w:pPr>
      <w:r>
        <w:rPr>
          <w:rFonts w:ascii="黑体" w:hAnsi="黑体" w:eastAsia="黑体"/>
          <w:sz w:val="32"/>
        </w:rPr>
        <w:t>九、财政拨款“三公”经费支出决算情况说明</w:t>
      </w:r>
    </w:p>
    <w:p w14:paraId="4267AE77">
      <w:pPr>
        <w:spacing w:line="580" w:lineRule="exact"/>
        <w:ind w:firstLine="640"/>
        <w:jc w:val="both"/>
      </w:pPr>
      <w:r>
        <w:rPr>
          <w:rFonts w:ascii="仿宋_GB2312" w:hAnsi="仿宋_GB2312" w:eastAsia="仿宋_GB2312"/>
          <w:b/>
          <w:sz w:val="32"/>
        </w:rPr>
        <w:t>2024年度财政拨款“三公”经费支出1.52万元，</w:t>
      </w:r>
      <w:r>
        <w:rPr>
          <w:rFonts w:ascii="仿宋_GB2312" w:hAnsi="仿宋_GB2312" w:eastAsia="仿宋_GB2312"/>
          <w:b w:val="0"/>
          <w:sz w:val="32"/>
        </w:rPr>
        <w:t>比上年减少1.47万元，下降49.16%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1.60万元，下降100.00%，主要原因是：严格落实中央八项规定精神，厉行节约，减少公务用车运行维护费。公务接待费支出1.52万元，占100.00%，比上年增加0.13万元，增长9.35%，主要原因是：本年因业务需求，增加公务接待工作，导致公务接待费较上年增加。</w:t>
      </w:r>
    </w:p>
    <w:p w14:paraId="40417A28">
      <w:pPr>
        <w:spacing w:line="580" w:lineRule="exact"/>
        <w:ind w:firstLine="640"/>
        <w:jc w:val="both"/>
      </w:pPr>
      <w:r>
        <w:rPr>
          <w:rFonts w:ascii="仿宋_GB2312" w:hAnsi="仿宋_GB2312" w:eastAsia="仿宋_GB2312"/>
          <w:b/>
          <w:sz w:val="32"/>
        </w:rPr>
        <w:t>具体情况如下：</w:t>
      </w:r>
    </w:p>
    <w:p w14:paraId="4730471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4C3393">
      <w:pPr>
        <w:spacing w:line="580" w:lineRule="exact"/>
        <w:ind w:firstLine="640"/>
        <w:jc w:val="both"/>
        <w:rPr>
          <w:color w:val="auto"/>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w:t>
      </w:r>
      <w:r>
        <w:rPr>
          <w:rFonts w:ascii="仿宋_GB2312" w:hAnsi="仿宋_GB2312" w:eastAsia="仿宋_GB2312"/>
          <w:b w:val="0"/>
          <w:color w:val="auto"/>
          <w:sz w:val="32"/>
        </w:rPr>
        <w:t>266辆，与公务用车保有量差异原因是：差异车辆为一般业务用车，未安排</w:t>
      </w:r>
      <w:r>
        <w:rPr>
          <w:rFonts w:hint="eastAsia" w:ascii="仿宋_GB2312" w:hAnsi="仿宋_GB2312" w:eastAsia="仿宋_GB2312"/>
          <w:b w:val="0"/>
          <w:color w:val="auto"/>
          <w:sz w:val="32"/>
          <w:lang w:val="en-US" w:eastAsia="zh-CN"/>
        </w:rPr>
        <w:t>财政拨款的</w:t>
      </w:r>
      <w:r>
        <w:rPr>
          <w:rFonts w:ascii="仿宋_GB2312" w:hAnsi="仿宋_GB2312" w:eastAsia="仿宋_GB2312"/>
          <w:b w:val="0"/>
          <w:color w:val="auto"/>
          <w:sz w:val="32"/>
        </w:rPr>
        <w:t>公务用车运行维护费</w:t>
      </w:r>
      <w:r>
        <w:rPr>
          <w:rFonts w:hint="eastAsia" w:ascii="仿宋_GB2312" w:hAnsi="仿宋_GB2312" w:eastAsia="仿宋_GB2312"/>
          <w:b w:val="0"/>
          <w:color w:val="auto"/>
          <w:sz w:val="32"/>
          <w:lang w:eastAsia="zh-CN"/>
        </w:rPr>
        <w:t>，</w:t>
      </w:r>
      <w:r>
        <w:rPr>
          <w:rFonts w:hint="eastAsia" w:ascii="仿宋_GB2312" w:hAnsi="仿宋_GB2312" w:eastAsia="仿宋_GB2312"/>
          <w:b w:val="0"/>
          <w:color w:val="auto"/>
          <w:sz w:val="32"/>
          <w:lang w:val="en-US" w:eastAsia="zh-CN"/>
        </w:rPr>
        <w:t>使用其他交通费支出</w:t>
      </w:r>
      <w:r>
        <w:rPr>
          <w:rFonts w:ascii="仿宋_GB2312" w:hAnsi="仿宋_GB2312" w:eastAsia="仿宋_GB2312"/>
          <w:b w:val="0"/>
          <w:color w:val="auto"/>
          <w:sz w:val="32"/>
        </w:rPr>
        <w:t>。</w:t>
      </w:r>
    </w:p>
    <w:p w14:paraId="518112BB">
      <w:pPr>
        <w:spacing w:line="580" w:lineRule="exact"/>
        <w:ind w:firstLine="640"/>
        <w:jc w:val="both"/>
      </w:pPr>
      <w:r>
        <w:rPr>
          <w:rFonts w:ascii="仿宋_GB2312" w:hAnsi="仿宋_GB2312" w:eastAsia="仿宋_GB2312"/>
          <w:b w:val="0"/>
          <w:color w:val="auto"/>
          <w:sz w:val="32"/>
        </w:rPr>
        <w:t>公务接待费</w:t>
      </w:r>
      <w:r>
        <w:rPr>
          <w:rFonts w:ascii="仿宋_GB2312" w:hAnsi="仿宋_GB2312" w:eastAsia="仿宋_GB2312"/>
          <w:b w:val="0"/>
          <w:sz w:val="32"/>
        </w:rPr>
        <w:t>1.52万元，开支内容包括接待上级领导检查产生的就餐费。单位全年安排的国内公务接待25批次，124人次。</w:t>
      </w:r>
    </w:p>
    <w:p w14:paraId="4FEEB06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5.84万元，决算数1.52万元，预决算差异率-73.97%，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0.00万元，预决算差异率-100.00%，主要原因是：</w:t>
      </w:r>
      <w:r>
        <w:rPr>
          <w:rFonts w:hint="eastAsia" w:ascii="仿宋_GB2312" w:hAnsi="仿宋_GB2312" w:eastAsia="仿宋_GB2312"/>
          <w:b w:val="0"/>
          <w:sz w:val="32"/>
          <w:lang w:val="en-US" w:eastAsia="zh-CN"/>
        </w:rPr>
        <w:t>本年度未使用财政拨款的公务用车运行维护费</w:t>
      </w:r>
      <w:r>
        <w:rPr>
          <w:rFonts w:ascii="仿宋_GB2312" w:hAnsi="仿宋_GB2312" w:eastAsia="仿宋_GB2312"/>
          <w:b w:val="0"/>
          <w:sz w:val="32"/>
        </w:rPr>
        <w:t>。公务接待费全年预算数3.00万元，决算数1.52万元，预决算差异率-49.33%，主要原因是：严格落实中央八项规定精神，厉行节约，减少经费支出。</w:t>
      </w:r>
    </w:p>
    <w:p w14:paraId="44AA3E0B">
      <w:pPr>
        <w:spacing w:line="640" w:lineRule="exact"/>
        <w:ind w:firstLine="640"/>
        <w:jc w:val="both"/>
        <w:outlineLvl w:val="2"/>
      </w:pPr>
      <w:r>
        <w:rPr>
          <w:rFonts w:ascii="黑体" w:hAnsi="黑体" w:eastAsia="黑体"/>
          <w:sz w:val="32"/>
        </w:rPr>
        <w:t>十、其他重要事项的情况说明</w:t>
      </w:r>
    </w:p>
    <w:p w14:paraId="61D410AD">
      <w:pPr>
        <w:spacing w:line="640" w:lineRule="exact"/>
        <w:ind w:firstLine="640"/>
        <w:jc w:val="both"/>
        <w:outlineLvl w:val="3"/>
      </w:pPr>
      <w:r>
        <w:rPr>
          <w:rFonts w:ascii="楷体_GB2312" w:hAnsi="楷体_GB2312" w:eastAsia="楷体_GB2312"/>
          <w:b/>
          <w:sz w:val="32"/>
        </w:rPr>
        <w:t>（一）机关运行经费及公用经费支出情况</w:t>
      </w:r>
    </w:p>
    <w:p w14:paraId="1CAFC375">
      <w:pPr>
        <w:spacing w:line="580" w:lineRule="exact"/>
        <w:ind w:firstLine="640"/>
        <w:jc w:val="both"/>
      </w:pPr>
      <w:r>
        <w:rPr>
          <w:rFonts w:ascii="仿宋_GB2312" w:hAnsi="仿宋_GB2312" w:eastAsia="仿宋_GB2312"/>
          <w:b w:val="0"/>
          <w:sz w:val="32"/>
        </w:rPr>
        <w:t>2024年度叶城县公安局（行政单位和参照公务员法管理事业单位）机关运行经费支出1,423.89万元，比上年增加41.77万元，增长3.02%，主要原因是：本年增加办公经费、维修（护）费，导致公用经费增加。</w:t>
      </w:r>
    </w:p>
    <w:p w14:paraId="6146F76D">
      <w:pPr>
        <w:spacing w:line="640" w:lineRule="exact"/>
        <w:ind w:firstLine="640"/>
        <w:jc w:val="both"/>
        <w:outlineLvl w:val="3"/>
      </w:pPr>
      <w:r>
        <w:rPr>
          <w:rFonts w:ascii="楷体_GB2312" w:hAnsi="楷体_GB2312" w:eastAsia="楷体_GB2312"/>
          <w:b/>
          <w:sz w:val="32"/>
        </w:rPr>
        <w:t>（二）政府采购情况</w:t>
      </w:r>
    </w:p>
    <w:p w14:paraId="2B8BE34C">
      <w:pPr>
        <w:spacing w:line="580" w:lineRule="exact"/>
        <w:ind w:firstLine="640"/>
        <w:jc w:val="both"/>
      </w:pPr>
      <w:r>
        <w:rPr>
          <w:rFonts w:ascii="仿宋_GB2312" w:hAnsi="仿宋_GB2312" w:eastAsia="仿宋_GB2312"/>
          <w:b w:val="0"/>
          <w:sz w:val="32"/>
        </w:rPr>
        <w:t>2024年度政府采购支出总额5,312.11万元，其中：政府采购货物支出4,032.75万元、政府采购工程支出232.77万元、政府采购服务支出1,046.59万元。</w:t>
      </w:r>
    </w:p>
    <w:p w14:paraId="040543ED">
      <w:pPr>
        <w:spacing w:line="580" w:lineRule="exact"/>
        <w:ind w:firstLine="640"/>
        <w:jc w:val="both"/>
      </w:pPr>
      <w:r>
        <w:rPr>
          <w:rFonts w:ascii="仿宋_GB2312" w:hAnsi="仿宋_GB2312" w:eastAsia="仿宋_GB2312"/>
          <w:b w:val="0"/>
          <w:sz w:val="32"/>
        </w:rPr>
        <w:t>授予中小企业合同金额5,305.71万元，占政府采购支出总额的99.88%，其中：授予小微企业合同金额4,958.56万元，占政府采购支出总额的93.34%。</w:t>
      </w:r>
    </w:p>
    <w:p w14:paraId="6C45DC19">
      <w:pPr>
        <w:spacing w:line="640" w:lineRule="exact"/>
        <w:ind w:firstLine="640"/>
        <w:jc w:val="both"/>
        <w:outlineLvl w:val="3"/>
      </w:pPr>
      <w:r>
        <w:rPr>
          <w:rFonts w:ascii="楷体_GB2312" w:hAnsi="楷体_GB2312" w:eastAsia="楷体_GB2312"/>
          <w:b/>
          <w:sz w:val="32"/>
        </w:rPr>
        <w:t>（三）国有资产占用情况说明</w:t>
      </w:r>
    </w:p>
    <w:p w14:paraId="4B891A1B">
      <w:pPr>
        <w:spacing w:line="580" w:lineRule="exact"/>
        <w:ind w:firstLine="640"/>
        <w:jc w:val="both"/>
      </w:pPr>
      <w:r>
        <w:rPr>
          <w:rFonts w:ascii="仿宋_GB2312" w:hAnsi="仿宋_GB2312" w:eastAsia="仿宋_GB2312"/>
          <w:b w:val="0"/>
          <w:sz w:val="32"/>
        </w:rPr>
        <w:t>截至2024年12月31日，房屋85,538.66平方米，价值22,136.75万元。车辆266辆，价值3,160.23万元，其中：副部（省）级及以上领导用车0辆、主要负责人用车0辆、机要通信用车0辆、应急保障用车0辆、执法执勤用车256辆、特种专业技术用车8辆、离退休干部服务用车0辆、其他用车2辆，其他用车主要是：单位业务用车。单价100万元（含）以上设备（不含车辆）44台（套）。</w:t>
      </w:r>
    </w:p>
    <w:p w14:paraId="3F0CECEA">
      <w:pPr>
        <w:spacing w:line="640" w:lineRule="exact"/>
        <w:ind w:firstLine="640"/>
        <w:jc w:val="both"/>
        <w:outlineLvl w:val="2"/>
      </w:pPr>
      <w:r>
        <w:rPr>
          <w:rFonts w:ascii="黑体" w:hAnsi="黑体" w:eastAsia="黑体"/>
          <w:sz w:val="32"/>
        </w:rPr>
        <w:t>十一、预算绩效的情况说明</w:t>
      </w:r>
    </w:p>
    <w:p w14:paraId="2C0A064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根据预算绩效管理要求，本单位2024年度预算绩效管理形成整体支出绩效自评表1个，全年预算总额41,114.31万元，实际执行总额41,114.31万元；预算绩效评价项目23个，全年预算数22</w:t>
      </w:r>
      <w:r>
        <w:rPr>
          <w:rFonts w:hint="eastAsia" w:ascii="仿宋_GB2312" w:hAnsi="仿宋_GB2312" w:eastAsia="仿宋_GB2312"/>
          <w:b w:val="0"/>
          <w:sz w:val="32"/>
          <w:lang w:val="en-US" w:eastAsia="zh-CN"/>
        </w:rPr>
        <w:t>,</w:t>
      </w:r>
      <w:r>
        <w:rPr>
          <w:rFonts w:ascii="仿宋_GB2312" w:hAnsi="仿宋_GB2312" w:eastAsia="仿宋_GB2312"/>
          <w:b w:val="0"/>
          <w:sz w:val="32"/>
        </w:rPr>
        <w:t>014.99万元，全年执行数12</w:t>
      </w:r>
      <w:r>
        <w:rPr>
          <w:rFonts w:hint="eastAsia" w:ascii="仿宋_GB2312" w:hAnsi="仿宋_GB2312" w:eastAsia="仿宋_GB2312"/>
          <w:b w:val="0"/>
          <w:sz w:val="32"/>
          <w:lang w:val="en-US" w:eastAsia="zh-CN"/>
        </w:rPr>
        <w:t>,</w:t>
      </w:r>
      <w:r>
        <w:rPr>
          <w:rFonts w:ascii="仿宋_GB2312" w:hAnsi="仿宋_GB2312" w:eastAsia="仿宋_GB2312"/>
          <w:b w:val="0"/>
          <w:sz w:val="32"/>
        </w:rPr>
        <w:t>090.67万元。预算绩效管理取得的成效：本单位</w:t>
      </w:r>
      <w:r>
        <w:rPr>
          <w:rFonts w:hint="eastAsia" w:ascii="仿宋_GB2312" w:hAnsi="仿宋_GB2312" w:eastAsia="仿宋_GB2312"/>
          <w:b w:val="0"/>
          <w:sz w:val="32"/>
        </w:rPr>
        <w:t>预算绩效项目不予公开</w:t>
      </w:r>
      <w:r>
        <w:rPr>
          <w:rFonts w:ascii="仿宋_GB2312" w:hAnsi="仿宋_GB2312" w:eastAsia="仿宋_GB2312"/>
          <w:b w:val="0"/>
          <w:sz w:val="32"/>
        </w:rPr>
        <w:t>。发现的问题及原因：本单位</w:t>
      </w:r>
      <w:r>
        <w:rPr>
          <w:rFonts w:hint="eastAsia" w:ascii="仿宋_GB2312" w:hAnsi="仿宋_GB2312" w:eastAsia="仿宋_GB2312"/>
          <w:b w:val="0"/>
          <w:sz w:val="32"/>
        </w:rPr>
        <w:t>预算绩效项目不予公开</w:t>
      </w:r>
      <w:r>
        <w:rPr>
          <w:rFonts w:ascii="仿宋_GB2312" w:hAnsi="仿宋_GB2312" w:eastAsia="仿宋_GB2312"/>
          <w:b w:val="0"/>
          <w:sz w:val="32"/>
        </w:rPr>
        <w:t>。下一步改进措施：本单位</w:t>
      </w:r>
      <w:r>
        <w:rPr>
          <w:rFonts w:hint="eastAsia" w:ascii="仿宋_GB2312" w:hAnsi="仿宋_GB2312" w:eastAsia="仿宋_GB2312"/>
          <w:b w:val="0"/>
          <w:sz w:val="32"/>
        </w:rPr>
        <w:t>预算绩效项目不予公开</w:t>
      </w:r>
      <w:r>
        <w:rPr>
          <w:rFonts w:ascii="仿宋_GB2312" w:hAnsi="仿宋_GB2312" w:eastAsia="仿宋_GB2312"/>
          <w:b w:val="0"/>
          <w:sz w:val="32"/>
        </w:rPr>
        <w:t>。具体附整体支出绩效自评表。</w:t>
      </w:r>
    </w:p>
    <w:p w14:paraId="281279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298"/>
        <w:gridCol w:w="668"/>
        <w:gridCol w:w="983"/>
        <w:gridCol w:w="983"/>
        <w:gridCol w:w="983"/>
      </w:tblGrid>
      <w:tr w14:paraId="0BCC523E">
        <w:tblPrEx>
          <w:tblCellMar>
            <w:top w:w="0" w:type="dxa"/>
            <w:left w:w="108" w:type="dxa"/>
            <w:bottom w:w="0" w:type="dxa"/>
            <w:right w:w="108" w:type="dxa"/>
          </w:tblCellMar>
        </w:tblPrEx>
        <w:tc>
          <w:tcPr>
            <w:tcW w:w="8847" w:type="dxa"/>
            <w:gridSpan w:val="9"/>
            <w:vAlign w:val="center"/>
          </w:tcPr>
          <w:p w14:paraId="1F50E937">
            <w:pPr>
              <w:jc w:val="center"/>
            </w:pPr>
            <w:r>
              <w:rPr>
                <w:rFonts w:ascii="宋体" w:hAnsi="宋体" w:eastAsia="宋体"/>
                <w:sz w:val="24"/>
              </w:rPr>
              <w:t>单位整体支出绩效自评表</w:t>
            </w:r>
          </w:p>
        </w:tc>
      </w:tr>
      <w:tr w14:paraId="393C4F3A">
        <w:tblPrEx>
          <w:tblCellMar>
            <w:top w:w="0" w:type="dxa"/>
            <w:left w:w="108" w:type="dxa"/>
            <w:bottom w:w="0" w:type="dxa"/>
            <w:right w:w="108" w:type="dxa"/>
          </w:tblCellMar>
        </w:tblPrEx>
        <w:tc>
          <w:tcPr>
            <w:tcW w:w="8847" w:type="dxa"/>
            <w:gridSpan w:val="9"/>
            <w:vAlign w:val="center"/>
          </w:tcPr>
          <w:p w14:paraId="654E5B04">
            <w:pPr>
              <w:jc w:val="center"/>
            </w:pPr>
            <w:r>
              <w:rPr>
                <w:rFonts w:ascii="宋体" w:hAnsi="宋体" w:eastAsia="宋体"/>
                <w:sz w:val="24"/>
              </w:rPr>
              <w:t>（2024年度）</w:t>
            </w:r>
          </w:p>
        </w:tc>
      </w:tr>
      <w:tr w14:paraId="140352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3F9D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9B7FE8">
            <w:pPr>
              <w:jc w:val="center"/>
            </w:pPr>
            <w:r>
              <w:rPr>
                <w:rFonts w:ascii="宋体" w:hAnsi="宋体" w:eastAsia="宋体"/>
                <w:sz w:val="16"/>
              </w:rPr>
              <w:t>叶城县公安局</w:t>
            </w:r>
          </w:p>
        </w:tc>
      </w:tr>
      <w:tr w14:paraId="79E589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94A3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EB1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FBF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F10D">
            <w:pPr>
              <w:jc w:val="center"/>
            </w:pPr>
            <w:r>
              <w:rPr>
                <w:rFonts w:ascii="宋体" w:hAnsi="宋体" w:eastAsia="宋体"/>
                <w:sz w:val="16"/>
              </w:rPr>
              <w:t>预算数（调整后）</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652DD91F">
            <w:pPr>
              <w:jc w:val="center"/>
            </w:pPr>
            <w:r>
              <w:rPr>
                <w:rFonts w:ascii="宋体" w:hAnsi="宋体" w:eastAsia="宋体"/>
                <w:sz w:val="16"/>
              </w:rPr>
              <w:t>执行数</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7886CA6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901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6FBA">
            <w:pPr>
              <w:jc w:val="center"/>
            </w:pPr>
            <w:r>
              <w:rPr>
                <w:rFonts w:ascii="宋体" w:hAnsi="宋体" w:eastAsia="宋体"/>
                <w:sz w:val="16"/>
              </w:rPr>
              <w:t>得分</w:t>
            </w:r>
          </w:p>
        </w:tc>
      </w:tr>
      <w:tr w14:paraId="51EBBA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AF1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3B0A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4A1C5">
            <w:pPr>
              <w:jc w:val="center"/>
            </w:pPr>
            <w:r>
              <w:rPr>
                <w:rFonts w:ascii="宋体" w:hAnsi="宋体" w:eastAsia="宋体"/>
                <w:sz w:val="16"/>
              </w:rPr>
              <w:t>53,620.77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FA26">
            <w:pPr>
              <w:jc w:val="center"/>
            </w:pPr>
            <w:r>
              <w:rPr>
                <w:rFonts w:ascii="宋体" w:hAnsi="宋体" w:eastAsia="宋体"/>
                <w:sz w:val="16"/>
              </w:rPr>
              <w:t>41,114.31</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5EFDED27">
            <w:pPr>
              <w:jc w:val="center"/>
            </w:pPr>
            <w:r>
              <w:rPr>
                <w:rFonts w:ascii="宋体" w:hAnsi="宋体" w:eastAsia="宋体"/>
                <w:sz w:val="16"/>
              </w:rPr>
              <w:t>41,114.31</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6DC6C1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6515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F336">
            <w:pPr>
              <w:jc w:val="center"/>
            </w:pPr>
            <w:r>
              <w:rPr>
                <w:rFonts w:ascii="宋体" w:hAnsi="宋体" w:eastAsia="宋体"/>
                <w:sz w:val="16"/>
              </w:rPr>
              <w:t>10</w:t>
            </w:r>
          </w:p>
        </w:tc>
      </w:tr>
      <w:tr w14:paraId="2D1E0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82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6D8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FC1A6">
            <w:pPr>
              <w:jc w:val="center"/>
            </w:pPr>
            <w:r>
              <w:rPr>
                <w:rFonts w:ascii="宋体" w:hAnsi="宋体" w:eastAsia="宋体"/>
                <w:sz w:val="16"/>
              </w:rPr>
              <w:t>8,927.55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3FFF">
            <w:pPr>
              <w:jc w:val="center"/>
            </w:pPr>
            <w:r>
              <w:rPr>
                <w:rFonts w:ascii="宋体" w:hAnsi="宋体" w:eastAsia="宋体"/>
                <w:sz w:val="16"/>
              </w:rPr>
              <w:t>22,251.29</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39A31839">
            <w:pPr>
              <w:jc w:val="center"/>
            </w:pPr>
            <w:r>
              <w:rPr>
                <w:rFonts w:ascii="宋体" w:hAnsi="宋体" w:eastAsia="宋体"/>
                <w:sz w:val="16"/>
              </w:rPr>
              <w:t>22,251.29</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5204BD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E937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AB76">
            <w:pPr>
              <w:jc w:val="center"/>
            </w:pPr>
            <w:r>
              <w:rPr>
                <w:rFonts w:ascii="宋体" w:hAnsi="宋体" w:eastAsia="宋体"/>
                <w:sz w:val="16"/>
              </w:rPr>
              <w:t>—</w:t>
            </w:r>
          </w:p>
        </w:tc>
      </w:tr>
      <w:tr w14:paraId="1C3BF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7FA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BBB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39F56">
            <w:pPr>
              <w:jc w:val="center"/>
            </w:pPr>
            <w:r>
              <w:rPr>
                <w:rFonts w:ascii="宋体" w:hAnsi="宋体" w:eastAsia="宋体"/>
                <w:sz w:val="16"/>
              </w:rPr>
              <w:t>44,693.22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12793">
            <w:pPr>
              <w:jc w:val="center"/>
            </w:pPr>
            <w:r>
              <w:rPr>
                <w:rFonts w:ascii="宋体" w:hAnsi="宋体" w:eastAsia="宋体"/>
                <w:sz w:val="16"/>
              </w:rPr>
              <w:t>17,986.49</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114DED19">
            <w:pPr>
              <w:jc w:val="center"/>
            </w:pPr>
            <w:r>
              <w:rPr>
                <w:rFonts w:ascii="宋体" w:hAnsi="宋体" w:eastAsia="宋体"/>
                <w:sz w:val="16"/>
              </w:rPr>
              <w:t>17,986.49</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32AF7C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9B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7E307">
            <w:pPr>
              <w:jc w:val="center"/>
            </w:pPr>
            <w:r>
              <w:rPr>
                <w:rFonts w:ascii="宋体" w:hAnsi="宋体" w:eastAsia="宋体"/>
                <w:sz w:val="16"/>
              </w:rPr>
              <w:t>—</w:t>
            </w:r>
          </w:p>
        </w:tc>
      </w:tr>
      <w:tr w14:paraId="2DF8D6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E72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B171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0C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70B2F">
            <w:pPr>
              <w:jc w:val="center"/>
            </w:pPr>
            <w:r>
              <w:rPr>
                <w:rFonts w:ascii="宋体" w:hAnsi="宋体" w:eastAsia="宋体"/>
                <w:sz w:val="16"/>
              </w:rPr>
              <w:t>876.53</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29D17B81">
            <w:pPr>
              <w:jc w:val="center"/>
            </w:pPr>
            <w:r>
              <w:rPr>
                <w:rFonts w:ascii="宋体" w:hAnsi="宋体" w:eastAsia="宋体"/>
                <w:sz w:val="16"/>
              </w:rPr>
              <w:t>876.53</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6A880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DEEE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4FD7">
            <w:pPr>
              <w:jc w:val="center"/>
            </w:pPr>
            <w:r>
              <w:rPr>
                <w:rFonts w:ascii="宋体" w:hAnsi="宋体" w:eastAsia="宋体"/>
                <w:sz w:val="16"/>
              </w:rPr>
              <w:t>—</w:t>
            </w:r>
          </w:p>
        </w:tc>
      </w:tr>
      <w:tr w14:paraId="320170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007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6A5E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7553B">
            <w:pPr>
              <w:jc w:val="center"/>
            </w:pPr>
            <w:r>
              <w:rPr>
                <w:rFonts w:ascii="宋体" w:hAnsi="宋体" w:eastAsia="宋体"/>
                <w:sz w:val="16"/>
              </w:rPr>
              <w:t>实际完成情况</w:t>
            </w:r>
          </w:p>
        </w:tc>
      </w:tr>
      <w:tr w14:paraId="21B8B8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626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9CBEA6">
            <w:pPr>
              <w:jc w:val="both"/>
            </w:pPr>
            <w:r>
              <w:rPr>
                <w:rFonts w:ascii="宋体" w:hAnsi="宋体" w:eastAsia="宋体"/>
                <w:sz w:val="16"/>
              </w:rPr>
              <w:t>贯彻执行公安工作的法律，法规、规章和方针，政策，研究制定公安</w:t>
            </w:r>
            <w:r>
              <w:rPr>
                <w:rFonts w:hint="eastAsia" w:ascii="宋体" w:hAnsi="宋体"/>
                <w:sz w:val="16"/>
                <w:lang w:eastAsia="zh-CN"/>
              </w:rPr>
              <w:t>工作</w:t>
            </w:r>
            <w:r>
              <w:rPr>
                <w:rFonts w:ascii="宋体" w:hAnsi="宋体" w:eastAsia="宋体"/>
                <w:sz w:val="16"/>
              </w:rPr>
              <w:t>方案和措施，领导，监督、检查全县公安工作。调查研究公安工作中出现的新情况，新问题，掌握危害国家安全，影响社会治安稳定的情报信息，分析预测敌情和社情，为县委、县政府和上级公安机关提供信息报信息，并提出对策。制定完善内部执法制度，实施内部执法监督，依法办理行政复议，行政诉讼案件。依法查处危害社会治安秩序行为，承担全县治安，户口、居民身份证，危险物品，特种行业和出入境管理责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E79C82">
            <w:pPr>
              <w:jc w:val="both"/>
            </w:pPr>
            <w:r>
              <w:rPr>
                <w:rFonts w:hint="eastAsia" w:ascii="宋体" w:hAnsi="宋体"/>
                <w:sz w:val="16"/>
                <w:lang w:eastAsia="zh-CN"/>
              </w:rPr>
              <w:t>截至</w:t>
            </w:r>
            <w:r>
              <w:rPr>
                <w:rFonts w:ascii="宋体" w:hAnsi="宋体" w:eastAsia="宋体"/>
                <w:sz w:val="16"/>
              </w:rPr>
              <w:t>2024年12月31日，贯彻执行公安工作的法律，法规、规章和方针，政策，研究制定公安</w:t>
            </w:r>
            <w:r>
              <w:rPr>
                <w:rFonts w:hint="eastAsia" w:ascii="宋体" w:hAnsi="宋体"/>
                <w:sz w:val="16"/>
                <w:lang w:eastAsia="zh-CN"/>
              </w:rPr>
              <w:t>工作</w:t>
            </w:r>
            <w:r>
              <w:rPr>
                <w:rFonts w:ascii="宋体" w:hAnsi="宋体" w:eastAsia="宋体"/>
                <w:sz w:val="16"/>
              </w:rPr>
              <w:t>方案和措施，领导，监督、检查全县公安工作。调查研究公安工作中出现的新情况，新问题，掌握危害国家安全，影响社会治安稳定的情报信息，分析预测敌情和社情，为县委、县政府和上级公安机关提供信息报信息，并提出对策。制定完善内部执法制度，实施内部执法监督，依法办理行政复议，行政诉讼案件。依法查处危害社会治安秩序行为，承担全县治安，户口、居民身份证，危险物品，特种行业和出入境管理责任。主要完成举报线索核查率100%、开展法治宣传活动场次6次、化解矛盾纠纷数量2000件、案件办结率100%、核心区域经理到达时间1分钟。</w:t>
            </w:r>
          </w:p>
        </w:tc>
      </w:tr>
      <w:tr w14:paraId="2F49AB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040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5A34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788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144BD">
            <w:pPr>
              <w:jc w:val="center"/>
            </w:pPr>
            <w:r>
              <w:rPr>
                <w:rFonts w:ascii="宋体" w:hAnsi="宋体" w:eastAsia="宋体"/>
                <w:sz w:val="16"/>
              </w:rPr>
              <w:t>指标值</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0B1EFCCF">
            <w:pPr>
              <w:jc w:val="center"/>
            </w:pPr>
            <w:r>
              <w:rPr>
                <w:rFonts w:ascii="宋体" w:hAnsi="宋体" w:eastAsia="宋体"/>
                <w:sz w:val="16"/>
              </w:rPr>
              <w:t>指标值设定依据</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2922239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5EB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72C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1DD3B">
            <w:pPr>
              <w:jc w:val="center"/>
            </w:pPr>
            <w:r>
              <w:rPr>
                <w:rFonts w:ascii="宋体" w:hAnsi="宋体" w:eastAsia="宋体"/>
                <w:sz w:val="16"/>
              </w:rPr>
              <w:t>得分</w:t>
            </w:r>
          </w:p>
        </w:tc>
      </w:tr>
      <w:tr w14:paraId="3A1E39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6D4A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BA7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210F7">
            <w:pPr>
              <w:jc w:val="center"/>
            </w:pPr>
            <w:r>
              <w:rPr>
                <w:rFonts w:ascii="宋体" w:hAnsi="宋体" w:eastAsia="宋体"/>
                <w:sz w:val="16"/>
              </w:rPr>
              <w:t>开展</w:t>
            </w:r>
            <w:r>
              <w:rPr>
                <w:rFonts w:hint="eastAsia" w:ascii="宋体" w:hAnsi="宋体"/>
                <w:sz w:val="16"/>
                <w:lang w:eastAsia="zh-CN"/>
              </w:rPr>
              <w:t>法治宣传</w:t>
            </w:r>
            <w:r>
              <w:rPr>
                <w:rFonts w:ascii="宋体" w:hAnsi="宋体" w:eastAsia="宋体"/>
                <w:sz w:val="16"/>
              </w:rPr>
              <w:t>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2844">
            <w:pPr>
              <w:jc w:val="center"/>
            </w:pPr>
            <w:r>
              <w:rPr>
                <w:rFonts w:ascii="宋体" w:hAnsi="宋体" w:eastAsia="宋体"/>
                <w:sz w:val="16"/>
              </w:rPr>
              <w:t>=6次</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1C20F009">
            <w:pPr>
              <w:jc w:val="center"/>
            </w:pPr>
            <w:r>
              <w:rPr>
                <w:rFonts w:ascii="宋体" w:hAnsi="宋体" w:eastAsia="宋体"/>
                <w:sz w:val="16"/>
              </w:rPr>
              <w:t>2024年预算安排年度工作</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7B34FB6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B5750">
            <w:pPr>
              <w:jc w:val="center"/>
            </w:pPr>
            <w:r>
              <w:rPr>
                <w:rFonts w:ascii="宋体" w:hAnsi="宋体" w:eastAsia="宋体"/>
                <w:sz w:val="16"/>
              </w:rPr>
              <w:tab/>
            </w: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2F8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F80CB">
            <w:pPr>
              <w:jc w:val="center"/>
            </w:pPr>
            <w:r>
              <w:rPr>
                <w:rFonts w:ascii="宋体" w:hAnsi="宋体" w:eastAsia="宋体"/>
                <w:sz w:val="16"/>
              </w:rPr>
              <w:t>18</w:t>
            </w:r>
          </w:p>
        </w:tc>
      </w:tr>
      <w:tr w14:paraId="67BAB9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8D8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202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0AF03">
            <w:pPr>
              <w:jc w:val="center"/>
            </w:pPr>
            <w:r>
              <w:rPr>
                <w:rFonts w:ascii="宋体" w:hAnsi="宋体" w:eastAsia="宋体"/>
                <w:sz w:val="16"/>
              </w:rPr>
              <w:t>化解矛盾纠纷数量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1A6A">
            <w:pPr>
              <w:jc w:val="center"/>
            </w:pPr>
            <w:r>
              <w:rPr>
                <w:rFonts w:ascii="宋体" w:hAnsi="宋体" w:eastAsia="宋体"/>
                <w:sz w:val="16"/>
              </w:rPr>
              <w:t>=2000件</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09DB8B3E">
            <w:pPr>
              <w:jc w:val="center"/>
            </w:pPr>
            <w:r>
              <w:rPr>
                <w:rFonts w:ascii="宋体" w:hAnsi="宋体" w:eastAsia="宋体"/>
                <w:sz w:val="16"/>
              </w:rPr>
              <w:t>2024年预算安排年度工作</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6B61AB0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2B98">
            <w:pPr>
              <w:jc w:val="center"/>
            </w:pPr>
            <w:r>
              <w:rPr>
                <w:rFonts w:ascii="宋体" w:hAnsi="宋体" w:eastAsia="宋体"/>
                <w:sz w:val="16"/>
              </w:rPr>
              <w:tab/>
            </w:r>
            <w:r>
              <w:rPr>
                <w:rFonts w:ascii="宋体" w:hAnsi="宋体" w:eastAsia="宋体"/>
                <w:sz w:val="16"/>
              </w:rPr>
              <w:t>=2000件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0C5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5614">
            <w:pPr>
              <w:jc w:val="center"/>
            </w:pPr>
            <w:r>
              <w:rPr>
                <w:rFonts w:ascii="宋体" w:hAnsi="宋体" w:eastAsia="宋体"/>
                <w:sz w:val="16"/>
              </w:rPr>
              <w:t>18</w:t>
            </w:r>
          </w:p>
        </w:tc>
      </w:tr>
      <w:tr w14:paraId="2861C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8EA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F96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87BF">
            <w:pPr>
              <w:jc w:val="center"/>
            </w:pPr>
            <w:r>
              <w:rPr>
                <w:rFonts w:ascii="宋体" w:hAnsi="宋体" w:eastAsia="宋体"/>
                <w:sz w:val="16"/>
              </w:rPr>
              <w:t>案件办结率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6613">
            <w:pPr>
              <w:jc w:val="center"/>
            </w:pPr>
            <w:r>
              <w:rPr>
                <w:rFonts w:ascii="宋体" w:hAnsi="宋体" w:eastAsia="宋体"/>
                <w:sz w:val="16"/>
              </w:rPr>
              <w:t>=100%</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6E941A18">
            <w:pPr>
              <w:jc w:val="center"/>
            </w:pPr>
            <w:r>
              <w:rPr>
                <w:rFonts w:ascii="宋体" w:hAnsi="宋体" w:eastAsia="宋体"/>
                <w:sz w:val="16"/>
              </w:rPr>
              <w:t>2024年预算安排年度工作</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53217E5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ADE9">
            <w:pPr>
              <w:jc w:val="center"/>
            </w:pPr>
            <w:r>
              <w:rPr>
                <w:rFonts w:ascii="宋体" w:hAnsi="宋体" w:eastAsia="宋体"/>
                <w:sz w:val="16"/>
              </w:rPr>
              <w:tab/>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64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8ED8">
            <w:pPr>
              <w:jc w:val="center"/>
            </w:pPr>
            <w:r>
              <w:rPr>
                <w:rFonts w:ascii="宋体" w:hAnsi="宋体" w:eastAsia="宋体"/>
                <w:sz w:val="16"/>
              </w:rPr>
              <w:t>18</w:t>
            </w:r>
          </w:p>
        </w:tc>
      </w:tr>
      <w:tr w14:paraId="6E414D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4AD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1B6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0FE44">
            <w:pPr>
              <w:jc w:val="center"/>
            </w:pPr>
            <w:r>
              <w:rPr>
                <w:rFonts w:ascii="宋体" w:hAnsi="宋体" w:eastAsia="宋体"/>
                <w:sz w:val="16"/>
              </w:rPr>
              <w:t>核心区域经理到达时间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A884">
            <w:pPr>
              <w:jc w:val="center"/>
            </w:pPr>
            <w:r>
              <w:rPr>
                <w:rFonts w:ascii="宋体" w:hAnsi="宋体" w:eastAsia="宋体"/>
                <w:sz w:val="16"/>
              </w:rPr>
              <w:t>=1分钟</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1FCE37B2">
            <w:pPr>
              <w:jc w:val="center"/>
            </w:pPr>
            <w:r>
              <w:rPr>
                <w:rFonts w:ascii="宋体" w:hAnsi="宋体" w:eastAsia="宋体"/>
                <w:sz w:val="16"/>
              </w:rPr>
              <w:t>2024年预算安排年度工作</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723433F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FC33">
            <w:pPr>
              <w:jc w:val="center"/>
            </w:pPr>
            <w:r>
              <w:rPr>
                <w:rFonts w:ascii="宋体" w:hAnsi="宋体" w:eastAsia="宋体"/>
                <w:sz w:val="16"/>
              </w:rPr>
              <w:tab/>
            </w:r>
            <w:r>
              <w:rPr>
                <w:rFonts w:ascii="宋体" w:hAnsi="宋体" w:eastAsia="宋体"/>
                <w:sz w:val="16"/>
              </w:rPr>
              <w:t>=1分钟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64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E1FC0">
            <w:pPr>
              <w:jc w:val="center"/>
            </w:pPr>
            <w:r>
              <w:rPr>
                <w:rFonts w:ascii="宋体" w:hAnsi="宋体" w:eastAsia="宋体"/>
                <w:sz w:val="16"/>
              </w:rPr>
              <w:t>18</w:t>
            </w:r>
          </w:p>
        </w:tc>
      </w:tr>
      <w:tr w14:paraId="049D9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5B6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5CC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CF34">
            <w:pPr>
              <w:jc w:val="center"/>
            </w:pPr>
            <w:r>
              <w:rPr>
                <w:rFonts w:ascii="宋体" w:hAnsi="宋体" w:eastAsia="宋体"/>
                <w:sz w:val="16"/>
              </w:rPr>
              <w:t>举报线索核查率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8FC0E">
            <w:pPr>
              <w:jc w:val="center"/>
            </w:pPr>
            <w:r>
              <w:rPr>
                <w:rFonts w:ascii="宋体" w:hAnsi="宋体" w:eastAsia="宋体"/>
                <w:sz w:val="16"/>
              </w:rPr>
              <w:t>=100%</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1CD62D15">
            <w:pPr>
              <w:jc w:val="center"/>
            </w:pPr>
            <w:r>
              <w:rPr>
                <w:rFonts w:ascii="宋体" w:hAnsi="宋体" w:eastAsia="宋体"/>
                <w:sz w:val="16"/>
              </w:rPr>
              <w:t>2024年预算安排年度工作</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1562BC4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6CFB">
            <w:pPr>
              <w:jc w:val="center"/>
            </w:pPr>
            <w:r>
              <w:rPr>
                <w:rFonts w:ascii="宋体" w:hAnsi="宋体" w:eastAsia="宋体"/>
                <w:sz w:val="16"/>
              </w:rPr>
              <w:tab/>
            </w: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50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8436A">
            <w:pPr>
              <w:jc w:val="center"/>
            </w:pPr>
            <w:r>
              <w:rPr>
                <w:rFonts w:ascii="宋体" w:hAnsi="宋体" w:eastAsia="宋体"/>
                <w:sz w:val="16"/>
              </w:rPr>
              <w:t>18</w:t>
            </w:r>
          </w:p>
        </w:tc>
      </w:tr>
    </w:tbl>
    <w:p w14:paraId="4207CF7C">
      <w:r>
        <w:br w:type="page"/>
      </w:r>
    </w:p>
    <w:p w14:paraId="33B1B483">
      <w:pPr>
        <w:spacing w:line="640" w:lineRule="exact"/>
        <w:ind w:firstLine="640"/>
        <w:jc w:val="both"/>
        <w:outlineLvl w:val="2"/>
      </w:pPr>
      <w:r>
        <w:rPr>
          <w:rFonts w:ascii="黑体" w:hAnsi="黑体" w:eastAsia="黑体"/>
          <w:sz w:val="32"/>
        </w:rPr>
        <w:t>十二、其他需说明的事项</w:t>
      </w:r>
    </w:p>
    <w:p w14:paraId="6BE8B1B5">
      <w:pPr>
        <w:spacing w:line="580" w:lineRule="exact"/>
        <w:ind w:firstLine="640"/>
        <w:jc w:val="both"/>
      </w:pPr>
      <w:r>
        <w:rPr>
          <w:rFonts w:hint="eastAsia" w:ascii="仿宋_GB2312" w:hAnsi="仿宋_GB2312" w:eastAsia="仿宋_GB2312"/>
          <w:b w:val="0"/>
          <w:sz w:val="32"/>
          <w:lang w:val="en-US" w:eastAsia="zh-CN"/>
        </w:rPr>
        <w:t>本</w:t>
      </w:r>
      <w:r>
        <w:rPr>
          <w:rFonts w:ascii="仿宋_GB2312" w:hAnsi="仿宋_GB2312" w:eastAsia="仿宋_GB2312"/>
          <w:b w:val="0"/>
          <w:sz w:val="32"/>
        </w:rPr>
        <w:t>单位涉密项目个数23个，涉及全年预算数22</w:t>
      </w:r>
      <w:r>
        <w:rPr>
          <w:rFonts w:hint="eastAsia" w:ascii="仿宋_GB2312" w:hAnsi="仿宋_GB2312" w:eastAsia="仿宋_GB2312"/>
          <w:b w:val="0"/>
          <w:sz w:val="32"/>
          <w:lang w:val="en-US" w:eastAsia="zh-CN"/>
        </w:rPr>
        <w:t>,</w:t>
      </w:r>
      <w:r>
        <w:rPr>
          <w:rFonts w:ascii="仿宋_GB2312" w:hAnsi="仿宋_GB2312" w:eastAsia="仿宋_GB2312"/>
          <w:b w:val="0"/>
          <w:sz w:val="32"/>
        </w:rPr>
        <w:t>014.99万元，执行数12</w:t>
      </w:r>
      <w:r>
        <w:rPr>
          <w:rFonts w:hint="eastAsia" w:ascii="仿宋_GB2312" w:hAnsi="仿宋_GB2312" w:eastAsia="仿宋_GB2312"/>
          <w:b w:val="0"/>
          <w:sz w:val="32"/>
          <w:lang w:val="en-US" w:eastAsia="zh-CN"/>
        </w:rPr>
        <w:t>,</w:t>
      </w:r>
      <w:r>
        <w:rPr>
          <w:rFonts w:ascii="仿宋_GB2312" w:hAnsi="仿宋_GB2312" w:eastAsia="仿宋_GB2312"/>
          <w:b w:val="0"/>
          <w:sz w:val="32"/>
        </w:rPr>
        <w:t>090.67万元。</w:t>
      </w:r>
    </w:p>
    <w:p w14:paraId="32A050FE">
      <w:r>
        <w:br w:type="page"/>
      </w:r>
    </w:p>
    <w:p w14:paraId="2599523A">
      <w:pPr>
        <w:spacing w:line="240" w:lineRule="auto"/>
        <w:jc w:val="center"/>
        <w:outlineLvl w:val="1"/>
      </w:pPr>
      <w:r>
        <w:rPr>
          <w:rFonts w:ascii="黑体" w:hAnsi="黑体" w:eastAsia="黑体"/>
          <w:sz w:val="32"/>
        </w:rPr>
        <w:t>第三部分 专业名词解释</w:t>
      </w:r>
    </w:p>
    <w:p w14:paraId="415F82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392A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CE74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9CBA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AA3EF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C2E68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7C61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1FCB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2FD0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56368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E729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AAB45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12B3E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F1A4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41CDCA">
      <w:r>
        <w:br w:type="page"/>
      </w:r>
    </w:p>
    <w:p w14:paraId="7780FF40">
      <w:pPr>
        <w:spacing w:line="240" w:lineRule="auto"/>
        <w:jc w:val="center"/>
        <w:outlineLvl w:val="1"/>
      </w:pPr>
      <w:r>
        <w:rPr>
          <w:rFonts w:ascii="黑体" w:hAnsi="黑体" w:eastAsia="黑体"/>
          <w:sz w:val="32"/>
        </w:rPr>
        <w:t>第四部分 部门决算报表（见附表）</w:t>
      </w:r>
    </w:p>
    <w:p w14:paraId="443CC92B">
      <w:pPr>
        <w:spacing w:line="240" w:lineRule="auto"/>
        <w:ind w:firstLine="640"/>
        <w:jc w:val="both"/>
      </w:pPr>
      <w:r>
        <w:rPr>
          <w:rFonts w:ascii="仿宋_GB2312" w:hAnsi="仿宋_GB2312" w:eastAsia="仿宋_GB2312"/>
          <w:b w:val="0"/>
          <w:sz w:val="32"/>
        </w:rPr>
        <w:t>一、《收入支出决算总表》</w:t>
      </w:r>
    </w:p>
    <w:p w14:paraId="40AC0FC8">
      <w:pPr>
        <w:spacing w:line="240" w:lineRule="auto"/>
        <w:ind w:firstLine="640"/>
        <w:jc w:val="both"/>
      </w:pPr>
      <w:r>
        <w:rPr>
          <w:rFonts w:ascii="仿宋_GB2312" w:hAnsi="仿宋_GB2312" w:eastAsia="仿宋_GB2312"/>
          <w:b w:val="0"/>
          <w:sz w:val="32"/>
        </w:rPr>
        <w:t>二、《收入决算表》</w:t>
      </w:r>
    </w:p>
    <w:p w14:paraId="3684B8B9">
      <w:pPr>
        <w:spacing w:line="240" w:lineRule="auto"/>
        <w:ind w:firstLine="640"/>
        <w:jc w:val="both"/>
      </w:pPr>
      <w:r>
        <w:rPr>
          <w:rFonts w:ascii="仿宋_GB2312" w:hAnsi="仿宋_GB2312" w:eastAsia="仿宋_GB2312"/>
          <w:b w:val="0"/>
          <w:sz w:val="32"/>
        </w:rPr>
        <w:t>三、《支出决算表》</w:t>
      </w:r>
    </w:p>
    <w:p w14:paraId="210F2CCF">
      <w:pPr>
        <w:spacing w:line="240" w:lineRule="auto"/>
        <w:ind w:firstLine="640"/>
        <w:jc w:val="both"/>
      </w:pPr>
      <w:r>
        <w:rPr>
          <w:rFonts w:ascii="仿宋_GB2312" w:hAnsi="仿宋_GB2312" w:eastAsia="仿宋_GB2312"/>
          <w:b w:val="0"/>
          <w:sz w:val="32"/>
        </w:rPr>
        <w:t>四、《财政拨款收入支出决算总表》</w:t>
      </w:r>
    </w:p>
    <w:p w14:paraId="5F6E6A8D">
      <w:pPr>
        <w:spacing w:line="240" w:lineRule="auto"/>
        <w:ind w:firstLine="640"/>
        <w:jc w:val="both"/>
      </w:pPr>
      <w:r>
        <w:rPr>
          <w:rFonts w:ascii="仿宋_GB2312" w:hAnsi="仿宋_GB2312" w:eastAsia="仿宋_GB2312"/>
          <w:b w:val="0"/>
          <w:sz w:val="32"/>
        </w:rPr>
        <w:t>五、《一般公共预算财政拨款支出决算表》</w:t>
      </w:r>
    </w:p>
    <w:p w14:paraId="7BB879CD">
      <w:pPr>
        <w:spacing w:line="240" w:lineRule="auto"/>
        <w:ind w:firstLine="640"/>
        <w:jc w:val="both"/>
      </w:pPr>
      <w:r>
        <w:rPr>
          <w:rFonts w:ascii="仿宋_GB2312" w:hAnsi="仿宋_GB2312" w:eastAsia="仿宋_GB2312"/>
          <w:b w:val="0"/>
          <w:sz w:val="32"/>
        </w:rPr>
        <w:t>六、《一般公共预算财政拨款基本支出决算表》</w:t>
      </w:r>
    </w:p>
    <w:p w14:paraId="41E115A2">
      <w:pPr>
        <w:spacing w:line="240" w:lineRule="auto"/>
        <w:ind w:firstLine="640"/>
        <w:jc w:val="both"/>
      </w:pPr>
      <w:r>
        <w:rPr>
          <w:rFonts w:ascii="仿宋_GB2312" w:hAnsi="仿宋_GB2312" w:eastAsia="仿宋_GB2312"/>
          <w:b w:val="0"/>
          <w:sz w:val="32"/>
        </w:rPr>
        <w:t>七、《政府性基金预算财政拨款收入支出决算表》</w:t>
      </w:r>
    </w:p>
    <w:p w14:paraId="4AFB4B77">
      <w:pPr>
        <w:spacing w:line="240" w:lineRule="auto"/>
        <w:ind w:firstLine="640"/>
        <w:jc w:val="both"/>
      </w:pPr>
      <w:r>
        <w:rPr>
          <w:rFonts w:ascii="仿宋_GB2312" w:hAnsi="仿宋_GB2312" w:eastAsia="仿宋_GB2312"/>
          <w:b w:val="0"/>
          <w:sz w:val="32"/>
        </w:rPr>
        <w:t>八、《国有资本经营预算财政拨款收入支出决算表》</w:t>
      </w:r>
    </w:p>
    <w:p w14:paraId="4290C743">
      <w:pPr>
        <w:spacing w:line="240" w:lineRule="auto"/>
        <w:ind w:firstLine="640"/>
        <w:jc w:val="both"/>
      </w:pPr>
      <w:r>
        <w:rPr>
          <w:rFonts w:ascii="仿宋_GB2312" w:hAnsi="仿宋_GB2312" w:eastAsia="仿宋_GB2312"/>
          <w:b w:val="0"/>
          <w:sz w:val="32"/>
        </w:rPr>
        <w:t>九、《财政拨款“三公”经费支出决算表》</w:t>
      </w:r>
    </w:p>
    <w:p w14:paraId="01FB2BD6">
      <w:pPr>
        <w:spacing w:line="240" w:lineRule="auto"/>
        <w:ind w:firstLine="640"/>
        <w:jc w:val="both"/>
      </w:pPr>
    </w:p>
    <w:p w14:paraId="47B8C8CD">
      <w:pPr>
        <w:spacing w:line="240" w:lineRule="auto"/>
        <w:ind w:firstLine="640"/>
        <w:jc w:val="both"/>
      </w:pPr>
    </w:p>
    <w:p w14:paraId="418DC620">
      <w:pPr>
        <w:spacing w:line="240" w:lineRule="auto"/>
        <w:ind w:firstLine="640"/>
        <w:jc w:val="both"/>
      </w:pPr>
    </w:p>
    <w:p w14:paraId="05D44205">
      <w:pPr>
        <w:spacing w:line="240" w:lineRule="auto"/>
        <w:ind w:firstLine="640"/>
        <w:jc w:val="both"/>
      </w:pPr>
    </w:p>
    <w:p w14:paraId="57E46F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7061D6-A204-42B7-B3EB-8BA7F8E695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7AE0D93-BAC2-4C56-ADBF-36AA1D5E2269}"/>
  </w:font>
  <w:font w:name="仿宋_GB2312">
    <w:panose1 w:val="02010609030101010101"/>
    <w:charset w:val="86"/>
    <w:family w:val="modern"/>
    <w:pitch w:val="default"/>
    <w:sig w:usb0="00000001" w:usb1="080E0000" w:usb2="00000000" w:usb3="00000000" w:csb0="00040000" w:csb1="00000000"/>
    <w:embedRegular r:id="rId3" w:fontKey="{9A96485A-801A-41B9-9F5E-1D77AE2488EC}"/>
  </w:font>
  <w:font w:name="楷体_GB2312">
    <w:panose1 w:val="02010609030101010101"/>
    <w:charset w:val="86"/>
    <w:family w:val="auto"/>
    <w:pitch w:val="default"/>
    <w:sig w:usb0="00000001" w:usb1="080E0000" w:usb2="00000000" w:usb3="00000000" w:csb0="00040000" w:csb1="00000000"/>
    <w:embedRegular r:id="rId4" w:fontKey="{59808F1C-D466-419A-B5D5-DF8C109E89D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4601D1"/>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A1E5A"/>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4888</Words>
  <Characters>5877</Characters>
  <Lines>0</Lines>
  <Paragraphs>0</Paragraphs>
  <TotalTime>16</TotalTime>
  <ScaleCrop>false</ScaleCrop>
  <LinksUpToDate>false</LinksUpToDate>
  <CharactersWithSpaces>5885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2025-09-29T11:42:16Z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