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A822CFA">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叶城县司法局</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496B087">
      <w:r>
        <w:br w:type="page"/>
      </w:r>
    </w:p>
    <w:p w14:paraId="39DA87E1">
      <w:pPr>
        <w:spacing w:line="640" w:lineRule="exact"/>
        <w:jc w:val="center"/>
        <w:outlineLvl w:val="1"/>
      </w:pPr>
      <w:r>
        <w:rPr>
          <w:rFonts w:ascii="黑体" w:hAnsi="黑体" w:eastAsia="黑体"/>
          <w:sz w:val="32"/>
        </w:rPr>
        <w:t>第一部分 单位概况</w:t>
      </w:r>
    </w:p>
    <w:p w14:paraId="3D41F409">
      <w:pPr>
        <w:spacing w:line="640" w:lineRule="exact"/>
        <w:ind w:firstLine="640"/>
        <w:jc w:val="both"/>
        <w:outlineLvl w:val="2"/>
      </w:pPr>
      <w:r>
        <w:rPr>
          <w:rFonts w:ascii="黑体" w:hAnsi="黑体" w:eastAsia="黑体"/>
          <w:sz w:val="32"/>
        </w:rPr>
        <w:t>一、主要职能</w:t>
      </w:r>
    </w:p>
    <w:p w14:paraId="7790D3A9">
      <w:pPr>
        <w:spacing w:line="580" w:lineRule="exact"/>
        <w:ind w:firstLine="640"/>
        <w:jc w:val="both"/>
      </w:pPr>
      <w:r>
        <w:rPr>
          <w:rFonts w:ascii="仿宋_GB2312" w:hAnsi="仿宋_GB2312" w:eastAsia="仿宋_GB2312"/>
          <w:sz w:val="32"/>
        </w:rPr>
        <w:t>人民调解工作</w:t>
      </w:r>
      <w:r>
        <w:rPr>
          <w:rFonts w:hint="eastAsia" w:ascii="仿宋_GB2312" w:hAnsi="仿宋_GB2312" w:eastAsia="仿宋_GB2312"/>
          <w:sz w:val="32"/>
          <w:lang w:eastAsia="zh-CN"/>
        </w:rPr>
        <w:t>，</w:t>
      </w:r>
      <w:r>
        <w:rPr>
          <w:rFonts w:ascii="仿宋_GB2312" w:hAnsi="仿宋_GB2312" w:eastAsia="仿宋_GB2312"/>
          <w:sz w:val="32"/>
        </w:rPr>
        <w:t>充分发挥人民调解在大调解工作体系中的基础作用，实现优势互补，提高社会矛盾纠纷调处效率。深入开展法治宣传教育和依法治理工作。深入推进实施“八五”普法工作，对全县各单位开展“八五”普法情况进行了督导。认真组织开展“深化‘法治六进’、推进依法治国”法治宣传教育主题活动和“宪法、法律宣传月”、送法下乡、法律法规颁布日的宣传活动。继续加强法治宣传教育；大力弘扬“爱国爱疆、团结奉献、勤劳互助、开放进取”的新疆精神。公证工作规范化建设。进一步规</w:t>
      </w:r>
      <w:bookmarkStart w:id="0" w:name="_GoBack"/>
      <w:bookmarkEnd w:id="0"/>
      <w:r>
        <w:rPr>
          <w:rFonts w:ascii="仿宋_GB2312" w:hAnsi="仿宋_GB2312" w:eastAsia="仿宋_GB2312"/>
          <w:sz w:val="32"/>
        </w:rPr>
        <w:t>范拓展律师工作。</w:t>
      </w:r>
    </w:p>
    <w:p w14:paraId="7F0CAF1B">
      <w:pPr>
        <w:spacing w:line="640" w:lineRule="exact"/>
        <w:ind w:firstLine="640"/>
        <w:jc w:val="both"/>
        <w:outlineLvl w:val="2"/>
      </w:pPr>
      <w:r>
        <w:rPr>
          <w:rFonts w:ascii="黑体" w:hAnsi="黑体" w:eastAsia="黑体"/>
          <w:sz w:val="32"/>
        </w:rPr>
        <w:t>二、机构设置及人员情况</w:t>
      </w:r>
    </w:p>
    <w:p w14:paraId="7AEA438E">
      <w:pPr>
        <w:spacing w:line="580" w:lineRule="exact"/>
        <w:ind w:firstLine="640"/>
        <w:jc w:val="both"/>
      </w:pPr>
      <w:r>
        <w:rPr>
          <w:rFonts w:ascii="仿宋_GB2312" w:hAnsi="仿宋_GB2312" w:eastAsia="仿宋_GB2312"/>
          <w:sz w:val="32"/>
        </w:rPr>
        <w:t>叶城县司法局2024年度，实有人数84人，其中：在职人员60人，增加6人；离休人员0人，增加0人；退休人员24人,增加6人。</w:t>
      </w:r>
    </w:p>
    <w:p w14:paraId="45B6F66E">
      <w:pPr>
        <w:spacing w:line="580" w:lineRule="exact"/>
        <w:ind w:firstLine="640"/>
        <w:jc w:val="both"/>
      </w:pPr>
      <w:r>
        <w:rPr>
          <w:rFonts w:ascii="仿宋_GB2312" w:hAnsi="仿宋_GB2312" w:eastAsia="仿宋_GB2312"/>
          <w:sz w:val="32"/>
        </w:rPr>
        <w:t>叶城县司法局无下属预算单位，下设5个科室，分别是：政工办、办公室、基层办、公共法律服务办公室、法律援助中心。</w:t>
      </w:r>
    </w:p>
    <w:p w14:paraId="2D828E6D">
      <w:r>
        <w:br w:type="page"/>
      </w:r>
    </w:p>
    <w:p w14:paraId="3CE377AA">
      <w:pPr>
        <w:spacing w:line="240" w:lineRule="auto"/>
        <w:jc w:val="center"/>
        <w:outlineLvl w:val="1"/>
      </w:pPr>
      <w:r>
        <w:rPr>
          <w:rFonts w:ascii="黑体" w:hAnsi="黑体" w:eastAsia="黑体"/>
          <w:sz w:val="32"/>
        </w:rPr>
        <w:t>第二部分 部门决算情况说明</w:t>
      </w:r>
    </w:p>
    <w:p w14:paraId="2B97FB1B">
      <w:pPr>
        <w:spacing w:line="640" w:lineRule="exact"/>
        <w:ind w:firstLine="640"/>
        <w:jc w:val="both"/>
        <w:outlineLvl w:val="2"/>
      </w:pPr>
      <w:r>
        <w:rPr>
          <w:rFonts w:ascii="黑体" w:hAnsi="黑体" w:eastAsia="黑体"/>
          <w:sz w:val="32"/>
        </w:rPr>
        <w:t>一、收入支出决算总体情况说明</w:t>
      </w:r>
    </w:p>
    <w:p w14:paraId="6FA9305A">
      <w:pPr>
        <w:spacing w:line="580" w:lineRule="exact"/>
        <w:ind w:firstLine="640"/>
        <w:jc w:val="both"/>
      </w:pPr>
      <w:r>
        <w:rPr>
          <w:rFonts w:ascii="仿宋_GB2312" w:hAnsi="仿宋_GB2312" w:eastAsia="仿宋_GB2312"/>
          <w:b/>
          <w:sz w:val="32"/>
        </w:rPr>
        <w:t>2024年度收入总计2,547.42万元，</w:t>
      </w:r>
      <w:r>
        <w:rPr>
          <w:rFonts w:ascii="仿宋_GB2312" w:hAnsi="仿宋_GB2312" w:eastAsia="仿宋_GB2312"/>
          <w:b w:val="0"/>
          <w:sz w:val="32"/>
        </w:rPr>
        <w:t>其中：本年收入合计2,547.42万元，使用非财政拨款结余（含专用结余）0.00万元，年初结转和结余0.00万元。</w:t>
      </w:r>
    </w:p>
    <w:p w14:paraId="136D4528">
      <w:pPr>
        <w:spacing w:line="580" w:lineRule="exact"/>
        <w:ind w:firstLine="640"/>
        <w:jc w:val="both"/>
      </w:pPr>
      <w:r>
        <w:rPr>
          <w:rFonts w:ascii="仿宋_GB2312" w:hAnsi="仿宋_GB2312" w:eastAsia="仿宋_GB2312"/>
          <w:b/>
          <w:sz w:val="32"/>
        </w:rPr>
        <w:t>2024年度支出总计2,547.42万元，</w:t>
      </w:r>
      <w:r>
        <w:rPr>
          <w:rFonts w:ascii="仿宋_GB2312" w:hAnsi="仿宋_GB2312" w:eastAsia="仿宋_GB2312"/>
          <w:b w:val="0"/>
          <w:sz w:val="32"/>
        </w:rPr>
        <w:t>其中：本年支出合计2,547.42万元，结余分配0.00万元，年末结转和结余0.00万元。</w:t>
      </w:r>
    </w:p>
    <w:p w14:paraId="764C8592">
      <w:pPr>
        <w:spacing w:line="580" w:lineRule="exact"/>
        <w:ind w:firstLine="640"/>
        <w:jc w:val="both"/>
      </w:pPr>
      <w:r>
        <w:rPr>
          <w:rFonts w:ascii="仿宋_GB2312" w:hAnsi="仿宋_GB2312" w:eastAsia="仿宋_GB2312"/>
          <w:b w:val="0"/>
          <w:sz w:val="32"/>
        </w:rPr>
        <w:t>收入支出总体与上年相比，增加1,336.23万元，增长110.32%，主要原因是：本年增加公共法律服务中心建设项目资金，增加专项业务经费资金</w:t>
      </w:r>
      <w:r>
        <w:rPr>
          <w:rFonts w:hint="eastAsia" w:ascii="仿宋_GB2312" w:hAnsi="仿宋_GB2312" w:eastAsia="仿宋_GB2312"/>
          <w:b w:val="0"/>
          <w:sz w:val="32"/>
          <w:lang w:eastAsia="zh-CN"/>
        </w:rPr>
        <w:t>；</w:t>
      </w:r>
      <w:r>
        <w:rPr>
          <w:rFonts w:ascii="仿宋_GB2312" w:hAnsi="仿宋_GB2312" w:eastAsia="仿宋_GB2312"/>
          <w:b w:val="0"/>
          <w:sz w:val="32"/>
        </w:rPr>
        <w:t>本年人员增加，人员</w:t>
      </w:r>
      <w:r>
        <w:rPr>
          <w:rFonts w:hint="eastAsia" w:ascii="仿宋_GB2312" w:hAnsi="仿宋_GB2312" w:eastAsia="仿宋_GB2312"/>
          <w:b w:val="0"/>
          <w:sz w:val="32"/>
          <w:lang w:val="en-US" w:eastAsia="zh-CN"/>
        </w:rPr>
        <w:t>养老、医疗、住房公积金</w:t>
      </w:r>
      <w:r>
        <w:rPr>
          <w:rFonts w:ascii="仿宋_GB2312" w:hAnsi="仿宋_GB2312" w:eastAsia="仿宋_GB2312"/>
          <w:b w:val="0"/>
          <w:sz w:val="32"/>
        </w:rPr>
        <w:t>经费相应增加</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补发人员津贴补贴，退休人员经费、职业年金较上年增加，人员经费相应增加</w:t>
      </w:r>
      <w:r>
        <w:rPr>
          <w:rFonts w:ascii="仿宋_GB2312" w:hAnsi="仿宋_GB2312" w:eastAsia="仿宋_GB2312"/>
          <w:b w:val="0"/>
          <w:sz w:val="32"/>
        </w:rPr>
        <w:t>。</w:t>
      </w:r>
    </w:p>
    <w:p w14:paraId="204A46F4">
      <w:pPr>
        <w:spacing w:line="640" w:lineRule="exact"/>
        <w:ind w:firstLine="640"/>
        <w:jc w:val="both"/>
        <w:outlineLvl w:val="2"/>
      </w:pPr>
      <w:r>
        <w:rPr>
          <w:rFonts w:ascii="黑体" w:hAnsi="黑体" w:eastAsia="黑体"/>
          <w:sz w:val="32"/>
        </w:rPr>
        <w:t>二、收入决算情况说明</w:t>
      </w:r>
    </w:p>
    <w:p w14:paraId="69F386AE">
      <w:pPr>
        <w:spacing w:line="580" w:lineRule="exact"/>
        <w:ind w:firstLine="640"/>
        <w:jc w:val="both"/>
      </w:pPr>
      <w:r>
        <w:rPr>
          <w:rFonts w:ascii="仿宋_GB2312" w:hAnsi="仿宋_GB2312" w:eastAsia="仿宋_GB2312"/>
          <w:b/>
          <w:sz w:val="32"/>
        </w:rPr>
        <w:t>本年收入2,547.42万元，</w:t>
      </w:r>
      <w:r>
        <w:rPr>
          <w:rFonts w:ascii="仿宋_GB2312" w:hAnsi="仿宋_GB2312" w:eastAsia="仿宋_GB2312"/>
          <w:b w:val="0"/>
          <w:sz w:val="32"/>
        </w:rPr>
        <w:t>其中：财政拨款收入2,149.15万元，占84.37%；上级补助收入0.00万元，占0.00%；事业收入0.00万元，占0.00%；经营收入0.00万元，占0.00%；附属单位上缴收入0.00万元，占0.00%；其他收入398.27万元，占15.63%。</w:t>
      </w:r>
    </w:p>
    <w:p w14:paraId="56D36A7E">
      <w:pPr>
        <w:spacing w:line="640" w:lineRule="exact"/>
        <w:ind w:firstLine="640"/>
        <w:jc w:val="both"/>
        <w:outlineLvl w:val="2"/>
      </w:pPr>
      <w:r>
        <w:rPr>
          <w:rFonts w:ascii="黑体" w:hAnsi="黑体" w:eastAsia="黑体"/>
          <w:sz w:val="32"/>
        </w:rPr>
        <w:t>三、支出决算情况说明</w:t>
      </w:r>
    </w:p>
    <w:p w14:paraId="753175AB">
      <w:pPr>
        <w:spacing w:line="580" w:lineRule="exact"/>
        <w:ind w:firstLine="640"/>
        <w:jc w:val="both"/>
      </w:pPr>
      <w:r>
        <w:rPr>
          <w:rFonts w:ascii="仿宋_GB2312" w:hAnsi="仿宋_GB2312" w:eastAsia="仿宋_GB2312"/>
          <w:b/>
          <w:sz w:val="32"/>
        </w:rPr>
        <w:t>本年支出2,547.42万元，</w:t>
      </w:r>
      <w:r>
        <w:rPr>
          <w:rFonts w:ascii="仿宋_GB2312" w:hAnsi="仿宋_GB2312" w:eastAsia="仿宋_GB2312"/>
          <w:b w:val="0"/>
          <w:sz w:val="32"/>
        </w:rPr>
        <w:t>其中：基本支出1,795.03万元，占70.46%；项目支出752.39万元，占29.54%；上缴上级支出0.00万元，占0.00%；经营支出0.00万元，占0.00%；对附属单位补助支出0.00万元，占0.00%。</w:t>
      </w:r>
    </w:p>
    <w:p w14:paraId="601B8E0D">
      <w:pPr>
        <w:spacing w:line="640" w:lineRule="exact"/>
        <w:ind w:firstLine="640"/>
        <w:jc w:val="both"/>
        <w:outlineLvl w:val="2"/>
      </w:pPr>
      <w:r>
        <w:rPr>
          <w:rFonts w:ascii="黑体" w:hAnsi="黑体" w:eastAsia="黑体"/>
          <w:sz w:val="32"/>
        </w:rPr>
        <w:t>四、财政拨款收入支出决算总体情况说明</w:t>
      </w:r>
    </w:p>
    <w:p w14:paraId="3546A202">
      <w:pPr>
        <w:spacing w:line="580" w:lineRule="exact"/>
        <w:ind w:firstLine="640"/>
        <w:jc w:val="both"/>
      </w:pPr>
      <w:r>
        <w:rPr>
          <w:rFonts w:ascii="仿宋_GB2312" w:hAnsi="仿宋_GB2312" w:eastAsia="仿宋_GB2312"/>
          <w:b/>
          <w:sz w:val="32"/>
        </w:rPr>
        <w:t>2024年度财政拨款收入总计2,149.15万元，</w:t>
      </w:r>
      <w:r>
        <w:rPr>
          <w:rFonts w:ascii="仿宋_GB2312" w:hAnsi="仿宋_GB2312" w:eastAsia="仿宋_GB2312"/>
          <w:b w:val="0"/>
          <w:sz w:val="32"/>
        </w:rPr>
        <w:t>其中：年初财政拨款结转和结余0.00万元，本年财政拨款收入2,149.15万元。</w:t>
      </w:r>
      <w:r>
        <w:rPr>
          <w:rFonts w:ascii="仿宋_GB2312" w:hAnsi="仿宋_GB2312" w:eastAsia="仿宋_GB2312"/>
          <w:b/>
          <w:sz w:val="32"/>
        </w:rPr>
        <w:t>财政拨款支出总计2,149.15万元，</w:t>
      </w:r>
      <w:r>
        <w:rPr>
          <w:rFonts w:ascii="仿宋_GB2312" w:hAnsi="仿宋_GB2312" w:eastAsia="仿宋_GB2312"/>
          <w:b w:val="0"/>
          <w:sz w:val="32"/>
        </w:rPr>
        <w:t>其中：年末财政拨款结转和结余0.00万元，本年财政拨款支出2,149.15万元。</w:t>
      </w:r>
    </w:p>
    <w:p w14:paraId="7E5FC75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增加937.96万元，增长77.44%，主要原因是：本年增加专项业务经费资金，本年人员增加，人员</w:t>
      </w:r>
      <w:r>
        <w:rPr>
          <w:rFonts w:hint="eastAsia" w:ascii="仿宋_GB2312" w:hAnsi="仿宋_GB2312" w:eastAsia="仿宋_GB2312"/>
          <w:b w:val="0"/>
          <w:sz w:val="32"/>
          <w:lang w:val="en-US" w:eastAsia="zh-CN"/>
        </w:rPr>
        <w:t>养老、医疗、住房公积金</w:t>
      </w:r>
      <w:r>
        <w:rPr>
          <w:rFonts w:ascii="仿宋_GB2312" w:hAnsi="仿宋_GB2312" w:eastAsia="仿宋_GB2312"/>
          <w:b w:val="0"/>
          <w:sz w:val="32"/>
        </w:rPr>
        <w:t>经费相应增加</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补发人员津贴补贴，退休人员经费、职业年金较上年增加，人员经费相应增加</w:t>
      </w:r>
      <w:r>
        <w:rPr>
          <w:rFonts w:ascii="仿宋_GB2312" w:hAnsi="仿宋_GB2312" w:eastAsia="仿宋_GB2312"/>
          <w:b w:val="0"/>
          <w:sz w:val="32"/>
        </w:rPr>
        <w:t>。</w:t>
      </w:r>
      <w:r>
        <w:rPr>
          <w:rFonts w:ascii="仿宋_GB2312" w:hAnsi="仿宋_GB2312" w:eastAsia="仿宋_GB2312"/>
          <w:b/>
          <w:sz w:val="32"/>
        </w:rPr>
        <w:t>与年初预算相比，</w:t>
      </w:r>
      <w:r>
        <w:rPr>
          <w:rFonts w:ascii="仿宋_GB2312" w:hAnsi="仿宋_GB2312" w:eastAsia="仿宋_GB2312"/>
          <w:b w:val="0"/>
          <w:sz w:val="32"/>
        </w:rPr>
        <w:t>年初预算数1,907.13万元，决算数2,149.15万元，预决算差异率12.69%，主要原因是：年中追加专项业务经费资金，</w:t>
      </w:r>
      <w:r>
        <w:rPr>
          <w:rFonts w:hint="eastAsia" w:ascii="仿宋_GB2312" w:hAnsi="仿宋_GB2312" w:eastAsia="仿宋_GB2312"/>
          <w:b w:val="0"/>
          <w:sz w:val="32"/>
          <w:lang w:val="en-US" w:eastAsia="zh-CN"/>
        </w:rPr>
        <w:t>追加人员</w:t>
      </w:r>
      <w:r>
        <w:rPr>
          <w:rFonts w:ascii="仿宋_GB2312" w:hAnsi="仿宋_GB2312" w:eastAsia="仿宋_GB2312"/>
          <w:b w:val="0"/>
          <w:sz w:val="32"/>
        </w:rPr>
        <w:t>工资、社保、公积金基数调增部分资金，导致预决算差异。</w:t>
      </w:r>
    </w:p>
    <w:p w14:paraId="47948CA8">
      <w:pPr>
        <w:spacing w:line="640" w:lineRule="exact"/>
        <w:ind w:firstLine="640"/>
        <w:jc w:val="both"/>
        <w:outlineLvl w:val="2"/>
      </w:pPr>
      <w:r>
        <w:rPr>
          <w:rFonts w:ascii="黑体" w:hAnsi="黑体" w:eastAsia="黑体"/>
          <w:sz w:val="32"/>
        </w:rPr>
        <w:t>五、一般公共预算财政拨款支出决算情况说明</w:t>
      </w:r>
    </w:p>
    <w:p w14:paraId="23AEC147">
      <w:pPr>
        <w:spacing w:line="640" w:lineRule="exact"/>
        <w:ind w:firstLine="640"/>
        <w:jc w:val="both"/>
        <w:outlineLvl w:val="3"/>
      </w:pPr>
      <w:r>
        <w:rPr>
          <w:rFonts w:ascii="楷体_GB2312" w:hAnsi="楷体_GB2312" w:eastAsia="楷体_GB2312"/>
          <w:b/>
          <w:sz w:val="32"/>
        </w:rPr>
        <w:t>（一）一般公共预算财政拨款支出决算总体情况</w:t>
      </w:r>
    </w:p>
    <w:p w14:paraId="0C7C79C9">
      <w:pPr>
        <w:spacing w:line="580" w:lineRule="exact"/>
        <w:ind w:firstLine="640"/>
        <w:jc w:val="both"/>
      </w:pPr>
      <w:r>
        <w:rPr>
          <w:rFonts w:ascii="仿宋_GB2312" w:hAnsi="仿宋_GB2312" w:eastAsia="仿宋_GB2312"/>
          <w:b/>
          <w:sz w:val="32"/>
        </w:rPr>
        <w:t>2024年度一般公共预算财政拨款支出2,149.15万元，</w:t>
      </w:r>
      <w:r>
        <w:rPr>
          <w:rFonts w:ascii="仿宋_GB2312" w:hAnsi="仿宋_GB2312" w:eastAsia="仿宋_GB2312"/>
          <w:b w:val="0"/>
          <w:sz w:val="32"/>
        </w:rPr>
        <w:t>占本年支出合计的84.37%。</w:t>
      </w:r>
      <w:r>
        <w:rPr>
          <w:rFonts w:ascii="仿宋_GB2312" w:hAnsi="仿宋_GB2312" w:eastAsia="仿宋_GB2312"/>
          <w:b/>
          <w:sz w:val="32"/>
        </w:rPr>
        <w:t>与上年相比，</w:t>
      </w:r>
      <w:r>
        <w:rPr>
          <w:rFonts w:ascii="仿宋_GB2312" w:hAnsi="仿宋_GB2312" w:eastAsia="仿宋_GB2312"/>
          <w:b w:val="0"/>
          <w:sz w:val="32"/>
        </w:rPr>
        <w:t>增加937.96万元，增长77.44%，主要原因是：本年增加专项业务经费资金，本年人员增加，人员</w:t>
      </w:r>
      <w:r>
        <w:rPr>
          <w:rFonts w:hint="eastAsia" w:ascii="仿宋_GB2312" w:hAnsi="仿宋_GB2312" w:eastAsia="仿宋_GB2312"/>
          <w:b w:val="0"/>
          <w:sz w:val="32"/>
          <w:lang w:val="en-US" w:eastAsia="zh-CN"/>
        </w:rPr>
        <w:t>养老、医疗、住房公积金</w:t>
      </w:r>
      <w:r>
        <w:rPr>
          <w:rFonts w:ascii="仿宋_GB2312" w:hAnsi="仿宋_GB2312" w:eastAsia="仿宋_GB2312"/>
          <w:b w:val="0"/>
          <w:sz w:val="32"/>
        </w:rPr>
        <w:t>经费相应增加</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补发人员津贴补贴，退休人员经费、职业年金较上年增加，人员经费相应增加</w:t>
      </w:r>
      <w:r>
        <w:rPr>
          <w:rFonts w:ascii="仿宋_GB2312" w:hAnsi="仿宋_GB2312" w:eastAsia="仿宋_GB2312"/>
          <w:b w:val="0"/>
          <w:sz w:val="32"/>
        </w:rPr>
        <w:t>。</w:t>
      </w:r>
      <w:r>
        <w:rPr>
          <w:rFonts w:ascii="仿宋_GB2312" w:hAnsi="仿宋_GB2312" w:eastAsia="仿宋_GB2312"/>
          <w:b/>
          <w:sz w:val="32"/>
        </w:rPr>
        <w:t>与年初预算相比,</w:t>
      </w:r>
      <w:r>
        <w:rPr>
          <w:rFonts w:ascii="仿宋_GB2312" w:hAnsi="仿宋_GB2312" w:eastAsia="仿宋_GB2312"/>
          <w:b w:val="0"/>
          <w:sz w:val="32"/>
        </w:rPr>
        <w:t>年初预算数1,907.13万元，决算数2,149.15万元，预决算差异率12.69%，主要原因是：年中追加专项业务经费资金，</w:t>
      </w:r>
      <w:r>
        <w:rPr>
          <w:rFonts w:hint="eastAsia" w:ascii="仿宋_GB2312" w:hAnsi="仿宋_GB2312" w:eastAsia="仿宋_GB2312"/>
          <w:b w:val="0"/>
          <w:sz w:val="32"/>
          <w:lang w:val="en-US" w:eastAsia="zh-CN"/>
        </w:rPr>
        <w:t>追加人员</w:t>
      </w:r>
      <w:r>
        <w:rPr>
          <w:rFonts w:ascii="仿宋_GB2312" w:hAnsi="仿宋_GB2312" w:eastAsia="仿宋_GB2312"/>
          <w:b w:val="0"/>
          <w:sz w:val="32"/>
        </w:rPr>
        <w:t>工资、社保、公积金基数调增部分资金，导致预决算差异。</w:t>
      </w:r>
    </w:p>
    <w:p w14:paraId="35CD4BA4">
      <w:pPr>
        <w:spacing w:line="640" w:lineRule="exact"/>
        <w:ind w:firstLine="640"/>
        <w:jc w:val="both"/>
        <w:outlineLvl w:val="3"/>
      </w:pPr>
      <w:r>
        <w:rPr>
          <w:rFonts w:ascii="楷体_GB2312" w:hAnsi="楷体_GB2312" w:eastAsia="楷体_GB2312"/>
          <w:b/>
          <w:sz w:val="32"/>
        </w:rPr>
        <w:t>（二）一般公共预算财政拨款支出决算结构情况</w:t>
      </w:r>
    </w:p>
    <w:p w14:paraId="0B8BA1BB">
      <w:pPr>
        <w:spacing w:line="580" w:lineRule="exact"/>
        <w:ind w:firstLine="640"/>
        <w:jc w:val="both"/>
      </w:pPr>
      <w:r>
        <w:rPr>
          <w:rFonts w:ascii="仿宋_GB2312" w:hAnsi="仿宋_GB2312" w:eastAsia="仿宋_GB2312"/>
          <w:b w:val="0"/>
          <w:sz w:val="32"/>
        </w:rPr>
        <w:t>1.公共安全支出(类)1,721.56万元,占80.10%。</w:t>
      </w:r>
    </w:p>
    <w:p w14:paraId="36CDE7C5">
      <w:pPr>
        <w:spacing w:line="580" w:lineRule="exact"/>
        <w:ind w:firstLine="640"/>
        <w:jc w:val="both"/>
      </w:pPr>
      <w:r>
        <w:rPr>
          <w:rFonts w:ascii="仿宋_GB2312" w:hAnsi="仿宋_GB2312" w:eastAsia="仿宋_GB2312"/>
          <w:b w:val="0"/>
          <w:sz w:val="32"/>
        </w:rPr>
        <w:t>2.社会保障和就业支出(类)225.73万元,占10.50%。</w:t>
      </w:r>
    </w:p>
    <w:p w14:paraId="24315844">
      <w:pPr>
        <w:spacing w:line="580" w:lineRule="exact"/>
        <w:ind w:firstLine="640"/>
        <w:jc w:val="both"/>
      </w:pPr>
      <w:r>
        <w:rPr>
          <w:rFonts w:ascii="仿宋_GB2312" w:hAnsi="仿宋_GB2312" w:eastAsia="仿宋_GB2312"/>
          <w:b w:val="0"/>
          <w:sz w:val="32"/>
        </w:rPr>
        <w:t>3.卫生健康支出(类)77.46万元,占3.60%。</w:t>
      </w:r>
    </w:p>
    <w:p w14:paraId="13612EA3">
      <w:pPr>
        <w:spacing w:line="580" w:lineRule="exact"/>
        <w:ind w:firstLine="640"/>
        <w:jc w:val="both"/>
      </w:pPr>
      <w:r>
        <w:rPr>
          <w:rFonts w:ascii="仿宋_GB2312" w:hAnsi="仿宋_GB2312" w:eastAsia="仿宋_GB2312"/>
          <w:b w:val="0"/>
          <w:sz w:val="32"/>
        </w:rPr>
        <w:t>4.住房保障支出(类)124.40万元,占5.79%。</w:t>
      </w:r>
    </w:p>
    <w:p w14:paraId="6554592D">
      <w:pPr>
        <w:spacing w:line="640" w:lineRule="exact"/>
        <w:ind w:firstLine="640"/>
        <w:jc w:val="both"/>
        <w:outlineLvl w:val="3"/>
      </w:pPr>
      <w:r>
        <w:rPr>
          <w:rFonts w:ascii="楷体_GB2312" w:hAnsi="楷体_GB2312" w:eastAsia="楷体_GB2312"/>
          <w:b/>
          <w:sz w:val="32"/>
        </w:rPr>
        <w:t>（三）一般公共预算财政拨款支出决算具体情况</w:t>
      </w:r>
    </w:p>
    <w:p w14:paraId="2C52DBFD">
      <w:pPr>
        <w:spacing w:line="580" w:lineRule="exact"/>
        <w:ind w:firstLine="640"/>
        <w:jc w:val="both"/>
      </w:pPr>
      <w:r>
        <w:rPr>
          <w:rFonts w:ascii="仿宋_GB2312" w:hAnsi="仿宋_GB2312" w:eastAsia="仿宋_GB2312"/>
          <w:b w:val="0"/>
          <w:sz w:val="32"/>
        </w:rPr>
        <w:t>1.公共安全支出(类)司法(款)行政运行(项):支出决算数为1,367.44万元，比上年决算增加582.25万元，增长74.15%,主要原因是：本年人员增加，补发人员津贴补贴，人员经费相应增加。</w:t>
      </w:r>
    </w:p>
    <w:p w14:paraId="06707A13">
      <w:pPr>
        <w:spacing w:line="580" w:lineRule="exact"/>
        <w:ind w:firstLine="640"/>
        <w:jc w:val="both"/>
      </w:pPr>
      <w:r>
        <w:rPr>
          <w:rFonts w:ascii="仿宋_GB2312" w:hAnsi="仿宋_GB2312" w:eastAsia="仿宋_GB2312"/>
          <w:b w:val="0"/>
          <w:sz w:val="32"/>
        </w:rPr>
        <w:t>2.公共安全支出(类)司法(款)一般行政管理事务(项):支出决算数为87.75万元，比上年决算增加87.75万元，增长100.00%,主要原因是：本年增加专项业务经费资金。</w:t>
      </w:r>
    </w:p>
    <w:p w14:paraId="610D6BCF">
      <w:pPr>
        <w:spacing w:line="580" w:lineRule="exact"/>
        <w:ind w:firstLine="640"/>
        <w:jc w:val="both"/>
      </w:pPr>
      <w:r>
        <w:rPr>
          <w:rFonts w:ascii="仿宋_GB2312" w:hAnsi="仿宋_GB2312" w:eastAsia="仿宋_GB2312"/>
          <w:b w:val="0"/>
          <w:sz w:val="32"/>
        </w:rPr>
        <w:t>3.公共安全支出(类)司法(款)普法宣传(项):支出决算数为8.36万元，比上年决算增加8.36万元，增长100.00%,主要原因是：本年增加网络学法用法和无纸化考试费用项目资金。</w:t>
      </w:r>
    </w:p>
    <w:p w14:paraId="5A78F337">
      <w:pPr>
        <w:spacing w:line="580" w:lineRule="exact"/>
        <w:ind w:firstLine="640"/>
        <w:jc w:val="both"/>
      </w:pPr>
      <w:r>
        <w:rPr>
          <w:rFonts w:ascii="仿宋_GB2312" w:hAnsi="仿宋_GB2312" w:eastAsia="仿宋_GB2312"/>
          <w:b w:val="0"/>
          <w:sz w:val="32"/>
        </w:rPr>
        <w:t>4.公共安全支出(类)司法(款)其他司法支出(项):支出决算数为258.01万元，比上年决算增加20.50万元，增长8.63%,主要原因是：本年增加中央政法转移支付资金。</w:t>
      </w:r>
    </w:p>
    <w:p w14:paraId="15E2E18E">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5.社会保障和就业支出(类)行政事业单位养老支出(款)行政单位离退休(项):支出决算数为26.32万元，比上年决算增加6.52万元，增长32.93%,主要原因是：本年司法局退休人员增加，人员经费相应增加。</w:t>
      </w:r>
    </w:p>
    <w:p w14:paraId="7865D3C5">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135.65万元，比上年决算增加66.26万元，增长95.49%,主要原因是：本年在职人员增加，养老保险缴费较上年增加。</w:t>
      </w:r>
    </w:p>
    <w:p w14:paraId="0DED68E0">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63.76万元，比上年决算增加53.17万元，增长502.08%,主要原因是：本年新增退休人员较上年增加，职业年金缴费支出增加。</w:t>
      </w:r>
    </w:p>
    <w:p w14:paraId="4624581F">
      <w:pPr>
        <w:spacing w:line="580" w:lineRule="exact"/>
        <w:ind w:firstLine="640"/>
        <w:jc w:val="both"/>
      </w:pPr>
      <w:r>
        <w:rPr>
          <w:rFonts w:ascii="仿宋_GB2312" w:hAnsi="仿宋_GB2312" w:eastAsia="仿宋_GB2312"/>
          <w:b w:val="0"/>
          <w:sz w:val="32"/>
        </w:rPr>
        <w:t>8.卫生健康支出(类)行政事业单位医疗(款)行政单位医疗(项):支出决算数为62.99万元，比上年决算增加33.38万元，增长112.73%,主要原因是：本年在职人员增加，行政事业单位医疗支出增加。</w:t>
      </w:r>
    </w:p>
    <w:p w14:paraId="061B659F">
      <w:pPr>
        <w:spacing w:line="580" w:lineRule="exact"/>
        <w:ind w:firstLine="640"/>
        <w:jc w:val="both"/>
      </w:pPr>
      <w:r>
        <w:rPr>
          <w:rFonts w:ascii="仿宋_GB2312" w:hAnsi="仿宋_GB2312" w:eastAsia="仿宋_GB2312"/>
          <w:b w:val="0"/>
          <w:sz w:val="32"/>
        </w:rPr>
        <w:t>9.卫生健康支出(类)行政事业单位医疗(款)公务员医疗补助(项):支出决算数为14.47万元，比上年决算增加7.55万元，增长109.10%,主要原因是：本年在职人员增加，公务员医疗补助支出增加。</w:t>
      </w:r>
    </w:p>
    <w:p w14:paraId="6DD9DEE1">
      <w:pPr>
        <w:spacing w:line="580" w:lineRule="exact"/>
        <w:ind w:firstLine="640"/>
        <w:jc w:val="both"/>
      </w:pPr>
      <w:r>
        <w:rPr>
          <w:rFonts w:ascii="仿宋_GB2312" w:hAnsi="仿宋_GB2312" w:eastAsia="仿宋_GB2312"/>
          <w:b w:val="0"/>
          <w:sz w:val="32"/>
        </w:rPr>
        <w:t>10.住房保障支出(类)住房改革支出(款)住房公积金(项):支出决算数为124.40万元，比上年决算增加72.23万元，增长138.45%,主要原因是：本年在职人员增加，住房公积金支出较上年增加。</w:t>
      </w:r>
    </w:p>
    <w:p w14:paraId="09E8A307">
      <w:pPr>
        <w:spacing w:line="640" w:lineRule="exact"/>
        <w:ind w:firstLine="640"/>
        <w:jc w:val="both"/>
        <w:outlineLvl w:val="2"/>
      </w:pPr>
      <w:r>
        <w:rPr>
          <w:rFonts w:ascii="黑体" w:hAnsi="黑体" w:eastAsia="黑体"/>
          <w:sz w:val="32"/>
        </w:rPr>
        <w:t>六、一般公共预算财政拨款基本支出决算情况说明</w:t>
      </w:r>
    </w:p>
    <w:p w14:paraId="334DE762">
      <w:pPr>
        <w:spacing w:line="580" w:lineRule="exact"/>
        <w:ind w:firstLine="640"/>
        <w:jc w:val="both"/>
      </w:pPr>
      <w:r>
        <w:rPr>
          <w:rFonts w:ascii="仿宋_GB2312" w:hAnsi="仿宋_GB2312" w:eastAsia="仿宋_GB2312"/>
          <w:b w:val="0"/>
          <w:sz w:val="32"/>
        </w:rPr>
        <w:t>2024年度一般公共预算财政拨款基本支出1,795.03万元，其中：</w:t>
      </w:r>
      <w:r>
        <w:rPr>
          <w:rFonts w:ascii="仿宋_GB2312" w:hAnsi="仿宋_GB2312" w:eastAsia="仿宋_GB2312"/>
          <w:b/>
          <w:sz w:val="32"/>
        </w:rPr>
        <w:t>人员经费1,770.34万元，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生活补助、奖励金。</w:t>
      </w:r>
    </w:p>
    <w:p w14:paraId="570F9635">
      <w:pPr>
        <w:spacing w:line="580" w:lineRule="exact"/>
        <w:ind w:firstLine="640"/>
        <w:jc w:val="both"/>
      </w:pPr>
      <w:r>
        <w:rPr>
          <w:rFonts w:ascii="仿宋_GB2312" w:hAnsi="仿宋_GB2312" w:eastAsia="仿宋_GB2312"/>
          <w:b/>
          <w:sz w:val="32"/>
        </w:rPr>
        <w:t>公用经费24.70万元，</w:t>
      </w:r>
      <w:r>
        <w:rPr>
          <w:rFonts w:ascii="仿宋_GB2312" w:hAnsi="仿宋_GB2312" w:eastAsia="仿宋_GB2312"/>
          <w:b w:val="0"/>
          <w:sz w:val="32"/>
        </w:rPr>
        <w:t>包括：办公费、邮电费、差旅费、公务接待费、劳务费。</w:t>
      </w:r>
    </w:p>
    <w:p w14:paraId="795DA566">
      <w:pPr>
        <w:spacing w:line="640" w:lineRule="exact"/>
        <w:ind w:firstLine="640"/>
        <w:jc w:val="both"/>
        <w:outlineLvl w:val="2"/>
      </w:pPr>
      <w:r>
        <w:rPr>
          <w:rFonts w:ascii="黑体" w:hAnsi="黑体" w:eastAsia="黑体"/>
          <w:sz w:val="32"/>
        </w:rPr>
        <w:t>七、政府性基金预算财政拨款收入支出决算情况说明</w:t>
      </w:r>
    </w:p>
    <w:p w14:paraId="125AA966">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9B6AF73">
      <w:pPr>
        <w:spacing w:line="640" w:lineRule="exact"/>
        <w:ind w:firstLine="640"/>
        <w:jc w:val="both"/>
        <w:outlineLvl w:val="2"/>
      </w:pPr>
      <w:r>
        <w:rPr>
          <w:rFonts w:ascii="黑体" w:hAnsi="黑体" w:eastAsia="黑体"/>
          <w:sz w:val="32"/>
        </w:rPr>
        <w:t>八、国有资本经营预算财政拨款收入支出决算情况说明</w:t>
      </w:r>
    </w:p>
    <w:p w14:paraId="24E3EEF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1D594BF">
      <w:pPr>
        <w:spacing w:line="640" w:lineRule="exact"/>
        <w:ind w:firstLine="640"/>
        <w:jc w:val="both"/>
        <w:outlineLvl w:val="2"/>
      </w:pPr>
      <w:r>
        <w:rPr>
          <w:rFonts w:ascii="黑体" w:hAnsi="黑体" w:eastAsia="黑体"/>
          <w:sz w:val="32"/>
        </w:rPr>
        <w:t>九、财政拨款“三公”经费支出决算情况说明</w:t>
      </w:r>
    </w:p>
    <w:p w14:paraId="36C516A9">
      <w:pPr>
        <w:spacing w:line="580" w:lineRule="exact"/>
        <w:ind w:firstLine="640"/>
        <w:jc w:val="both"/>
      </w:pPr>
      <w:r>
        <w:rPr>
          <w:rFonts w:ascii="仿宋_GB2312" w:hAnsi="仿宋_GB2312" w:eastAsia="仿宋_GB2312"/>
          <w:b/>
          <w:sz w:val="32"/>
        </w:rPr>
        <w:t>2024年度财政拨款“三公”经费支出1.96万元，</w:t>
      </w:r>
      <w:r>
        <w:rPr>
          <w:rFonts w:ascii="仿宋_GB2312" w:hAnsi="仿宋_GB2312" w:eastAsia="仿宋_GB2312"/>
          <w:b w:val="0"/>
          <w:sz w:val="32"/>
        </w:rPr>
        <w:t>比上年减少2.78万元，下降58.65%，主要原因是：本年厉行节约，公务用车运行维护费较上年减少。其中：因公出国（境）费支出0.00万元，占0.00%，比上年增加0.00万元，增长0.00%，主要原因是：2023年与2024年均未安排因公出国（境）费支出。公务用车购置及运行维护费支出0.00万元，占0.00%，比上年减少4.00万元，下降100.00%，主要原因是：严格落实中央八项规定精神，厉行节约，减少公务用车运行维护费。公务接待费支出1.96万元，占100.00%，比上年增加1.22万元，增长164.86%，主要原因是：本年因业务需求，增加公务接待工作，导致公务接待费较上年增加。</w:t>
      </w:r>
    </w:p>
    <w:p w14:paraId="49B6E32F">
      <w:pPr>
        <w:spacing w:line="580" w:lineRule="exact"/>
        <w:ind w:firstLine="640"/>
        <w:jc w:val="both"/>
      </w:pPr>
      <w:r>
        <w:rPr>
          <w:rFonts w:ascii="仿宋_GB2312" w:hAnsi="仿宋_GB2312" w:eastAsia="仿宋_GB2312"/>
          <w:b/>
          <w:sz w:val="32"/>
        </w:rPr>
        <w:t>具体情况如下：</w:t>
      </w:r>
    </w:p>
    <w:p w14:paraId="2CCDA0B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1827B60">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9辆，与公务用车保有量差异原因是：差异车辆为一般业务用车，预算未安排公务用车运行维护费。</w:t>
      </w:r>
    </w:p>
    <w:p w14:paraId="0D0EC6BA">
      <w:pPr>
        <w:spacing w:line="580" w:lineRule="exact"/>
        <w:ind w:firstLine="640"/>
        <w:jc w:val="both"/>
      </w:pPr>
      <w:r>
        <w:rPr>
          <w:rFonts w:ascii="仿宋_GB2312" w:hAnsi="仿宋_GB2312" w:eastAsia="仿宋_GB2312"/>
          <w:b w:val="0"/>
          <w:sz w:val="32"/>
        </w:rPr>
        <w:t>公务接待费1.96万元，开支内容包括因工作需要，接待上级领导督查产生的就餐费及住宿费。单位全年安排的国内公务接待18批次，164人次。</w:t>
      </w:r>
    </w:p>
    <w:p w14:paraId="7833733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1.96万元，决算数1.96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1.96万元，决算数1.96万元，预决算差异率0.00%，主要原因是：严格按照预算执行，预决算无差异。</w:t>
      </w:r>
    </w:p>
    <w:p w14:paraId="08284C1F">
      <w:pPr>
        <w:spacing w:line="640" w:lineRule="exact"/>
        <w:ind w:firstLine="640"/>
        <w:jc w:val="both"/>
        <w:outlineLvl w:val="2"/>
      </w:pPr>
      <w:r>
        <w:rPr>
          <w:rFonts w:ascii="黑体" w:hAnsi="黑体" w:eastAsia="黑体"/>
          <w:sz w:val="32"/>
        </w:rPr>
        <w:t>十、其他重要事项的情况说明</w:t>
      </w:r>
    </w:p>
    <w:p w14:paraId="11AD4DB0">
      <w:pPr>
        <w:spacing w:line="640" w:lineRule="exact"/>
        <w:ind w:firstLine="640"/>
        <w:jc w:val="both"/>
        <w:outlineLvl w:val="3"/>
      </w:pPr>
      <w:r>
        <w:rPr>
          <w:rFonts w:ascii="楷体_GB2312" w:hAnsi="楷体_GB2312" w:eastAsia="楷体_GB2312"/>
          <w:b/>
          <w:sz w:val="32"/>
        </w:rPr>
        <w:t>（一）机关运行经费及公用经费支出情况</w:t>
      </w:r>
    </w:p>
    <w:p w14:paraId="26F4EDC5">
      <w:pPr>
        <w:spacing w:line="580" w:lineRule="exact"/>
        <w:ind w:firstLine="640"/>
        <w:jc w:val="both"/>
      </w:pPr>
      <w:r>
        <w:rPr>
          <w:rFonts w:ascii="仿宋_GB2312" w:hAnsi="仿宋_GB2312" w:eastAsia="仿宋_GB2312"/>
          <w:b w:val="0"/>
          <w:sz w:val="32"/>
        </w:rPr>
        <w:t>2024年度叶城县司法局（行政单位和参照公务员法管理事业单位）机关运行经费支出24.70万元，比上年减少0.52万元，下降2.06%，主要原因是：严控经费支出，厉行节约，减少经费支出。</w:t>
      </w:r>
    </w:p>
    <w:p w14:paraId="5A2F67FD">
      <w:pPr>
        <w:spacing w:line="640" w:lineRule="exact"/>
        <w:ind w:firstLine="640"/>
        <w:jc w:val="both"/>
        <w:outlineLvl w:val="3"/>
      </w:pPr>
      <w:r>
        <w:rPr>
          <w:rFonts w:ascii="楷体_GB2312" w:hAnsi="楷体_GB2312" w:eastAsia="楷体_GB2312"/>
          <w:b/>
          <w:sz w:val="32"/>
        </w:rPr>
        <w:t>（二）政府采购情况</w:t>
      </w:r>
    </w:p>
    <w:p w14:paraId="0C8A6968">
      <w:pPr>
        <w:spacing w:line="580" w:lineRule="exact"/>
        <w:ind w:firstLine="640"/>
        <w:jc w:val="both"/>
      </w:pPr>
      <w:r>
        <w:rPr>
          <w:rFonts w:ascii="仿宋_GB2312" w:hAnsi="仿宋_GB2312" w:eastAsia="仿宋_GB2312"/>
          <w:b w:val="0"/>
          <w:sz w:val="32"/>
        </w:rPr>
        <w:t>2024年度政府采购支出总额241.09万元，其中：政府采购货物支出144.37万元、政府采购工程支出0.00万元、政府采购服务支出96.72万元。</w:t>
      </w:r>
    </w:p>
    <w:p w14:paraId="36AF8B44">
      <w:pPr>
        <w:spacing w:line="580" w:lineRule="exact"/>
        <w:ind w:firstLine="640"/>
        <w:jc w:val="both"/>
      </w:pPr>
      <w:r>
        <w:rPr>
          <w:rFonts w:ascii="仿宋_GB2312" w:hAnsi="仿宋_GB2312" w:eastAsia="仿宋_GB2312"/>
          <w:b w:val="0"/>
          <w:sz w:val="32"/>
        </w:rPr>
        <w:t>授予中小企业合同金额219.06万元，占政府采购支出总额的90.86%，其中：授予小微企业合同金额213.29万元，占政府采购支出总额的88.47%。</w:t>
      </w:r>
    </w:p>
    <w:p w14:paraId="0E5F1A3E">
      <w:pPr>
        <w:spacing w:line="640" w:lineRule="exact"/>
        <w:ind w:firstLine="640"/>
        <w:jc w:val="both"/>
        <w:outlineLvl w:val="3"/>
      </w:pPr>
      <w:r>
        <w:rPr>
          <w:rFonts w:ascii="楷体_GB2312" w:hAnsi="楷体_GB2312" w:eastAsia="楷体_GB2312"/>
          <w:b/>
          <w:sz w:val="32"/>
        </w:rPr>
        <w:t>（三）国有资产占用情况说明</w:t>
      </w:r>
    </w:p>
    <w:p w14:paraId="72CFDD32">
      <w:pPr>
        <w:spacing w:line="580" w:lineRule="exact"/>
        <w:ind w:firstLine="640"/>
        <w:jc w:val="both"/>
      </w:pPr>
      <w:r>
        <w:rPr>
          <w:rFonts w:ascii="仿宋_GB2312" w:hAnsi="仿宋_GB2312" w:eastAsia="仿宋_GB2312"/>
          <w:b w:val="0"/>
          <w:sz w:val="32"/>
        </w:rPr>
        <w:t>截至2024年12月31日，房屋148.00平方米，价值20.22万元。车辆9辆，价值202.34万元，其中：副部（省）级及以上领导用车0辆、主要负责人用车0辆、机要通信用车0辆、应急保障用车0辆、执法执勤用车9辆、特种专业技术用车0辆、离退休干部服务用车0辆、其他用车0辆，其他用车主要是：本单位无其他用车。单价100万元（含）以上设备（不含车辆）0台（套）。</w:t>
      </w:r>
    </w:p>
    <w:p w14:paraId="6C09C8BC">
      <w:pPr>
        <w:spacing w:line="640" w:lineRule="exact"/>
        <w:ind w:firstLine="640"/>
        <w:jc w:val="both"/>
        <w:outlineLvl w:val="2"/>
      </w:pPr>
      <w:r>
        <w:rPr>
          <w:rFonts w:ascii="黑体" w:hAnsi="黑体" w:eastAsia="黑体"/>
          <w:sz w:val="32"/>
        </w:rPr>
        <w:t>十一、预算绩效的情况说明</w:t>
      </w:r>
    </w:p>
    <w:p w14:paraId="0292A616">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根据预算绩效管理要求，本单位2024年度预算绩效管理形成整体支出绩效自评表1个，全年预算总额2,547.42万元，实际执行总额2,547.42万元；预算绩效评价项目</w:t>
      </w:r>
      <w:r>
        <w:rPr>
          <w:rFonts w:hint="eastAsia" w:ascii="仿宋_GB2312" w:hAnsi="仿宋_GB2312" w:eastAsia="仿宋_GB2312"/>
          <w:b w:val="0"/>
          <w:sz w:val="32"/>
          <w:lang w:val="en-US" w:eastAsia="zh-CN"/>
        </w:rPr>
        <w:t>3</w:t>
      </w:r>
      <w:r>
        <w:rPr>
          <w:rFonts w:ascii="仿宋_GB2312" w:hAnsi="仿宋_GB2312" w:eastAsia="仿宋_GB2312"/>
          <w:b w:val="0"/>
          <w:sz w:val="32"/>
        </w:rPr>
        <w:t>个，全年预算数656.28万元，全年执行数656.28万元。预算绩效管理取得的成效：一是积极推进预算绩效管理工作，不断提高预算绩效管理工作的质量和水平；二是加强对预算执行过程的约束，确保专款专用，提高了资金使用的合规性；三是通过预算执行和项目执行</w:t>
      </w:r>
      <w:r>
        <w:rPr>
          <w:rFonts w:hint="eastAsia" w:ascii="仿宋_GB2312" w:hAnsi="仿宋_GB2312" w:eastAsia="仿宋_GB2312"/>
          <w:b w:val="0"/>
          <w:sz w:val="32"/>
          <w:lang w:eastAsia="zh-CN"/>
        </w:rPr>
        <w:t>更好地</w:t>
      </w:r>
      <w:r>
        <w:rPr>
          <w:rFonts w:ascii="仿宋_GB2312" w:hAnsi="仿宋_GB2312" w:eastAsia="仿宋_GB2312"/>
          <w:b w:val="0"/>
          <w:sz w:val="32"/>
        </w:rPr>
        <w:t>相互推进，提高了资金使用效益。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加大绩效工作宣传力度，强化绩效理念；二是完善绩效指标，提高整体绩效目标质量。提升预算精细化管理水平；三是继续完善预算绩效管理相关工作制度，建立全过程预算绩效管理链条，有效贯彻落实全面实施绩效管理的精神。具体附整体支出绩效自评表。</w:t>
      </w:r>
    </w:p>
    <w:p w14:paraId="393350F6">
      <w:r>
        <w:br w:type="page"/>
      </w:r>
    </w:p>
    <w:tbl>
      <w:tblPr>
        <w:tblStyle w:val="9"/>
        <w:tblW w:w="0" w:type="auto"/>
        <w:tblInd w:w="0" w:type="dxa"/>
        <w:tblLayout w:type="fixed"/>
        <w:tblCellMar>
          <w:top w:w="0" w:type="dxa"/>
          <w:left w:w="108" w:type="dxa"/>
          <w:bottom w:w="0" w:type="dxa"/>
          <w:right w:w="108" w:type="dxa"/>
        </w:tblCellMar>
      </w:tblPr>
      <w:tblGrid>
        <w:gridCol w:w="983"/>
        <w:gridCol w:w="851"/>
        <w:gridCol w:w="1392"/>
        <w:gridCol w:w="706"/>
        <w:gridCol w:w="983"/>
        <w:gridCol w:w="983"/>
        <w:gridCol w:w="983"/>
        <w:gridCol w:w="983"/>
        <w:gridCol w:w="983"/>
      </w:tblGrid>
      <w:tr w14:paraId="0C722DD1">
        <w:tblPrEx>
          <w:tblCellMar>
            <w:top w:w="0" w:type="dxa"/>
            <w:left w:w="108" w:type="dxa"/>
            <w:bottom w:w="0" w:type="dxa"/>
            <w:right w:w="108" w:type="dxa"/>
          </w:tblCellMar>
        </w:tblPrEx>
        <w:tc>
          <w:tcPr>
            <w:tcW w:w="8847" w:type="dxa"/>
            <w:gridSpan w:val="9"/>
            <w:vAlign w:val="center"/>
          </w:tcPr>
          <w:p w14:paraId="51213797">
            <w:pPr>
              <w:jc w:val="center"/>
            </w:pPr>
            <w:r>
              <w:rPr>
                <w:rFonts w:ascii="宋体" w:hAnsi="宋体" w:eastAsia="宋体"/>
                <w:sz w:val="24"/>
              </w:rPr>
              <w:t>单位整体支出绩效自评表</w:t>
            </w:r>
          </w:p>
        </w:tc>
      </w:tr>
      <w:tr w14:paraId="422A1D46">
        <w:tblPrEx>
          <w:tblCellMar>
            <w:top w:w="0" w:type="dxa"/>
            <w:left w:w="108" w:type="dxa"/>
            <w:bottom w:w="0" w:type="dxa"/>
            <w:right w:w="108" w:type="dxa"/>
          </w:tblCellMar>
        </w:tblPrEx>
        <w:tc>
          <w:tcPr>
            <w:tcW w:w="8847" w:type="dxa"/>
            <w:gridSpan w:val="9"/>
            <w:vAlign w:val="center"/>
          </w:tcPr>
          <w:p w14:paraId="7DF93B67">
            <w:pPr>
              <w:jc w:val="center"/>
            </w:pPr>
            <w:r>
              <w:rPr>
                <w:rFonts w:ascii="宋体" w:hAnsi="宋体" w:eastAsia="宋体"/>
                <w:sz w:val="24"/>
              </w:rPr>
              <w:t>（2024年度）</w:t>
            </w:r>
          </w:p>
        </w:tc>
      </w:tr>
      <w:tr w14:paraId="6E6C6A3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6E2AF">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672C4D5">
            <w:pPr>
              <w:jc w:val="center"/>
            </w:pPr>
            <w:r>
              <w:rPr>
                <w:rFonts w:ascii="宋体" w:hAnsi="宋体" w:eastAsia="宋体"/>
                <w:sz w:val="16"/>
              </w:rPr>
              <w:t>叶城县司法局</w:t>
            </w:r>
          </w:p>
        </w:tc>
      </w:tr>
      <w:tr w14:paraId="3754BB4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5B66F5">
            <w:pPr>
              <w:jc w:val="center"/>
            </w:pPr>
            <w:r>
              <w:rPr>
                <w:rFonts w:ascii="宋体" w:hAnsi="宋体" w:eastAsia="宋体"/>
                <w:sz w:val="16"/>
              </w:rPr>
              <w:t>部门资金（万元）</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3594274F">
            <w:pPr>
              <w:jc w:val="center"/>
            </w:pPr>
            <w:r>
              <w:rPr>
                <w:rFonts w:ascii="宋体" w:hAnsi="宋体" w:eastAsia="宋体"/>
                <w:sz w:val="16"/>
              </w:rPr>
              <w:t>资金来源</w:t>
            </w:r>
          </w:p>
        </w:tc>
        <w:tc>
          <w:tcPr>
            <w:tcW w:w="1392" w:type="dxa"/>
            <w:tcBorders>
              <w:top w:val="single" w:color="auto" w:sz="10" w:space="0"/>
              <w:left w:val="single" w:color="auto" w:sz="10" w:space="0"/>
              <w:bottom w:val="single" w:color="auto" w:sz="10" w:space="0"/>
              <w:right w:val="single" w:color="auto" w:sz="10" w:space="0"/>
              <w:insideV w:val="single" w:sz="10" w:space="0"/>
            </w:tcBorders>
            <w:vAlign w:val="center"/>
          </w:tcPr>
          <w:p w14:paraId="0F4A0533">
            <w:pPr>
              <w:jc w:val="center"/>
            </w:pPr>
            <w:r>
              <w:rPr>
                <w:rFonts w:ascii="宋体" w:hAnsi="宋体" w:eastAsia="宋体"/>
                <w:sz w:val="16"/>
              </w:rPr>
              <w:t>年初预算数</w:t>
            </w:r>
          </w:p>
        </w:tc>
        <w:tc>
          <w:tcPr>
            <w:tcW w:w="706" w:type="dxa"/>
            <w:tcBorders>
              <w:top w:val="single" w:color="auto" w:sz="10" w:space="0"/>
              <w:left w:val="single" w:color="auto" w:sz="10" w:space="0"/>
              <w:bottom w:val="single" w:color="auto" w:sz="10" w:space="0"/>
              <w:right w:val="single" w:color="auto" w:sz="10" w:space="0"/>
              <w:insideV w:val="single" w:sz="10" w:space="0"/>
            </w:tcBorders>
            <w:vAlign w:val="center"/>
          </w:tcPr>
          <w:p w14:paraId="57C59909">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32B14">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5C1D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502BF">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FCB4D">
            <w:pPr>
              <w:jc w:val="center"/>
            </w:pPr>
            <w:r>
              <w:rPr>
                <w:rFonts w:ascii="宋体" w:hAnsi="宋体" w:eastAsia="宋体"/>
                <w:sz w:val="16"/>
              </w:rPr>
              <w:t>得分</w:t>
            </w:r>
          </w:p>
        </w:tc>
      </w:tr>
      <w:tr w14:paraId="170779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47827C"/>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7E3ABEE1">
            <w:pPr>
              <w:jc w:val="center"/>
            </w:pPr>
            <w:r>
              <w:rPr>
                <w:rFonts w:ascii="宋体" w:hAnsi="宋体" w:eastAsia="宋体"/>
                <w:sz w:val="16"/>
              </w:rPr>
              <w:t>年度总资金：</w:t>
            </w:r>
          </w:p>
        </w:tc>
        <w:tc>
          <w:tcPr>
            <w:tcW w:w="1392" w:type="dxa"/>
            <w:tcBorders>
              <w:top w:val="single" w:color="auto" w:sz="10" w:space="0"/>
              <w:left w:val="single" w:color="auto" w:sz="10" w:space="0"/>
              <w:bottom w:val="single" w:color="auto" w:sz="10" w:space="0"/>
              <w:right w:val="single" w:color="auto" w:sz="10" w:space="0"/>
              <w:insideV w:val="single" w:sz="10" w:space="0"/>
            </w:tcBorders>
            <w:vAlign w:val="center"/>
          </w:tcPr>
          <w:p w14:paraId="5012264E">
            <w:pPr>
              <w:jc w:val="center"/>
            </w:pPr>
            <w:r>
              <w:rPr>
                <w:rFonts w:ascii="宋体" w:hAnsi="宋体" w:eastAsia="宋体"/>
                <w:sz w:val="16"/>
              </w:rPr>
              <w:t>1,907.15</w:t>
            </w:r>
          </w:p>
        </w:tc>
        <w:tc>
          <w:tcPr>
            <w:tcW w:w="706" w:type="dxa"/>
            <w:tcBorders>
              <w:top w:val="single" w:color="auto" w:sz="10" w:space="0"/>
              <w:left w:val="single" w:color="auto" w:sz="10" w:space="0"/>
              <w:bottom w:val="single" w:color="auto" w:sz="10" w:space="0"/>
              <w:right w:val="single" w:color="auto" w:sz="10" w:space="0"/>
              <w:insideV w:val="single" w:sz="10" w:space="0"/>
            </w:tcBorders>
            <w:vAlign w:val="center"/>
          </w:tcPr>
          <w:p w14:paraId="479FF705">
            <w:pPr>
              <w:jc w:val="center"/>
            </w:pPr>
            <w:r>
              <w:rPr>
                <w:rFonts w:ascii="宋体" w:hAnsi="宋体" w:eastAsia="宋体"/>
                <w:sz w:val="16"/>
              </w:rPr>
              <w:t>2,547.42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ECF3D">
            <w:pPr>
              <w:jc w:val="center"/>
            </w:pPr>
            <w:r>
              <w:rPr>
                <w:rFonts w:ascii="宋体" w:hAnsi="宋体" w:eastAsia="宋体"/>
                <w:sz w:val="16"/>
              </w:rPr>
              <w:t>2,547.42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811F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FD94A">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43948">
            <w:pPr>
              <w:jc w:val="center"/>
            </w:pPr>
            <w:r>
              <w:rPr>
                <w:rFonts w:ascii="宋体" w:hAnsi="宋体" w:eastAsia="宋体"/>
                <w:sz w:val="16"/>
              </w:rPr>
              <w:t>10</w:t>
            </w:r>
          </w:p>
        </w:tc>
      </w:tr>
      <w:tr w14:paraId="4826A4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317CD9"/>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0FAEB912">
            <w:pPr>
              <w:jc w:val="center"/>
            </w:pPr>
            <w:r>
              <w:rPr>
                <w:rFonts w:ascii="宋体" w:hAnsi="宋体" w:eastAsia="宋体"/>
                <w:sz w:val="16"/>
              </w:rPr>
              <w:t>上级资金：</w:t>
            </w:r>
          </w:p>
        </w:tc>
        <w:tc>
          <w:tcPr>
            <w:tcW w:w="1392" w:type="dxa"/>
            <w:tcBorders>
              <w:top w:val="single" w:color="auto" w:sz="10" w:space="0"/>
              <w:left w:val="single" w:color="auto" w:sz="10" w:space="0"/>
              <w:bottom w:val="single" w:color="auto" w:sz="10" w:space="0"/>
              <w:right w:val="single" w:color="auto" w:sz="10" w:space="0"/>
              <w:insideV w:val="single" w:sz="10" w:space="0"/>
            </w:tcBorders>
            <w:vAlign w:val="center"/>
          </w:tcPr>
          <w:p w14:paraId="50D2D888">
            <w:pPr>
              <w:jc w:val="center"/>
            </w:pPr>
            <w:r>
              <w:rPr>
                <w:rFonts w:ascii="宋体" w:hAnsi="宋体" w:eastAsia="宋体"/>
                <w:sz w:val="16"/>
              </w:rPr>
              <w:t>219.95</w:t>
            </w:r>
          </w:p>
        </w:tc>
        <w:tc>
          <w:tcPr>
            <w:tcW w:w="706" w:type="dxa"/>
            <w:tcBorders>
              <w:top w:val="single" w:color="auto" w:sz="10" w:space="0"/>
              <w:left w:val="single" w:color="auto" w:sz="10" w:space="0"/>
              <w:bottom w:val="single" w:color="auto" w:sz="10" w:space="0"/>
              <w:right w:val="single" w:color="auto" w:sz="10" w:space="0"/>
              <w:insideV w:val="single" w:sz="10" w:space="0"/>
            </w:tcBorders>
            <w:vAlign w:val="center"/>
          </w:tcPr>
          <w:p w14:paraId="32326E0A">
            <w:pPr>
              <w:jc w:val="center"/>
            </w:pPr>
            <w:r>
              <w:rPr>
                <w:rFonts w:ascii="宋体" w:hAnsi="宋体" w:eastAsia="宋体"/>
                <w:sz w:val="16"/>
              </w:rPr>
              <w:t>258.01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5BE4D">
            <w:pPr>
              <w:jc w:val="center"/>
            </w:pPr>
            <w:r>
              <w:rPr>
                <w:rFonts w:ascii="宋体" w:hAnsi="宋体" w:eastAsia="宋体"/>
                <w:sz w:val="16"/>
              </w:rPr>
              <w:t>258.01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584B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60D9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551DD">
            <w:pPr>
              <w:jc w:val="center"/>
            </w:pPr>
            <w:r>
              <w:rPr>
                <w:rFonts w:ascii="宋体" w:hAnsi="宋体" w:eastAsia="宋体"/>
                <w:sz w:val="16"/>
              </w:rPr>
              <w:t>—</w:t>
            </w:r>
          </w:p>
        </w:tc>
      </w:tr>
      <w:tr w14:paraId="30E6FB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1C0C81"/>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0359B99D">
            <w:pPr>
              <w:jc w:val="center"/>
            </w:pPr>
            <w:r>
              <w:rPr>
                <w:rFonts w:ascii="宋体" w:hAnsi="宋体" w:eastAsia="宋体"/>
                <w:sz w:val="16"/>
              </w:rPr>
              <w:t>本级资金：</w:t>
            </w:r>
          </w:p>
        </w:tc>
        <w:tc>
          <w:tcPr>
            <w:tcW w:w="1392" w:type="dxa"/>
            <w:tcBorders>
              <w:top w:val="single" w:color="auto" w:sz="10" w:space="0"/>
              <w:left w:val="single" w:color="auto" w:sz="10" w:space="0"/>
              <w:bottom w:val="single" w:color="auto" w:sz="10" w:space="0"/>
              <w:right w:val="single" w:color="auto" w:sz="10" w:space="0"/>
              <w:insideV w:val="single" w:sz="10" w:space="0"/>
            </w:tcBorders>
            <w:vAlign w:val="center"/>
          </w:tcPr>
          <w:p w14:paraId="7519AFF4">
            <w:pPr>
              <w:jc w:val="center"/>
            </w:pPr>
            <w:r>
              <w:rPr>
                <w:rFonts w:ascii="宋体" w:hAnsi="宋体" w:eastAsia="宋体"/>
                <w:sz w:val="16"/>
              </w:rPr>
              <w:t>1,687.20</w:t>
            </w:r>
          </w:p>
        </w:tc>
        <w:tc>
          <w:tcPr>
            <w:tcW w:w="706" w:type="dxa"/>
            <w:tcBorders>
              <w:top w:val="single" w:color="auto" w:sz="10" w:space="0"/>
              <w:left w:val="single" w:color="auto" w:sz="10" w:space="0"/>
              <w:bottom w:val="single" w:color="auto" w:sz="10" w:space="0"/>
              <w:right w:val="single" w:color="auto" w:sz="10" w:space="0"/>
              <w:insideV w:val="single" w:sz="10" w:space="0"/>
            </w:tcBorders>
            <w:vAlign w:val="center"/>
          </w:tcPr>
          <w:p w14:paraId="57A8BB29">
            <w:pPr>
              <w:jc w:val="center"/>
            </w:pPr>
            <w:r>
              <w:rPr>
                <w:rFonts w:ascii="宋体" w:hAnsi="宋体" w:eastAsia="宋体"/>
                <w:sz w:val="16"/>
              </w:rPr>
              <w:t>1,891.14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39BF4">
            <w:pPr>
              <w:jc w:val="center"/>
            </w:pPr>
            <w:r>
              <w:rPr>
                <w:rFonts w:ascii="宋体" w:hAnsi="宋体" w:eastAsia="宋体"/>
                <w:sz w:val="16"/>
              </w:rPr>
              <w:t>1,891.14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2125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DA82E">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DA1A6">
            <w:pPr>
              <w:jc w:val="center"/>
            </w:pPr>
            <w:r>
              <w:rPr>
                <w:rFonts w:ascii="宋体" w:hAnsi="宋体" w:eastAsia="宋体"/>
                <w:sz w:val="16"/>
              </w:rPr>
              <w:t>—</w:t>
            </w:r>
          </w:p>
        </w:tc>
      </w:tr>
      <w:tr w14:paraId="53014A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E69AA4"/>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7C98A47B">
            <w:pPr>
              <w:jc w:val="center"/>
            </w:pPr>
            <w:r>
              <w:rPr>
                <w:rFonts w:ascii="宋体" w:hAnsi="宋体" w:eastAsia="宋体"/>
                <w:sz w:val="16"/>
              </w:rPr>
              <w:t>其他资金：</w:t>
            </w:r>
          </w:p>
        </w:tc>
        <w:tc>
          <w:tcPr>
            <w:tcW w:w="1392" w:type="dxa"/>
            <w:tcBorders>
              <w:top w:val="single" w:color="auto" w:sz="10" w:space="0"/>
              <w:left w:val="single" w:color="auto" w:sz="10" w:space="0"/>
              <w:bottom w:val="single" w:color="auto" w:sz="10" w:space="0"/>
              <w:right w:val="single" w:color="auto" w:sz="10" w:space="0"/>
              <w:insideV w:val="single" w:sz="10" w:space="0"/>
            </w:tcBorders>
            <w:vAlign w:val="center"/>
          </w:tcPr>
          <w:p w14:paraId="1005203F">
            <w:pPr>
              <w:jc w:val="center"/>
            </w:pPr>
            <w:r>
              <w:rPr>
                <w:rFonts w:ascii="宋体" w:hAnsi="宋体" w:eastAsia="宋体"/>
                <w:sz w:val="16"/>
              </w:rPr>
              <w:t>0.00</w:t>
            </w:r>
          </w:p>
        </w:tc>
        <w:tc>
          <w:tcPr>
            <w:tcW w:w="706" w:type="dxa"/>
            <w:tcBorders>
              <w:top w:val="single" w:color="auto" w:sz="10" w:space="0"/>
              <w:left w:val="single" w:color="auto" w:sz="10" w:space="0"/>
              <w:bottom w:val="single" w:color="auto" w:sz="10" w:space="0"/>
              <w:right w:val="single" w:color="auto" w:sz="10" w:space="0"/>
              <w:insideV w:val="single" w:sz="10" w:space="0"/>
            </w:tcBorders>
            <w:vAlign w:val="center"/>
          </w:tcPr>
          <w:p w14:paraId="78ED189F">
            <w:pPr>
              <w:jc w:val="center"/>
            </w:pPr>
            <w:r>
              <w:rPr>
                <w:rFonts w:ascii="宋体" w:hAnsi="宋体" w:eastAsia="宋体"/>
                <w:sz w:val="16"/>
              </w:rPr>
              <w:t>398.27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A4FB8">
            <w:pPr>
              <w:jc w:val="center"/>
            </w:pPr>
            <w:r>
              <w:rPr>
                <w:rFonts w:ascii="宋体" w:hAnsi="宋体" w:eastAsia="宋体"/>
                <w:sz w:val="16"/>
              </w:rPr>
              <w:t>398.27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E62C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7173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B3970">
            <w:pPr>
              <w:jc w:val="center"/>
            </w:pPr>
            <w:r>
              <w:rPr>
                <w:rFonts w:ascii="宋体" w:hAnsi="宋体" w:eastAsia="宋体"/>
                <w:sz w:val="16"/>
              </w:rPr>
              <w:t>—</w:t>
            </w:r>
          </w:p>
        </w:tc>
      </w:tr>
      <w:tr w14:paraId="51A96A0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888A0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CA673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84EFAE">
            <w:pPr>
              <w:jc w:val="center"/>
            </w:pPr>
            <w:r>
              <w:rPr>
                <w:rFonts w:ascii="宋体" w:hAnsi="宋体" w:eastAsia="宋体"/>
                <w:sz w:val="16"/>
              </w:rPr>
              <w:t>实际完成情况</w:t>
            </w:r>
          </w:p>
        </w:tc>
      </w:tr>
      <w:tr w14:paraId="421879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AF006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1A63ED2">
            <w:pPr>
              <w:jc w:val="both"/>
            </w:pPr>
            <w:r>
              <w:rPr>
                <w:rFonts w:ascii="宋体" w:hAnsi="宋体" w:eastAsia="宋体"/>
                <w:sz w:val="16"/>
              </w:rPr>
              <w:t>人民调解工作。充分发挥人民调解在大调解工作体系中的基础作用，实现优势互补，提高社会矛盾纠纷调处效率。深入开展法治宣传教育和依法治理工作。深入推进实施“八五”普法工作，对全县各单位开展“八五”普法情况进行了督导。认真组织开展“深化‘法治六进’、推进依法治国”法治宣传教育主题活动和“宪法、法律宣传月”、送法下乡、法律法规颁布日的宣传活动。继续加强法治宣传教育；大力弘扬“爱国爱疆、团结奉献、勤劳互助、开放进取”的新疆精神。公证工作规范化建设。进一步规范拓展律师工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9B8027">
            <w:pPr>
              <w:jc w:val="both"/>
            </w:pPr>
            <w:r>
              <w:rPr>
                <w:rFonts w:hint="eastAsia" w:ascii="宋体" w:hAnsi="宋体"/>
                <w:sz w:val="16"/>
                <w:lang w:eastAsia="zh-CN"/>
              </w:rPr>
              <w:t>截至</w:t>
            </w:r>
            <w:r>
              <w:rPr>
                <w:rFonts w:ascii="宋体" w:hAnsi="宋体" w:eastAsia="宋体"/>
                <w:sz w:val="16"/>
              </w:rPr>
              <w:t>2024年12月31日，本年度完成转任轮岗人员培训15次、建成公共法律服务中心1个、打造20个村级公共法律服务工作室样板。充分发挥人民调解在大调解工作体系中的基础作用，文件合法性审查率高达100%，实现优势互补，提高社会矛盾纠纷调处效率。使人民调解成功率高达100%。深入开展法治宣传教育和依法治理工作。深入推进实施“八五”普法工作，对全县各单位开展“八五”普法情况进行了督导。认真组织开展“深化‘法治六进’、推进依法治国”法治宣传教育主题活动和“宪法、法律宣传月”、送法下乡、法律法规颁布日的宣传活动。继续加强法治宣传教育；大力弘扬“爱国爱疆、团结奉献、勤劳互助、开放进取”的新疆精神。公证工作规范化建设。进一步规范拓展律师工作。</w:t>
            </w:r>
          </w:p>
        </w:tc>
      </w:tr>
      <w:tr w14:paraId="2A41E8C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5978D">
            <w:pPr>
              <w:jc w:val="center"/>
            </w:pPr>
            <w:r>
              <w:rPr>
                <w:rFonts w:ascii="宋体" w:hAnsi="宋体" w:eastAsia="宋体"/>
                <w:sz w:val="16"/>
              </w:rPr>
              <w:t>一级指标</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50324F5A">
            <w:pPr>
              <w:jc w:val="center"/>
            </w:pPr>
            <w:r>
              <w:rPr>
                <w:rFonts w:ascii="宋体" w:hAnsi="宋体" w:eastAsia="宋体"/>
                <w:sz w:val="16"/>
              </w:rPr>
              <w:t>二级指标</w:t>
            </w:r>
          </w:p>
        </w:tc>
        <w:tc>
          <w:tcPr>
            <w:tcW w:w="1392" w:type="dxa"/>
            <w:tcBorders>
              <w:top w:val="single" w:color="auto" w:sz="10" w:space="0"/>
              <w:left w:val="single" w:color="auto" w:sz="10" w:space="0"/>
              <w:bottom w:val="single" w:color="auto" w:sz="10" w:space="0"/>
              <w:right w:val="single" w:color="auto" w:sz="10" w:space="0"/>
              <w:insideV w:val="single" w:sz="10" w:space="0"/>
            </w:tcBorders>
            <w:vAlign w:val="center"/>
          </w:tcPr>
          <w:p w14:paraId="40DA18B7">
            <w:pPr>
              <w:jc w:val="center"/>
            </w:pPr>
            <w:r>
              <w:rPr>
                <w:rFonts w:ascii="宋体" w:hAnsi="宋体" w:eastAsia="宋体"/>
                <w:sz w:val="16"/>
              </w:rPr>
              <w:t>三级指标</w:t>
            </w:r>
          </w:p>
        </w:tc>
        <w:tc>
          <w:tcPr>
            <w:tcW w:w="706" w:type="dxa"/>
            <w:tcBorders>
              <w:top w:val="single" w:color="auto" w:sz="10" w:space="0"/>
              <w:left w:val="single" w:color="auto" w:sz="10" w:space="0"/>
              <w:bottom w:val="single" w:color="auto" w:sz="10" w:space="0"/>
              <w:right w:val="single" w:color="auto" w:sz="10" w:space="0"/>
              <w:insideV w:val="single" w:sz="10" w:space="0"/>
            </w:tcBorders>
            <w:vAlign w:val="center"/>
          </w:tcPr>
          <w:p w14:paraId="22E2AEED">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BF50C">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EB48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36A1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B2C61">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0B8C9">
            <w:pPr>
              <w:jc w:val="center"/>
            </w:pPr>
            <w:r>
              <w:rPr>
                <w:rFonts w:ascii="宋体" w:hAnsi="宋体" w:eastAsia="宋体"/>
                <w:sz w:val="16"/>
              </w:rPr>
              <w:t>得分</w:t>
            </w:r>
          </w:p>
        </w:tc>
      </w:tr>
      <w:tr w14:paraId="6464961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C3F357">
            <w:pPr>
              <w:jc w:val="center"/>
            </w:pPr>
            <w:r>
              <w:rPr>
                <w:rFonts w:ascii="宋体" w:hAnsi="宋体" w:eastAsia="宋体"/>
                <w:sz w:val="16"/>
              </w:rPr>
              <w:t>履职效能</w:t>
            </w:r>
          </w:p>
        </w:tc>
        <w:tc>
          <w:tcPr>
            <w:tcW w:w="85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C200FD">
            <w:pPr>
              <w:jc w:val="center"/>
            </w:pPr>
            <w:r>
              <w:rPr>
                <w:rFonts w:ascii="宋体" w:hAnsi="宋体" w:eastAsia="宋体"/>
                <w:sz w:val="16"/>
              </w:rPr>
              <w:t>数量指标</w:t>
            </w:r>
          </w:p>
        </w:tc>
        <w:tc>
          <w:tcPr>
            <w:tcW w:w="1392" w:type="dxa"/>
            <w:tcBorders>
              <w:top w:val="single" w:color="auto" w:sz="10" w:space="0"/>
              <w:left w:val="single" w:color="auto" w:sz="10" w:space="0"/>
              <w:bottom w:val="single" w:color="auto" w:sz="10" w:space="0"/>
              <w:right w:val="single" w:color="auto" w:sz="10" w:space="0"/>
              <w:insideV w:val="single" w:sz="10" w:space="0"/>
            </w:tcBorders>
            <w:vAlign w:val="center"/>
          </w:tcPr>
          <w:p w14:paraId="72FA4139">
            <w:pPr>
              <w:jc w:val="center"/>
            </w:pPr>
            <w:r>
              <w:rPr>
                <w:rFonts w:ascii="宋体" w:hAnsi="宋体" w:eastAsia="宋体"/>
                <w:sz w:val="16"/>
              </w:rPr>
              <w:t>转任轮岗人员培训</w:t>
            </w:r>
          </w:p>
        </w:tc>
        <w:tc>
          <w:tcPr>
            <w:tcW w:w="706" w:type="dxa"/>
            <w:tcBorders>
              <w:top w:val="single" w:color="auto" w:sz="10" w:space="0"/>
              <w:left w:val="single" w:color="auto" w:sz="10" w:space="0"/>
              <w:bottom w:val="single" w:color="auto" w:sz="10" w:space="0"/>
              <w:right w:val="single" w:color="auto" w:sz="10" w:space="0"/>
              <w:insideV w:val="single" w:sz="10" w:space="0"/>
            </w:tcBorders>
            <w:vAlign w:val="center"/>
          </w:tcPr>
          <w:p w14:paraId="378E6A81">
            <w:pPr>
              <w:jc w:val="center"/>
            </w:pPr>
            <w:r>
              <w:rPr>
                <w:rFonts w:ascii="宋体" w:hAnsi="宋体" w:eastAsia="宋体"/>
                <w:sz w:val="16"/>
              </w:rPr>
              <w:t>&gt;=15天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4EDAF">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E609D">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1D265">
            <w:pPr>
              <w:jc w:val="center"/>
            </w:pPr>
            <w:r>
              <w:rPr>
                <w:rFonts w:ascii="宋体" w:hAnsi="宋体" w:eastAsia="宋体"/>
                <w:sz w:val="16"/>
              </w:rPr>
              <w:t>15天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871C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2F9DC">
            <w:pPr>
              <w:jc w:val="center"/>
            </w:pPr>
            <w:r>
              <w:rPr>
                <w:rFonts w:ascii="宋体" w:hAnsi="宋体" w:eastAsia="宋体"/>
                <w:sz w:val="16"/>
              </w:rPr>
              <w:t>18</w:t>
            </w:r>
          </w:p>
        </w:tc>
      </w:tr>
      <w:tr w14:paraId="247678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96E4AF"/>
        </w:tc>
        <w:tc>
          <w:tcPr>
            <w:tcW w:w="851" w:type="dxa"/>
            <w:vMerge w:val="continue"/>
            <w:tcBorders>
              <w:top w:val="single" w:color="auto" w:sz="10" w:space="0"/>
              <w:left w:val="single" w:color="auto" w:sz="10" w:space="0"/>
              <w:bottom w:val="single" w:color="auto" w:sz="10" w:space="0"/>
              <w:right w:val="single" w:color="auto" w:sz="10" w:space="0"/>
              <w:insideV w:val="single" w:sz="10" w:space="0"/>
            </w:tcBorders>
          </w:tcPr>
          <w:p w14:paraId="40BA5EC4"/>
        </w:tc>
        <w:tc>
          <w:tcPr>
            <w:tcW w:w="1392" w:type="dxa"/>
            <w:tcBorders>
              <w:top w:val="single" w:color="auto" w:sz="10" w:space="0"/>
              <w:left w:val="single" w:color="auto" w:sz="10" w:space="0"/>
              <w:bottom w:val="single" w:color="auto" w:sz="10" w:space="0"/>
              <w:right w:val="single" w:color="auto" w:sz="10" w:space="0"/>
              <w:insideV w:val="single" w:sz="10" w:space="0"/>
            </w:tcBorders>
            <w:vAlign w:val="center"/>
          </w:tcPr>
          <w:p w14:paraId="0979E5FE">
            <w:pPr>
              <w:jc w:val="center"/>
            </w:pPr>
            <w:r>
              <w:rPr>
                <w:rFonts w:ascii="宋体" w:hAnsi="宋体" w:eastAsia="宋体"/>
                <w:sz w:val="16"/>
              </w:rPr>
              <w:t>文件合法性审查率</w:t>
            </w:r>
          </w:p>
        </w:tc>
        <w:tc>
          <w:tcPr>
            <w:tcW w:w="706" w:type="dxa"/>
            <w:tcBorders>
              <w:top w:val="single" w:color="auto" w:sz="10" w:space="0"/>
              <w:left w:val="single" w:color="auto" w:sz="10" w:space="0"/>
              <w:bottom w:val="single" w:color="auto" w:sz="10" w:space="0"/>
              <w:right w:val="single" w:color="auto" w:sz="10" w:space="0"/>
              <w:insideV w:val="single" w:sz="10" w:space="0"/>
            </w:tcBorders>
            <w:vAlign w:val="center"/>
          </w:tcPr>
          <w:p w14:paraId="750559A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B9AA6">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FD776">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6767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DBFB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0A348">
            <w:pPr>
              <w:jc w:val="center"/>
            </w:pPr>
            <w:r>
              <w:rPr>
                <w:rFonts w:ascii="宋体" w:hAnsi="宋体" w:eastAsia="宋体"/>
                <w:sz w:val="16"/>
              </w:rPr>
              <w:t>18</w:t>
            </w:r>
          </w:p>
        </w:tc>
      </w:tr>
      <w:tr w14:paraId="4E9785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0D50CC"/>
        </w:tc>
        <w:tc>
          <w:tcPr>
            <w:tcW w:w="851" w:type="dxa"/>
            <w:vMerge w:val="continue"/>
            <w:tcBorders>
              <w:top w:val="single" w:color="auto" w:sz="10" w:space="0"/>
              <w:left w:val="single" w:color="auto" w:sz="10" w:space="0"/>
              <w:bottom w:val="single" w:color="auto" w:sz="10" w:space="0"/>
              <w:right w:val="single" w:color="auto" w:sz="10" w:space="0"/>
              <w:insideV w:val="single" w:sz="10" w:space="0"/>
            </w:tcBorders>
          </w:tcPr>
          <w:p w14:paraId="2D3DD505"/>
        </w:tc>
        <w:tc>
          <w:tcPr>
            <w:tcW w:w="1392" w:type="dxa"/>
            <w:tcBorders>
              <w:top w:val="single" w:color="auto" w:sz="10" w:space="0"/>
              <w:left w:val="single" w:color="auto" w:sz="10" w:space="0"/>
              <w:bottom w:val="single" w:color="auto" w:sz="10" w:space="0"/>
              <w:right w:val="single" w:color="auto" w:sz="10" w:space="0"/>
              <w:insideV w:val="single" w:sz="10" w:space="0"/>
            </w:tcBorders>
            <w:vAlign w:val="center"/>
          </w:tcPr>
          <w:p w14:paraId="61F01C12">
            <w:pPr>
              <w:jc w:val="center"/>
            </w:pPr>
            <w:r>
              <w:rPr>
                <w:rFonts w:ascii="宋体" w:hAnsi="宋体" w:eastAsia="宋体"/>
                <w:sz w:val="16"/>
              </w:rPr>
              <w:t>建成公共法律服务中心</w:t>
            </w:r>
          </w:p>
        </w:tc>
        <w:tc>
          <w:tcPr>
            <w:tcW w:w="706" w:type="dxa"/>
            <w:tcBorders>
              <w:top w:val="single" w:color="auto" w:sz="10" w:space="0"/>
              <w:left w:val="single" w:color="auto" w:sz="10" w:space="0"/>
              <w:bottom w:val="single" w:color="auto" w:sz="10" w:space="0"/>
              <w:right w:val="single" w:color="auto" w:sz="10" w:space="0"/>
              <w:insideV w:val="single" w:sz="10" w:space="0"/>
            </w:tcBorders>
            <w:vAlign w:val="center"/>
          </w:tcPr>
          <w:p w14:paraId="686B741F">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84C77">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F9EDB">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9882E">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F9F6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9A862">
            <w:pPr>
              <w:jc w:val="center"/>
            </w:pPr>
            <w:r>
              <w:rPr>
                <w:rFonts w:ascii="宋体" w:hAnsi="宋体" w:eastAsia="宋体"/>
                <w:sz w:val="16"/>
              </w:rPr>
              <w:t>18</w:t>
            </w:r>
          </w:p>
        </w:tc>
      </w:tr>
      <w:tr w14:paraId="7603FD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A2731F"/>
        </w:tc>
        <w:tc>
          <w:tcPr>
            <w:tcW w:w="851" w:type="dxa"/>
            <w:vMerge w:val="continue"/>
            <w:tcBorders>
              <w:top w:val="single" w:color="auto" w:sz="10" w:space="0"/>
              <w:left w:val="single" w:color="auto" w:sz="10" w:space="0"/>
              <w:bottom w:val="single" w:color="auto" w:sz="10" w:space="0"/>
              <w:right w:val="single" w:color="auto" w:sz="10" w:space="0"/>
              <w:insideV w:val="single" w:sz="10" w:space="0"/>
            </w:tcBorders>
          </w:tcPr>
          <w:p w14:paraId="5DED3A3B"/>
        </w:tc>
        <w:tc>
          <w:tcPr>
            <w:tcW w:w="1392" w:type="dxa"/>
            <w:tcBorders>
              <w:top w:val="single" w:color="auto" w:sz="10" w:space="0"/>
              <w:left w:val="single" w:color="auto" w:sz="10" w:space="0"/>
              <w:bottom w:val="single" w:color="auto" w:sz="10" w:space="0"/>
              <w:right w:val="single" w:color="auto" w:sz="10" w:space="0"/>
              <w:insideV w:val="single" w:sz="10" w:space="0"/>
            </w:tcBorders>
            <w:vAlign w:val="center"/>
          </w:tcPr>
          <w:p w14:paraId="0BF21945">
            <w:pPr>
              <w:jc w:val="center"/>
            </w:pPr>
            <w:r>
              <w:rPr>
                <w:rFonts w:ascii="宋体" w:hAnsi="宋体" w:eastAsia="宋体"/>
                <w:sz w:val="16"/>
              </w:rPr>
              <w:t>打造村级公共法律服务工作室样板</w:t>
            </w:r>
          </w:p>
        </w:tc>
        <w:tc>
          <w:tcPr>
            <w:tcW w:w="706" w:type="dxa"/>
            <w:tcBorders>
              <w:top w:val="single" w:color="auto" w:sz="10" w:space="0"/>
              <w:left w:val="single" w:color="auto" w:sz="10" w:space="0"/>
              <w:bottom w:val="single" w:color="auto" w:sz="10" w:space="0"/>
              <w:right w:val="single" w:color="auto" w:sz="10" w:space="0"/>
              <w:insideV w:val="single" w:sz="10" w:space="0"/>
            </w:tcBorders>
            <w:vAlign w:val="center"/>
          </w:tcPr>
          <w:p w14:paraId="749FAEC4">
            <w:pPr>
              <w:jc w:val="center"/>
            </w:pPr>
            <w:r>
              <w:rPr>
                <w:rFonts w:ascii="宋体" w:hAnsi="宋体" w:eastAsia="宋体"/>
                <w:sz w:val="16"/>
              </w:rPr>
              <w:t>=20个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FDAC7">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E613B">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3154F">
            <w:pPr>
              <w:jc w:val="center"/>
            </w:pPr>
            <w:r>
              <w:rPr>
                <w:rFonts w:ascii="宋体" w:hAnsi="宋体" w:eastAsia="宋体"/>
                <w:sz w:val="16"/>
              </w:rPr>
              <w:t>20个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8209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48A5D">
            <w:pPr>
              <w:jc w:val="center"/>
            </w:pPr>
            <w:r>
              <w:rPr>
                <w:rFonts w:ascii="宋体" w:hAnsi="宋体" w:eastAsia="宋体"/>
                <w:sz w:val="16"/>
              </w:rPr>
              <w:t>18</w:t>
            </w:r>
          </w:p>
        </w:tc>
      </w:tr>
      <w:tr w14:paraId="445359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299D8B"/>
        </w:tc>
        <w:tc>
          <w:tcPr>
            <w:tcW w:w="851" w:type="dxa"/>
            <w:vMerge w:val="continue"/>
            <w:tcBorders>
              <w:top w:val="single" w:color="auto" w:sz="10" w:space="0"/>
              <w:left w:val="single" w:color="auto" w:sz="10" w:space="0"/>
              <w:bottom w:val="single" w:color="auto" w:sz="10" w:space="0"/>
              <w:right w:val="single" w:color="auto" w:sz="10" w:space="0"/>
              <w:insideV w:val="single" w:sz="10" w:space="0"/>
            </w:tcBorders>
          </w:tcPr>
          <w:p w14:paraId="21E3F0F1"/>
        </w:tc>
        <w:tc>
          <w:tcPr>
            <w:tcW w:w="1392" w:type="dxa"/>
            <w:tcBorders>
              <w:top w:val="single" w:color="auto" w:sz="10" w:space="0"/>
              <w:left w:val="single" w:color="auto" w:sz="10" w:space="0"/>
              <w:bottom w:val="single" w:color="auto" w:sz="10" w:space="0"/>
              <w:right w:val="single" w:color="auto" w:sz="10" w:space="0"/>
              <w:insideV w:val="single" w:sz="10" w:space="0"/>
            </w:tcBorders>
            <w:vAlign w:val="center"/>
          </w:tcPr>
          <w:p w14:paraId="3929E4EF">
            <w:pPr>
              <w:jc w:val="center"/>
            </w:pPr>
            <w:r>
              <w:rPr>
                <w:rFonts w:ascii="宋体" w:hAnsi="宋体" w:eastAsia="宋体"/>
                <w:sz w:val="16"/>
              </w:rPr>
              <w:t>人民调解成功率</w:t>
            </w:r>
          </w:p>
        </w:tc>
        <w:tc>
          <w:tcPr>
            <w:tcW w:w="706" w:type="dxa"/>
            <w:tcBorders>
              <w:top w:val="single" w:color="auto" w:sz="10" w:space="0"/>
              <w:left w:val="single" w:color="auto" w:sz="10" w:space="0"/>
              <w:bottom w:val="single" w:color="auto" w:sz="10" w:space="0"/>
              <w:right w:val="single" w:color="auto" w:sz="10" w:space="0"/>
              <w:insideV w:val="single" w:sz="10" w:space="0"/>
            </w:tcBorders>
            <w:vAlign w:val="center"/>
          </w:tcPr>
          <w:p w14:paraId="7F2BA0F5">
            <w:pPr>
              <w:jc w:val="center"/>
            </w:pPr>
            <w:r>
              <w:rPr>
                <w:rFonts w:ascii="宋体" w:hAnsi="宋体" w:eastAsia="宋体"/>
                <w:sz w:val="16"/>
              </w:rPr>
              <w:t>&gt;=99%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85148">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DAFB9">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8387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31375">
            <w:pPr>
              <w:jc w:val="center"/>
            </w:pPr>
            <w:r>
              <w:rPr>
                <w:rFonts w:ascii="宋体" w:hAnsi="宋体" w:eastAsia="宋体"/>
                <w:sz w:val="16"/>
              </w:rPr>
              <w:t>101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46718">
            <w:pPr>
              <w:jc w:val="center"/>
            </w:pPr>
            <w:r>
              <w:rPr>
                <w:rFonts w:ascii="宋体" w:hAnsi="宋体" w:eastAsia="宋体"/>
                <w:sz w:val="16"/>
              </w:rPr>
              <w:t>18</w:t>
            </w:r>
          </w:p>
        </w:tc>
      </w:tr>
    </w:tbl>
    <w:p w14:paraId="6037D827">
      <w:r>
        <w:br w:type="page"/>
      </w:r>
    </w:p>
    <w:p w14:paraId="35986BA3">
      <w:pPr>
        <w:spacing w:line="640" w:lineRule="exact"/>
        <w:ind w:firstLine="640"/>
        <w:jc w:val="both"/>
        <w:outlineLvl w:val="2"/>
      </w:pPr>
      <w:r>
        <w:rPr>
          <w:rFonts w:ascii="黑体" w:hAnsi="黑体" w:eastAsia="黑体"/>
          <w:sz w:val="32"/>
        </w:rPr>
        <w:t>十二、其他需说明的事项</w:t>
      </w:r>
    </w:p>
    <w:p w14:paraId="2FC7FB48">
      <w:pPr>
        <w:spacing w:line="580" w:lineRule="exact"/>
        <w:ind w:firstLine="640"/>
        <w:jc w:val="both"/>
      </w:pPr>
      <w:r>
        <w:rPr>
          <w:rFonts w:ascii="仿宋_GB2312" w:hAnsi="仿宋_GB2312" w:eastAsia="仿宋_GB2312"/>
          <w:b w:val="0"/>
          <w:sz w:val="32"/>
        </w:rPr>
        <w:t>本年本单位SM项目3个，全年预算数656.28万元，全年执行数656.28万元。</w:t>
      </w:r>
    </w:p>
    <w:p w14:paraId="16F45A16">
      <w:r>
        <w:br w:type="page"/>
      </w:r>
    </w:p>
    <w:p w14:paraId="11342B15">
      <w:pPr>
        <w:spacing w:line="240" w:lineRule="auto"/>
        <w:jc w:val="center"/>
        <w:outlineLvl w:val="1"/>
      </w:pPr>
      <w:r>
        <w:rPr>
          <w:rFonts w:ascii="黑体" w:hAnsi="黑体" w:eastAsia="黑体"/>
          <w:sz w:val="32"/>
        </w:rPr>
        <w:t>第三部分 专业名词解释</w:t>
      </w:r>
    </w:p>
    <w:p w14:paraId="57DCEDF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C6583D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A12752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4DB916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C56549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2F3CDE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039B5C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B6991F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0F429D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7BD3B8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E5326F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A57758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EFAFC8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153869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C175564">
      <w:r>
        <w:br w:type="page"/>
      </w:r>
    </w:p>
    <w:p w14:paraId="35AA2827">
      <w:pPr>
        <w:spacing w:line="240" w:lineRule="auto"/>
        <w:jc w:val="center"/>
        <w:outlineLvl w:val="1"/>
      </w:pPr>
      <w:r>
        <w:rPr>
          <w:rFonts w:ascii="黑体" w:hAnsi="黑体" w:eastAsia="黑体"/>
          <w:sz w:val="32"/>
        </w:rPr>
        <w:t>第四部分 部门决算报表（见附表）</w:t>
      </w:r>
    </w:p>
    <w:p w14:paraId="77EA8217">
      <w:pPr>
        <w:spacing w:line="240" w:lineRule="auto"/>
        <w:ind w:firstLine="640"/>
        <w:jc w:val="both"/>
      </w:pPr>
      <w:r>
        <w:rPr>
          <w:rFonts w:ascii="仿宋_GB2312" w:hAnsi="仿宋_GB2312" w:eastAsia="仿宋_GB2312"/>
          <w:b w:val="0"/>
          <w:sz w:val="32"/>
        </w:rPr>
        <w:t>一、《收入支出决算总表》</w:t>
      </w:r>
    </w:p>
    <w:p w14:paraId="66CC8936">
      <w:pPr>
        <w:spacing w:line="240" w:lineRule="auto"/>
        <w:ind w:firstLine="640"/>
        <w:jc w:val="both"/>
      </w:pPr>
      <w:r>
        <w:rPr>
          <w:rFonts w:ascii="仿宋_GB2312" w:hAnsi="仿宋_GB2312" w:eastAsia="仿宋_GB2312"/>
          <w:b w:val="0"/>
          <w:sz w:val="32"/>
        </w:rPr>
        <w:t>二、《收入决算表》</w:t>
      </w:r>
    </w:p>
    <w:p w14:paraId="0E76D0F8">
      <w:pPr>
        <w:spacing w:line="240" w:lineRule="auto"/>
        <w:ind w:firstLine="640"/>
        <w:jc w:val="both"/>
      </w:pPr>
      <w:r>
        <w:rPr>
          <w:rFonts w:ascii="仿宋_GB2312" w:hAnsi="仿宋_GB2312" w:eastAsia="仿宋_GB2312"/>
          <w:b w:val="0"/>
          <w:sz w:val="32"/>
        </w:rPr>
        <w:t>三、《支出决算表》</w:t>
      </w:r>
    </w:p>
    <w:p w14:paraId="32B4BE1E">
      <w:pPr>
        <w:spacing w:line="240" w:lineRule="auto"/>
        <w:ind w:firstLine="640"/>
        <w:jc w:val="both"/>
      </w:pPr>
      <w:r>
        <w:rPr>
          <w:rFonts w:ascii="仿宋_GB2312" w:hAnsi="仿宋_GB2312" w:eastAsia="仿宋_GB2312"/>
          <w:b w:val="0"/>
          <w:sz w:val="32"/>
        </w:rPr>
        <w:t>四、《财政拨款收入支出决算总表》</w:t>
      </w:r>
    </w:p>
    <w:p w14:paraId="2DB32B61">
      <w:pPr>
        <w:spacing w:line="240" w:lineRule="auto"/>
        <w:ind w:firstLine="640"/>
        <w:jc w:val="both"/>
      </w:pPr>
      <w:r>
        <w:rPr>
          <w:rFonts w:ascii="仿宋_GB2312" w:hAnsi="仿宋_GB2312" w:eastAsia="仿宋_GB2312"/>
          <w:b w:val="0"/>
          <w:sz w:val="32"/>
        </w:rPr>
        <w:t>五、《一般公共预算财政拨款支出决算表》</w:t>
      </w:r>
    </w:p>
    <w:p w14:paraId="3B0CD2C5">
      <w:pPr>
        <w:spacing w:line="240" w:lineRule="auto"/>
        <w:ind w:firstLine="640"/>
        <w:jc w:val="both"/>
      </w:pPr>
      <w:r>
        <w:rPr>
          <w:rFonts w:ascii="仿宋_GB2312" w:hAnsi="仿宋_GB2312" w:eastAsia="仿宋_GB2312"/>
          <w:b w:val="0"/>
          <w:sz w:val="32"/>
        </w:rPr>
        <w:t>六、《一般公共预算财政拨款基本支出决算表》</w:t>
      </w:r>
    </w:p>
    <w:p w14:paraId="7A0B6269">
      <w:pPr>
        <w:spacing w:line="240" w:lineRule="auto"/>
        <w:ind w:firstLine="640"/>
        <w:jc w:val="both"/>
      </w:pPr>
      <w:r>
        <w:rPr>
          <w:rFonts w:ascii="仿宋_GB2312" w:hAnsi="仿宋_GB2312" w:eastAsia="仿宋_GB2312"/>
          <w:b w:val="0"/>
          <w:sz w:val="32"/>
        </w:rPr>
        <w:t>七、《政府性基金预算财政拨款收入支出决算表》</w:t>
      </w:r>
    </w:p>
    <w:p w14:paraId="754A5C26">
      <w:pPr>
        <w:spacing w:line="240" w:lineRule="auto"/>
        <w:ind w:firstLine="640"/>
        <w:jc w:val="both"/>
      </w:pPr>
      <w:r>
        <w:rPr>
          <w:rFonts w:ascii="仿宋_GB2312" w:hAnsi="仿宋_GB2312" w:eastAsia="仿宋_GB2312"/>
          <w:b w:val="0"/>
          <w:sz w:val="32"/>
        </w:rPr>
        <w:t>八、《国有资本经营预算财政拨款收入支出决算表》</w:t>
      </w:r>
    </w:p>
    <w:p w14:paraId="57D8C301">
      <w:pPr>
        <w:spacing w:line="240" w:lineRule="auto"/>
        <w:ind w:firstLine="640"/>
        <w:jc w:val="both"/>
      </w:pPr>
      <w:r>
        <w:rPr>
          <w:rFonts w:ascii="仿宋_GB2312" w:hAnsi="仿宋_GB2312" w:eastAsia="仿宋_GB2312"/>
          <w:b w:val="0"/>
          <w:sz w:val="32"/>
        </w:rPr>
        <w:t>九、《财政拨款“三公”经费支出决算表》</w:t>
      </w:r>
    </w:p>
    <w:p w14:paraId="531983C0">
      <w:pPr>
        <w:spacing w:line="240" w:lineRule="auto"/>
        <w:ind w:firstLine="640"/>
        <w:jc w:val="both"/>
      </w:pPr>
    </w:p>
    <w:p w14:paraId="4589D354">
      <w:pPr>
        <w:spacing w:line="240" w:lineRule="auto"/>
        <w:ind w:firstLine="640"/>
        <w:jc w:val="both"/>
      </w:pPr>
    </w:p>
    <w:p w14:paraId="66F9B680">
      <w:pPr>
        <w:spacing w:line="240" w:lineRule="auto"/>
        <w:ind w:firstLine="640"/>
        <w:jc w:val="both"/>
      </w:pPr>
    </w:p>
    <w:p w14:paraId="68AE066A">
      <w:pPr>
        <w:spacing w:line="240" w:lineRule="auto"/>
        <w:ind w:firstLine="640"/>
        <w:jc w:val="both"/>
      </w:pPr>
    </w:p>
    <w:p w14:paraId="01BE399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9B1FD85-EC87-4AFC-B4A4-BE28CDC8209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6D707528-6D5C-4FB2-BC45-186894BB16A4}"/>
  </w:font>
  <w:font w:name="仿宋_GB2312">
    <w:panose1 w:val="02010609030101010101"/>
    <w:charset w:val="86"/>
    <w:family w:val="modern"/>
    <w:pitch w:val="default"/>
    <w:sig w:usb0="00000001" w:usb1="080E0000" w:usb2="00000000" w:usb3="00000000" w:csb0="00040000" w:csb1="00000000"/>
    <w:embedRegular r:id="rId3" w:fontKey="{923565A2-D17D-4402-900B-37A9189D87A7}"/>
  </w:font>
  <w:font w:name="楷体_GB2312">
    <w:panose1 w:val="02010609030101010101"/>
    <w:charset w:val="86"/>
    <w:family w:val="auto"/>
    <w:pitch w:val="default"/>
    <w:sig w:usb0="00000001" w:usb1="080E0000" w:usb2="00000000" w:usb3="00000000" w:csb0="00040000" w:csb1="00000000"/>
    <w:embedRegular r:id="rId4" w:fontKey="{1928AF09-0267-4C5E-BA09-35E8DA18CCC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9"/>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1FA5A2E"/>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B51049F"/>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56F4E89"/>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6677</Words>
  <Characters>7599</Characters>
  <Lines>0</Lines>
  <Paragraphs>0</Paragraphs>
  <TotalTime>11</TotalTime>
  <ScaleCrop>false</ScaleCrop>
  <LinksUpToDate>false</LinksUpToDate>
  <CharactersWithSpaces>7609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2025-09-29T10:16:28Z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