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57C4F76">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叶城县妇女联合会</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307AA36">
      <w:r>
        <w:br w:type="page"/>
      </w:r>
    </w:p>
    <w:p w14:paraId="047E3886">
      <w:pPr>
        <w:spacing w:line="640" w:lineRule="exact"/>
        <w:jc w:val="center"/>
        <w:outlineLvl w:val="1"/>
      </w:pPr>
      <w:r>
        <w:rPr>
          <w:rFonts w:ascii="黑体" w:hAnsi="黑体" w:eastAsia="黑体"/>
          <w:sz w:val="32"/>
        </w:rPr>
        <w:t>第一部分 单位概况</w:t>
      </w:r>
    </w:p>
    <w:p w14:paraId="39DEBA91">
      <w:pPr>
        <w:spacing w:line="640" w:lineRule="exact"/>
        <w:ind w:firstLine="640"/>
        <w:jc w:val="both"/>
        <w:outlineLvl w:val="2"/>
      </w:pPr>
      <w:r>
        <w:rPr>
          <w:rFonts w:ascii="黑体" w:hAnsi="黑体" w:eastAsia="黑体"/>
          <w:sz w:val="32"/>
        </w:rPr>
        <w:t>一、主要职能</w:t>
      </w:r>
    </w:p>
    <w:p w14:paraId="1A5D9C09">
      <w:pPr>
        <w:spacing w:line="580" w:lineRule="exact"/>
        <w:ind w:firstLine="640"/>
        <w:jc w:val="both"/>
      </w:pPr>
      <w:r>
        <w:rPr>
          <w:rFonts w:ascii="仿宋_GB2312" w:hAnsi="仿宋_GB2312" w:eastAsia="仿宋_GB2312"/>
          <w:sz w:val="32"/>
        </w:rPr>
        <w:t>叶城县妇女联合会主要职能是依照《中华全国妇女联合会章程》和妇女代表大会的决议，开展妇女儿童工作，调查研究本县妇女儿童情况、问题，及时向县委和政府反映并提出建议。指导和推动本县妇女“巾帼建功”和“五好文明家庭”创建活动、组织、动员妇女投身改革开放和社会主义现代化建设。其次负责妇联的舆论宣传工作，教育、引导广大妇女增强自尊、自信、自立、自强的精神，表彰各行各业的先进妇女，开展妇女职业技术培训和妇女干部培训工作，全面提高妇女素质，促进妇女人才成长。代表妇女参与国家和社会事务的民主管理、民主监督，促进妇女参政。参与有关妇女儿童政策、规章的制定，维护妇女儿童的合法权益。为妇女儿童服务，加强与社会各界的联系，协调社会各界为妇女儿童办实事、办好事，并承担全县有关妇女儿童工作重大活动的</w:t>
      </w:r>
      <w:r>
        <w:rPr>
          <w:rFonts w:hint="eastAsia" w:ascii="仿宋_GB2312" w:hAnsi="仿宋_GB2312" w:eastAsia="仿宋_GB2312"/>
          <w:sz w:val="32"/>
          <w:lang w:eastAsia="zh-CN"/>
        </w:rPr>
        <w:t>组织工作</w:t>
      </w:r>
      <w:r>
        <w:rPr>
          <w:rFonts w:ascii="仿宋_GB2312" w:hAnsi="仿宋_GB2312" w:eastAsia="仿宋_GB2312"/>
          <w:sz w:val="32"/>
        </w:rPr>
        <w:t>。</w:t>
      </w:r>
    </w:p>
    <w:p w14:paraId="05F4F639">
      <w:pPr>
        <w:spacing w:line="640" w:lineRule="exact"/>
        <w:ind w:firstLine="640"/>
        <w:jc w:val="both"/>
        <w:outlineLvl w:val="2"/>
      </w:pPr>
      <w:r>
        <w:rPr>
          <w:rFonts w:ascii="黑体" w:hAnsi="黑体" w:eastAsia="黑体"/>
          <w:sz w:val="32"/>
        </w:rPr>
        <w:t>二、机构设置及人员情况</w:t>
      </w:r>
    </w:p>
    <w:p w14:paraId="57FE2328">
      <w:pPr>
        <w:spacing w:line="580" w:lineRule="exact"/>
        <w:ind w:firstLine="640"/>
        <w:jc w:val="both"/>
      </w:pPr>
      <w:r>
        <w:rPr>
          <w:rFonts w:ascii="仿宋_GB2312" w:hAnsi="仿宋_GB2312" w:eastAsia="仿宋_GB2312"/>
          <w:sz w:val="32"/>
        </w:rPr>
        <w:t>叶城县妇女联合会2024年度，实有人数12人，其中：在职人员6人，减少1人；离休人员0人，增加0人；退休人员6人,增加2人。</w:t>
      </w:r>
    </w:p>
    <w:p w14:paraId="13DF3D07">
      <w:pPr>
        <w:spacing w:line="580" w:lineRule="exact"/>
        <w:ind w:firstLine="640"/>
        <w:jc w:val="both"/>
      </w:pPr>
      <w:r>
        <w:rPr>
          <w:rFonts w:ascii="仿宋_GB2312" w:hAnsi="仿宋_GB2312" w:eastAsia="仿宋_GB2312"/>
          <w:sz w:val="32"/>
        </w:rPr>
        <w:t>叶城县妇女联合会无下属预算单位，下设2个科室，分别是：办公室、财务室。</w:t>
      </w:r>
    </w:p>
    <w:p w14:paraId="1D3D9E37">
      <w:r>
        <w:br w:type="page"/>
      </w:r>
    </w:p>
    <w:p w14:paraId="32047702">
      <w:pPr>
        <w:spacing w:line="240" w:lineRule="auto"/>
        <w:jc w:val="center"/>
        <w:outlineLvl w:val="1"/>
      </w:pPr>
      <w:r>
        <w:rPr>
          <w:rFonts w:ascii="黑体" w:hAnsi="黑体" w:eastAsia="黑体"/>
          <w:sz w:val="32"/>
        </w:rPr>
        <w:t>第二部分 部门决算情况说明</w:t>
      </w:r>
    </w:p>
    <w:p w14:paraId="2AD8BAF0">
      <w:pPr>
        <w:spacing w:line="640" w:lineRule="exact"/>
        <w:ind w:firstLine="640"/>
        <w:jc w:val="both"/>
        <w:outlineLvl w:val="2"/>
      </w:pPr>
      <w:r>
        <w:rPr>
          <w:rFonts w:ascii="黑体" w:hAnsi="黑体" w:eastAsia="黑体"/>
          <w:sz w:val="32"/>
        </w:rPr>
        <w:t>一、收入支出决算总体情况说明</w:t>
      </w:r>
    </w:p>
    <w:p w14:paraId="69EB6D21">
      <w:pPr>
        <w:spacing w:line="580" w:lineRule="exact"/>
        <w:ind w:firstLine="640"/>
        <w:jc w:val="both"/>
      </w:pPr>
      <w:r>
        <w:rPr>
          <w:rFonts w:ascii="仿宋_GB2312" w:hAnsi="仿宋_GB2312" w:eastAsia="仿宋_GB2312"/>
          <w:b/>
          <w:sz w:val="32"/>
        </w:rPr>
        <w:t>2024年度收入总计225.35万元，</w:t>
      </w:r>
      <w:r>
        <w:rPr>
          <w:rFonts w:ascii="仿宋_GB2312" w:hAnsi="仿宋_GB2312" w:eastAsia="仿宋_GB2312"/>
          <w:b w:val="0"/>
          <w:sz w:val="32"/>
        </w:rPr>
        <w:t>其中：本年收入合计225.35万元，使用非财政拨款结余（含专用结余）0.00万元，年初结转和结余0.00万元。</w:t>
      </w:r>
    </w:p>
    <w:p w14:paraId="0448AFAD">
      <w:pPr>
        <w:spacing w:line="580" w:lineRule="exact"/>
        <w:ind w:firstLine="640"/>
        <w:jc w:val="both"/>
      </w:pPr>
      <w:r>
        <w:rPr>
          <w:rFonts w:ascii="仿宋_GB2312" w:hAnsi="仿宋_GB2312" w:eastAsia="仿宋_GB2312"/>
          <w:b/>
          <w:sz w:val="32"/>
        </w:rPr>
        <w:t>2024年度支出总计225.35万元，</w:t>
      </w:r>
      <w:r>
        <w:rPr>
          <w:rFonts w:ascii="仿宋_GB2312" w:hAnsi="仿宋_GB2312" w:eastAsia="仿宋_GB2312"/>
          <w:b w:val="0"/>
          <w:sz w:val="32"/>
        </w:rPr>
        <w:t>其中：本年支出合计225.35万元，结余分配0.00万元，年末结转和结余0.00万元。</w:t>
      </w:r>
    </w:p>
    <w:p w14:paraId="6DFA0C11">
      <w:pPr>
        <w:spacing w:line="580" w:lineRule="exact"/>
        <w:ind w:firstLine="640"/>
        <w:jc w:val="both"/>
      </w:pPr>
      <w:r>
        <w:rPr>
          <w:rFonts w:ascii="仿宋_GB2312" w:hAnsi="仿宋_GB2312" w:eastAsia="仿宋_GB2312"/>
          <w:b w:val="0"/>
          <w:sz w:val="32"/>
        </w:rPr>
        <w:t>收入支出总体与上年相比，增加69.21万元，增长44.33%，主要原因是：一是本年新增退休人员，职业年金支出增加；二是本年妇女儿童工作经费较上年增加；三是本年增加援疆资金用于石榴花·巾帼援疆行动项目。</w:t>
      </w:r>
    </w:p>
    <w:p w14:paraId="2520BBCD">
      <w:pPr>
        <w:spacing w:line="640" w:lineRule="exact"/>
        <w:ind w:firstLine="640"/>
        <w:jc w:val="both"/>
        <w:outlineLvl w:val="2"/>
      </w:pPr>
      <w:r>
        <w:rPr>
          <w:rFonts w:ascii="黑体" w:hAnsi="黑体" w:eastAsia="黑体"/>
          <w:sz w:val="32"/>
        </w:rPr>
        <w:t>二、收入决算情况说明</w:t>
      </w:r>
    </w:p>
    <w:p w14:paraId="74DF4CD6">
      <w:pPr>
        <w:spacing w:line="580" w:lineRule="exact"/>
        <w:ind w:firstLine="640"/>
        <w:jc w:val="both"/>
      </w:pPr>
      <w:r>
        <w:rPr>
          <w:rFonts w:ascii="仿宋_GB2312" w:hAnsi="仿宋_GB2312" w:eastAsia="仿宋_GB2312"/>
          <w:b/>
          <w:sz w:val="32"/>
        </w:rPr>
        <w:t>本年收入225.35万元，</w:t>
      </w:r>
      <w:r>
        <w:rPr>
          <w:rFonts w:ascii="仿宋_GB2312" w:hAnsi="仿宋_GB2312" w:eastAsia="仿宋_GB2312"/>
          <w:b w:val="0"/>
          <w:sz w:val="32"/>
        </w:rPr>
        <w:t>其中：财政拨款收入179.35万元，占79.59%；上级补助收入0.00万元，占0.00%；事业收入0.00万元，占0.00%；经营收入0.00万元，占0.00%；附属单位上缴收入0.00万元，占0.00%；其他收入46.00万元，占20.41%。</w:t>
      </w:r>
    </w:p>
    <w:p w14:paraId="1A63FA8E">
      <w:pPr>
        <w:spacing w:line="640" w:lineRule="exact"/>
        <w:ind w:firstLine="640"/>
        <w:jc w:val="both"/>
        <w:outlineLvl w:val="2"/>
      </w:pPr>
      <w:r>
        <w:rPr>
          <w:rFonts w:ascii="黑体" w:hAnsi="黑体" w:eastAsia="黑体"/>
          <w:sz w:val="32"/>
        </w:rPr>
        <w:t>三、支出决算情况说明</w:t>
      </w:r>
    </w:p>
    <w:p w14:paraId="6A5FFA49">
      <w:pPr>
        <w:spacing w:line="580" w:lineRule="exact"/>
        <w:ind w:firstLine="640"/>
        <w:jc w:val="both"/>
      </w:pPr>
      <w:r>
        <w:rPr>
          <w:rFonts w:ascii="仿宋_GB2312" w:hAnsi="仿宋_GB2312" w:eastAsia="仿宋_GB2312"/>
          <w:b/>
          <w:sz w:val="32"/>
        </w:rPr>
        <w:t>本年支出225.35万元，</w:t>
      </w:r>
      <w:r>
        <w:rPr>
          <w:rFonts w:ascii="仿宋_GB2312" w:hAnsi="仿宋_GB2312" w:eastAsia="仿宋_GB2312"/>
          <w:b w:val="0"/>
          <w:sz w:val="32"/>
        </w:rPr>
        <w:t>其中：基本支出176.35万元，占78.26%；项目支出49.00万元，占21.74%；上缴上级支出0.00万元，占0.00%；经营支出0.00万元，占0.00%；对附属单位补助支出0.00万元，占0.00%。</w:t>
      </w:r>
    </w:p>
    <w:p w14:paraId="023CBA69">
      <w:pPr>
        <w:spacing w:line="640" w:lineRule="exact"/>
        <w:ind w:firstLine="640"/>
        <w:jc w:val="both"/>
        <w:outlineLvl w:val="2"/>
      </w:pPr>
      <w:r>
        <w:rPr>
          <w:rFonts w:ascii="黑体" w:hAnsi="黑体" w:eastAsia="黑体"/>
          <w:sz w:val="32"/>
        </w:rPr>
        <w:t>四、财政拨款收入支出决算总体情况说明</w:t>
      </w:r>
    </w:p>
    <w:p w14:paraId="66DDB8DE">
      <w:pPr>
        <w:spacing w:line="580" w:lineRule="exact"/>
        <w:ind w:firstLine="640"/>
        <w:jc w:val="both"/>
      </w:pPr>
      <w:r>
        <w:rPr>
          <w:rFonts w:ascii="仿宋_GB2312" w:hAnsi="仿宋_GB2312" w:eastAsia="仿宋_GB2312"/>
          <w:b/>
          <w:sz w:val="32"/>
        </w:rPr>
        <w:t>2024年度财政拨款收入总计179.35万元，</w:t>
      </w:r>
      <w:r>
        <w:rPr>
          <w:rFonts w:ascii="仿宋_GB2312" w:hAnsi="仿宋_GB2312" w:eastAsia="仿宋_GB2312"/>
          <w:b w:val="0"/>
          <w:sz w:val="32"/>
        </w:rPr>
        <w:t>其中：年初财政拨款结转和结余0.00万元，本年财政拨款收入179.35万元。</w:t>
      </w:r>
      <w:r>
        <w:rPr>
          <w:rFonts w:ascii="仿宋_GB2312" w:hAnsi="仿宋_GB2312" w:eastAsia="仿宋_GB2312"/>
          <w:b/>
          <w:sz w:val="32"/>
        </w:rPr>
        <w:t>财政拨款支出总计179.35万元，</w:t>
      </w:r>
      <w:r>
        <w:rPr>
          <w:rFonts w:ascii="仿宋_GB2312" w:hAnsi="仿宋_GB2312" w:eastAsia="仿宋_GB2312"/>
          <w:b w:val="0"/>
          <w:sz w:val="32"/>
        </w:rPr>
        <w:t>其中：年末财政拨款结转和结余0.00万元，本年财政拨款支出179.35万元。</w:t>
      </w:r>
    </w:p>
    <w:p w14:paraId="0F7DEDB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增加23.21万元，增长14.86%，主要原因是：一是本年新增退休人员，职业年金支出增加；二是本年妇女儿童工作经费较上年增加。</w:t>
      </w:r>
      <w:r>
        <w:rPr>
          <w:rFonts w:ascii="仿宋_GB2312" w:hAnsi="仿宋_GB2312" w:eastAsia="仿宋_GB2312"/>
          <w:b/>
          <w:sz w:val="32"/>
        </w:rPr>
        <w:t>与年初预算相比，</w:t>
      </w:r>
      <w:r>
        <w:rPr>
          <w:rFonts w:ascii="仿宋_GB2312" w:hAnsi="仿宋_GB2312" w:eastAsia="仿宋_GB2312"/>
          <w:b w:val="0"/>
          <w:sz w:val="32"/>
        </w:rPr>
        <w:t>年初预算数156.08万元，决算数179.35万元，预决算差异率14.91%，主要原因是：年中追加人员工资、社保、公积金基数调增部分资金，</w:t>
      </w:r>
      <w:r>
        <w:rPr>
          <w:rFonts w:hint="eastAsia" w:ascii="仿宋_GB2312" w:hAnsi="仿宋_GB2312" w:eastAsia="仿宋_GB2312"/>
          <w:b w:val="0"/>
          <w:sz w:val="32"/>
          <w:lang w:val="en-US" w:eastAsia="zh-CN"/>
        </w:rPr>
        <w:t>追加</w:t>
      </w:r>
      <w:r>
        <w:rPr>
          <w:rFonts w:ascii="仿宋_GB2312" w:hAnsi="仿宋_GB2312" w:eastAsia="仿宋_GB2312"/>
          <w:b w:val="0"/>
          <w:sz w:val="32"/>
        </w:rPr>
        <w:t>妇女儿童工作经费</w:t>
      </w:r>
      <w:r>
        <w:rPr>
          <w:rFonts w:hint="eastAsia" w:ascii="仿宋_GB2312" w:hAnsi="仿宋_GB2312" w:eastAsia="仿宋_GB2312"/>
          <w:b w:val="0"/>
          <w:sz w:val="32"/>
          <w:lang w:eastAsia="zh-CN"/>
        </w:rPr>
        <w:t>，</w:t>
      </w:r>
      <w:r>
        <w:rPr>
          <w:rFonts w:ascii="仿宋_GB2312" w:hAnsi="仿宋_GB2312" w:eastAsia="仿宋_GB2312"/>
          <w:b w:val="0"/>
          <w:sz w:val="32"/>
        </w:rPr>
        <w:t>导致预决算存在差异。</w:t>
      </w:r>
    </w:p>
    <w:p w14:paraId="0ED801AF">
      <w:pPr>
        <w:spacing w:line="640" w:lineRule="exact"/>
        <w:ind w:firstLine="640"/>
        <w:jc w:val="both"/>
        <w:outlineLvl w:val="2"/>
      </w:pPr>
      <w:r>
        <w:rPr>
          <w:rFonts w:ascii="黑体" w:hAnsi="黑体" w:eastAsia="黑体"/>
          <w:sz w:val="32"/>
        </w:rPr>
        <w:t>五、一般公共预算财政拨款支出决算情况说明</w:t>
      </w:r>
    </w:p>
    <w:p w14:paraId="331E3B7B">
      <w:pPr>
        <w:spacing w:line="640" w:lineRule="exact"/>
        <w:ind w:firstLine="640"/>
        <w:jc w:val="both"/>
        <w:outlineLvl w:val="3"/>
      </w:pPr>
      <w:r>
        <w:rPr>
          <w:rFonts w:ascii="楷体_GB2312" w:hAnsi="楷体_GB2312" w:eastAsia="楷体_GB2312"/>
          <w:b/>
          <w:sz w:val="32"/>
        </w:rPr>
        <w:t>（一）一般公共预算财政拨款支出决算总体情况</w:t>
      </w:r>
    </w:p>
    <w:p w14:paraId="294B36DB">
      <w:pPr>
        <w:spacing w:line="580" w:lineRule="exact"/>
        <w:ind w:firstLine="640"/>
        <w:jc w:val="both"/>
      </w:pPr>
      <w:r>
        <w:rPr>
          <w:rFonts w:ascii="仿宋_GB2312" w:hAnsi="仿宋_GB2312" w:eastAsia="仿宋_GB2312"/>
          <w:b/>
          <w:sz w:val="32"/>
        </w:rPr>
        <w:t>2024年度一般公共预算财政拨款支出179.35万元，</w:t>
      </w:r>
      <w:r>
        <w:rPr>
          <w:rFonts w:ascii="仿宋_GB2312" w:hAnsi="仿宋_GB2312" w:eastAsia="仿宋_GB2312"/>
          <w:b w:val="0"/>
          <w:sz w:val="32"/>
        </w:rPr>
        <w:t>占本年支出合计的79.59%。</w:t>
      </w:r>
      <w:r>
        <w:rPr>
          <w:rFonts w:ascii="仿宋_GB2312" w:hAnsi="仿宋_GB2312" w:eastAsia="仿宋_GB2312"/>
          <w:b/>
          <w:sz w:val="32"/>
        </w:rPr>
        <w:t>与上年相比，</w:t>
      </w:r>
      <w:r>
        <w:rPr>
          <w:rFonts w:ascii="仿宋_GB2312" w:hAnsi="仿宋_GB2312" w:eastAsia="仿宋_GB2312"/>
          <w:b w:val="0"/>
          <w:sz w:val="32"/>
        </w:rPr>
        <w:t>增加33.21万元，增长22.72%，主要原因是：一是本年新增退休人员，职业年金支出增加；二是本年妇女儿童工作经费较上年增加。</w:t>
      </w:r>
      <w:r>
        <w:rPr>
          <w:rFonts w:ascii="仿宋_GB2312" w:hAnsi="仿宋_GB2312" w:eastAsia="仿宋_GB2312"/>
          <w:b/>
          <w:sz w:val="32"/>
        </w:rPr>
        <w:t>与年初预算相比,</w:t>
      </w:r>
      <w:r>
        <w:rPr>
          <w:rFonts w:ascii="仿宋_GB2312" w:hAnsi="仿宋_GB2312" w:eastAsia="仿宋_GB2312"/>
          <w:b w:val="0"/>
          <w:sz w:val="32"/>
        </w:rPr>
        <w:t>年初预算数156.08万元，决算数179.35万元，预决算差异率14.91%，主要原因是：年中追加人员工资、社保、公积金基数调增部分资金，</w:t>
      </w:r>
      <w:r>
        <w:rPr>
          <w:rFonts w:hint="eastAsia" w:ascii="仿宋_GB2312" w:hAnsi="仿宋_GB2312" w:eastAsia="仿宋_GB2312"/>
          <w:b w:val="0"/>
          <w:sz w:val="32"/>
          <w:lang w:val="en-US" w:eastAsia="zh-CN"/>
        </w:rPr>
        <w:t>追加</w:t>
      </w:r>
      <w:r>
        <w:rPr>
          <w:rFonts w:ascii="仿宋_GB2312" w:hAnsi="仿宋_GB2312" w:eastAsia="仿宋_GB2312"/>
          <w:b w:val="0"/>
          <w:sz w:val="32"/>
        </w:rPr>
        <w:t>妇女儿童工作经费</w:t>
      </w:r>
      <w:r>
        <w:rPr>
          <w:rFonts w:hint="eastAsia" w:ascii="仿宋_GB2312" w:hAnsi="仿宋_GB2312" w:eastAsia="仿宋_GB2312"/>
          <w:b w:val="0"/>
          <w:sz w:val="32"/>
          <w:lang w:eastAsia="zh-CN"/>
        </w:rPr>
        <w:t>，</w:t>
      </w:r>
      <w:r>
        <w:rPr>
          <w:rFonts w:ascii="仿宋_GB2312" w:hAnsi="仿宋_GB2312" w:eastAsia="仿宋_GB2312"/>
          <w:b w:val="0"/>
          <w:sz w:val="32"/>
        </w:rPr>
        <w:t>导致预决算存在差异。</w:t>
      </w:r>
    </w:p>
    <w:p w14:paraId="07EE1A1F">
      <w:pPr>
        <w:spacing w:line="640" w:lineRule="exact"/>
        <w:ind w:firstLine="640"/>
        <w:jc w:val="both"/>
        <w:outlineLvl w:val="3"/>
      </w:pPr>
      <w:r>
        <w:rPr>
          <w:rFonts w:ascii="楷体_GB2312" w:hAnsi="楷体_GB2312" w:eastAsia="楷体_GB2312"/>
          <w:b/>
          <w:sz w:val="32"/>
        </w:rPr>
        <w:t>（二）一般公共预算财政拨款支出决算结构情况</w:t>
      </w:r>
    </w:p>
    <w:p w14:paraId="6192CECC">
      <w:pPr>
        <w:spacing w:line="580" w:lineRule="exact"/>
        <w:ind w:firstLine="640"/>
        <w:jc w:val="both"/>
      </w:pPr>
      <w:r>
        <w:rPr>
          <w:rFonts w:ascii="仿宋_GB2312" w:hAnsi="仿宋_GB2312" w:eastAsia="仿宋_GB2312"/>
          <w:b w:val="0"/>
          <w:sz w:val="32"/>
        </w:rPr>
        <w:t>1.一般公共服务支出(类)115.65万元,占64.48%。</w:t>
      </w:r>
    </w:p>
    <w:p w14:paraId="2DA4A99F">
      <w:pPr>
        <w:spacing w:line="580" w:lineRule="exact"/>
        <w:ind w:firstLine="640"/>
        <w:jc w:val="both"/>
      </w:pPr>
      <w:r>
        <w:rPr>
          <w:rFonts w:ascii="仿宋_GB2312" w:hAnsi="仿宋_GB2312" w:eastAsia="仿宋_GB2312"/>
          <w:b w:val="0"/>
          <w:sz w:val="32"/>
        </w:rPr>
        <w:t>2.社会保障和就业支出(类)41.51万元,占23.14%。</w:t>
      </w:r>
    </w:p>
    <w:p w14:paraId="43B065E6">
      <w:pPr>
        <w:spacing w:line="580" w:lineRule="exact"/>
        <w:ind w:firstLine="640"/>
        <w:jc w:val="both"/>
      </w:pPr>
      <w:r>
        <w:rPr>
          <w:rFonts w:ascii="仿宋_GB2312" w:hAnsi="仿宋_GB2312" w:eastAsia="仿宋_GB2312"/>
          <w:b w:val="0"/>
          <w:sz w:val="32"/>
        </w:rPr>
        <w:t>3.卫生健康支出(类)7.91万元,占4.41%。</w:t>
      </w:r>
    </w:p>
    <w:p w14:paraId="7925B7D3">
      <w:pPr>
        <w:spacing w:line="580" w:lineRule="exact"/>
        <w:ind w:firstLine="640"/>
        <w:jc w:val="both"/>
      </w:pPr>
      <w:r>
        <w:rPr>
          <w:rFonts w:ascii="仿宋_GB2312" w:hAnsi="仿宋_GB2312" w:eastAsia="仿宋_GB2312"/>
          <w:b w:val="0"/>
          <w:sz w:val="32"/>
        </w:rPr>
        <w:t>4.住房保障支出(类)14.29万元,占7.97%。</w:t>
      </w:r>
    </w:p>
    <w:p w14:paraId="14D4787D">
      <w:pPr>
        <w:spacing w:line="640" w:lineRule="exact"/>
        <w:ind w:firstLine="640"/>
        <w:jc w:val="both"/>
        <w:outlineLvl w:val="3"/>
      </w:pPr>
      <w:r>
        <w:rPr>
          <w:rFonts w:ascii="楷体_GB2312" w:hAnsi="楷体_GB2312" w:eastAsia="楷体_GB2312"/>
          <w:b/>
          <w:sz w:val="32"/>
        </w:rPr>
        <w:t>（三）一般公共预算财政拨款支出决算具体情况</w:t>
      </w:r>
    </w:p>
    <w:p w14:paraId="5ED64F2A">
      <w:pPr>
        <w:spacing w:line="580" w:lineRule="exact"/>
        <w:ind w:firstLine="640"/>
        <w:jc w:val="both"/>
      </w:pPr>
      <w:r>
        <w:rPr>
          <w:rFonts w:ascii="仿宋_GB2312" w:hAnsi="仿宋_GB2312" w:eastAsia="仿宋_GB2312"/>
          <w:b w:val="0"/>
          <w:sz w:val="32"/>
        </w:rPr>
        <w:t>1.一般公共服务支出(类)群众团体事务(款)行政运行(项):支出决算数为112.65万元，比上年决算减少1.35万元，下降1.18%,主要原因是：本年在职人员减少，相应人员经费较上年减少。</w:t>
      </w:r>
    </w:p>
    <w:p w14:paraId="204F47BB">
      <w:pPr>
        <w:spacing w:line="580" w:lineRule="exact"/>
        <w:ind w:firstLine="640"/>
        <w:jc w:val="both"/>
      </w:pPr>
      <w:r>
        <w:rPr>
          <w:rFonts w:ascii="仿宋_GB2312" w:hAnsi="仿宋_GB2312" w:eastAsia="仿宋_GB2312"/>
          <w:b w:val="0"/>
          <w:sz w:val="32"/>
        </w:rPr>
        <w:t>2.一般公共服务支出(类)群众团体事务(款)其他群众团体事务支出(项):支出决算数为3.00万元，比上年决算减少1.50万元，下降33.33%,主要原因是：本年减少叶城县2023年</w:t>
      </w:r>
      <w:r>
        <w:rPr>
          <w:rFonts w:hint="eastAsia" w:ascii="仿宋_GB2312" w:hAnsi="仿宋_GB2312" w:eastAsia="仿宋_GB2312"/>
          <w:b w:val="0"/>
          <w:sz w:val="32"/>
          <w:lang w:eastAsia="zh-CN"/>
        </w:rPr>
        <w:t>“三八”国际劳动妇女节</w:t>
      </w:r>
      <w:r>
        <w:rPr>
          <w:rFonts w:ascii="仿宋_GB2312" w:hAnsi="仿宋_GB2312" w:eastAsia="仿宋_GB2312"/>
          <w:b w:val="0"/>
          <w:sz w:val="32"/>
        </w:rPr>
        <w:t>113周年纪念活动经费项目。</w:t>
      </w:r>
    </w:p>
    <w:p w14:paraId="68B649F8">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3.社会保障和就业支出(类)行政事业单位养老支出(款)行政单位离退休(项):支出决算数为5.54万元，比上年决算增加0.64万元，增长13.06%,主要原因是：本年增加退休人员及退休人员基础绩效奖，退休费支出增加。</w:t>
      </w:r>
    </w:p>
    <w:p w14:paraId="7FFC7C0A">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15.49万元，比上年决算增加5.43万元，增长53.98%,主要原因是：本年在职人员工资基数调增，养老缴费基数上涨，相应支出增加。</w:t>
      </w:r>
    </w:p>
    <w:p w14:paraId="04DEC514">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5.社会保障和就业支出(类)行政事业单位养老支出(款)机关事业单位职业年金缴费支出(项):支出决算数为20.48万元，比上年决算增加20.48万元，增长100.00%,主要原因是：本年新增退休人员，相应职业年金支出增加。</w:t>
      </w:r>
    </w:p>
    <w:p w14:paraId="56A58C68">
      <w:pPr>
        <w:spacing w:line="580" w:lineRule="exact"/>
        <w:ind w:firstLine="640"/>
        <w:jc w:val="both"/>
      </w:pPr>
      <w:r>
        <w:rPr>
          <w:rFonts w:ascii="仿宋_GB2312" w:hAnsi="仿宋_GB2312" w:eastAsia="仿宋_GB2312"/>
          <w:b w:val="0"/>
          <w:sz w:val="32"/>
        </w:rPr>
        <w:t>6.卫生健康支出(类)行政事业单位医疗(款)行政单位医疗(项):支出决算数为6.58万元，比上年决算增加2.30万元，增长53.74%,主要原因是：本年在职人员工资基数调增，医疗缴费基数上涨，相应支出增加。</w:t>
      </w:r>
    </w:p>
    <w:p w14:paraId="5F158089">
      <w:pPr>
        <w:spacing w:line="580" w:lineRule="exact"/>
        <w:ind w:firstLine="640"/>
        <w:jc w:val="both"/>
      </w:pPr>
      <w:r>
        <w:rPr>
          <w:rFonts w:ascii="仿宋_GB2312" w:hAnsi="仿宋_GB2312" w:eastAsia="仿宋_GB2312"/>
          <w:b w:val="0"/>
          <w:sz w:val="32"/>
        </w:rPr>
        <w:t>7.卫生健康支出(类)行政事业单位医疗(款)公务员医疗补助(项):支出决算数为1.32万元，比上年决算增加0.46万元，增长53.49%,主要原因是：本年在职人员工资基数调增，公务员医疗补助缴费基数上涨，相应支出增加。</w:t>
      </w:r>
    </w:p>
    <w:p w14:paraId="37E1CA0B">
      <w:pPr>
        <w:spacing w:line="580" w:lineRule="exact"/>
        <w:ind w:firstLine="640"/>
        <w:jc w:val="both"/>
      </w:pPr>
      <w:r>
        <w:rPr>
          <w:rFonts w:ascii="仿宋_GB2312" w:hAnsi="仿宋_GB2312" w:eastAsia="仿宋_GB2312"/>
          <w:b w:val="0"/>
          <w:sz w:val="32"/>
        </w:rPr>
        <w:t>8.住房保障支出(类)住房改革支出(款)住房公积金(项):支出决算数为14.29万元，比上年决算增加6.74万元，增长89.27%,主要原因是：本年在职人员工资基数调增，住房公积金缴费基数上涨，相应支出增加。</w:t>
      </w:r>
    </w:p>
    <w:p w14:paraId="12383B25">
      <w:pPr>
        <w:spacing w:line="640" w:lineRule="exact"/>
        <w:ind w:firstLine="640"/>
        <w:jc w:val="both"/>
        <w:outlineLvl w:val="2"/>
      </w:pPr>
      <w:r>
        <w:rPr>
          <w:rFonts w:ascii="黑体" w:hAnsi="黑体" w:eastAsia="黑体"/>
          <w:sz w:val="32"/>
        </w:rPr>
        <w:t>六、一般公共预算财政拨款基本支出决算情况说明</w:t>
      </w:r>
    </w:p>
    <w:p w14:paraId="2AFA28CD">
      <w:pPr>
        <w:spacing w:line="580" w:lineRule="exact"/>
        <w:ind w:firstLine="640"/>
        <w:jc w:val="both"/>
      </w:pPr>
      <w:r>
        <w:rPr>
          <w:rFonts w:ascii="仿宋_GB2312" w:hAnsi="仿宋_GB2312" w:eastAsia="仿宋_GB2312"/>
          <w:b w:val="0"/>
          <w:sz w:val="32"/>
        </w:rPr>
        <w:t>2024年度一般公共预算财政拨款基本支出176.35万元，其中：</w:t>
      </w:r>
      <w:r>
        <w:rPr>
          <w:rFonts w:ascii="仿宋_GB2312" w:hAnsi="仿宋_GB2312" w:eastAsia="仿宋_GB2312"/>
          <w:b/>
          <w:sz w:val="32"/>
        </w:rPr>
        <w:t>人员经费171.42万元，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包括：基本工资、津贴补贴、奖金、绩效工资、机关事业单位基本养老保险缴费、职业年金缴费、职工基本医疗保险缴费、公务员医疗补助缴费、其他社会保障缴费、住房公积金、退休费、生活补助、奖励金。</w:t>
      </w:r>
    </w:p>
    <w:p w14:paraId="49F82049">
      <w:pPr>
        <w:spacing w:line="580" w:lineRule="exact"/>
        <w:ind w:firstLine="640"/>
        <w:jc w:val="both"/>
      </w:pPr>
      <w:r>
        <w:rPr>
          <w:rFonts w:ascii="仿宋_GB2312" w:hAnsi="仿宋_GB2312" w:eastAsia="仿宋_GB2312"/>
          <w:b/>
          <w:sz w:val="32"/>
        </w:rPr>
        <w:t>公用经费4.94万元，</w:t>
      </w:r>
      <w:r>
        <w:rPr>
          <w:rFonts w:ascii="仿宋_GB2312" w:hAnsi="仿宋_GB2312" w:eastAsia="仿宋_GB2312"/>
          <w:b w:val="0"/>
          <w:sz w:val="32"/>
        </w:rPr>
        <w:t>包括：办公费、邮电费、取暖费、差旅费、公务接待费、公务用车运行维护费。</w:t>
      </w:r>
    </w:p>
    <w:p w14:paraId="042CE882">
      <w:pPr>
        <w:spacing w:line="640" w:lineRule="exact"/>
        <w:ind w:firstLine="640"/>
        <w:jc w:val="both"/>
        <w:outlineLvl w:val="2"/>
      </w:pPr>
      <w:r>
        <w:rPr>
          <w:rFonts w:ascii="黑体" w:hAnsi="黑体" w:eastAsia="黑体"/>
          <w:sz w:val="32"/>
        </w:rPr>
        <w:t>七、政府性基金预算财政拨款收入支出决算情况说明</w:t>
      </w:r>
    </w:p>
    <w:p w14:paraId="3C33C10F">
      <w:pPr>
        <w:spacing w:line="580" w:lineRule="exact"/>
        <w:ind w:firstLine="640"/>
        <w:jc w:val="both"/>
      </w:pPr>
      <w:r>
        <w:rPr>
          <w:rFonts w:ascii="仿宋_GB2312" w:hAnsi="仿宋_GB2312" w:eastAsia="仿宋_GB2312"/>
          <w:b/>
          <w:sz w:val="32"/>
        </w:rPr>
        <w:t>2024年度政府性基金预算财政拨款收入总计0.00万元，</w:t>
      </w:r>
      <w:r>
        <w:rPr>
          <w:rFonts w:ascii="仿宋_GB2312" w:hAnsi="仿宋_GB2312" w:eastAsia="仿宋_GB2312"/>
          <w:b w:val="0"/>
          <w:sz w:val="32"/>
        </w:rPr>
        <w:t>其中：年初结转和结余0.00万元，本年收入0.00万元。</w:t>
      </w:r>
      <w:r>
        <w:rPr>
          <w:rFonts w:ascii="仿宋_GB2312" w:hAnsi="仿宋_GB2312" w:eastAsia="仿宋_GB2312"/>
          <w:b/>
          <w:sz w:val="32"/>
        </w:rPr>
        <w:t>政府性基金预算财政拨款支出总计0.00万元，</w:t>
      </w:r>
      <w:r>
        <w:rPr>
          <w:rFonts w:ascii="仿宋_GB2312" w:hAnsi="仿宋_GB2312" w:eastAsia="仿宋_GB2312"/>
          <w:b w:val="0"/>
          <w:sz w:val="32"/>
        </w:rPr>
        <w:t>其中：年末结转和结余0.00万元，本年支出0.00万元。</w:t>
      </w:r>
    </w:p>
    <w:p w14:paraId="0C5BAA08">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减少10.00万元，下降100.00%，主要原因是：本年度减少叶城县2022年度“自治区巾帼示范基地”项目。</w:t>
      </w:r>
      <w:r>
        <w:rPr>
          <w:rFonts w:ascii="仿宋_GB2312" w:hAnsi="仿宋_GB2312" w:eastAsia="仿宋_GB2312"/>
          <w:b/>
          <w:sz w:val="32"/>
        </w:rPr>
        <w:t>与年初预算相比，</w:t>
      </w:r>
      <w:r>
        <w:rPr>
          <w:rFonts w:ascii="仿宋_GB2312" w:hAnsi="仿宋_GB2312" w:eastAsia="仿宋_GB2312"/>
          <w:b w:val="0"/>
          <w:sz w:val="32"/>
        </w:rPr>
        <w:t>年初预算数0.00万元，决算数0.00万元，预决算差异率0.00%，主要原因是：本年未安排政府性基金预算财政拨款。</w:t>
      </w:r>
    </w:p>
    <w:p w14:paraId="6EC6D6A4">
      <w:pPr>
        <w:spacing w:line="580" w:lineRule="exact"/>
        <w:ind w:firstLine="640"/>
        <w:jc w:val="both"/>
      </w:pPr>
      <w:r>
        <w:rPr>
          <w:rFonts w:ascii="仿宋_GB2312" w:hAnsi="仿宋_GB2312" w:eastAsia="仿宋_GB2312"/>
          <w:b w:val="0"/>
          <w:sz w:val="32"/>
        </w:rPr>
        <w:t>政府性基金预算财政拨款支出0.00万元。</w:t>
      </w:r>
    </w:p>
    <w:p w14:paraId="72DBD27A">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1.其他支出(类)彩票公益金安排的支出(款)用于社会福利的彩票公益金支出(项):支出决算数为0.00万元，比上年决算减少10.00万元，下降100.00%,主要原因是：本年度减少叶城县2022年度“自治区巾帼示范基地”项目。</w:t>
      </w:r>
    </w:p>
    <w:p w14:paraId="47377AD2">
      <w:pPr>
        <w:spacing w:line="640" w:lineRule="exact"/>
        <w:ind w:firstLine="640"/>
        <w:jc w:val="both"/>
        <w:outlineLvl w:val="2"/>
      </w:pPr>
      <w:r>
        <w:rPr>
          <w:rFonts w:ascii="黑体" w:hAnsi="黑体" w:eastAsia="黑体"/>
          <w:sz w:val="32"/>
        </w:rPr>
        <w:t>八、国有资本经营预算财政拨款收入支出决算情况说明</w:t>
      </w:r>
    </w:p>
    <w:p w14:paraId="6D52951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2487121">
      <w:pPr>
        <w:spacing w:line="640" w:lineRule="exact"/>
        <w:ind w:firstLine="640"/>
        <w:jc w:val="both"/>
        <w:outlineLvl w:val="2"/>
      </w:pPr>
      <w:r>
        <w:rPr>
          <w:rFonts w:ascii="黑体" w:hAnsi="黑体" w:eastAsia="黑体"/>
          <w:sz w:val="32"/>
        </w:rPr>
        <w:t>九、财政拨款“三公”经费支出决算情况说明</w:t>
      </w:r>
    </w:p>
    <w:p w14:paraId="6C420A33">
      <w:pPr>
        <w:spacing w:line="580" w:lineRule="exact"/>
        <w:ind w:firstLine="640"/>
        <w:jc w:val="both"/>
      </w:pPr>
      <w:r>
        <w:rPr>
          <w:rFonts w:ascii="仿宋_GB2312" w:hAnsi="仿宋_GB2312" w:eastAsia="仿宋_GB2312"/>
          <w:b/>
          <w:sz w:val="32"/>
        </w:rPr>
        <w:t>2024年度财政拨款“三公”经费支出2.18万元，</w:t>
      </w:r>
      <w:r>
        <w:rPr>
          <w:rFonts w:ascii="仿宋_GB2312" w:hAnsi="仿宋_GB2312" w:eastAsia="仿宋_GB2312"/>
          <w:b w:val="0"/>
          <w:sz w:val="32"/>
        </w:rPr>
        <w:t>比上年增加0.76万元，增长53.52%，主要原因是：本年因业务需求，增加公务接待工作，导致公务接待费较上年增加。其中：因公出国（境）费支出0.00万元，占0.00%，比上年增加0.00万元，增长0.00%，主要原因是：2023年与2024年均未安排因公出国（境）费支出。公务用车购置及运行维护费支出1.36万元，占62.39%，比上年减少0.06万元，下降4.23%，主要原因是：严格落实中央八项规定精神，厉行节约，减少公务用车运行维护费。公务接待费支出0.82万元，占37.61%，比上年增加0.82万元，增长100.00%，主要原因是：本年因业务需求，增加公务接待工作，导致公务接待费较上年增加。</w:t>
      </w:r>
    </w:p>
    <w:p w14:paraId="7B33DECF">
      <w:pPr>
        <w:spacing w:line="580" w:lineRule="exact"/>
        <w:ind w:firstLine="640"/>
        <w:jc w:val="both"/>
      </w:pPr>
      <w:r>
        <w:rPr>
          <w:rFonts w:ascii="仿宋_GB2312" w:hAnsi="仿宋_GB2312" w:eastAsia="仿宋_GB2312"/>
          <w:b/>
          <w:sz w:val="32"/>
        </w:rPr>
        <w:t>具体情况如下：</w:t>
      </w:r>
    </w:p>
    <w:p w14:paraId="53DF86E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18A2394">
      <w:pPr>
        <w:spacing w:line="580" w:lineRule="exact"/>
        <w:ind w:firstLine="640"/>
        <w:jc w:val="both"/>
      </w:pPr>
      <w:r>
        <w:rPr>
          <w:rFonts w:ascii="仿宋_GB2312" w:hAnsi="仿宋_GB2312" w:eastAsia="仿宋_GB2312"/>
          <w:b w:val="0"/>
          <w:sz w:val="32"/>
        </w:rPr>
        <w:t>公务用车购置及运行维护费1.36万元，其中：公务用车购置费0.00万元，公务用车运行维护费1.36万元。公务用车运行维护费开支内容包括车辆加油费、维修费、保险费。公务用车购置数0辆，公务用车保有量2辆。国有资产占用情况中固定资产车辆2辆，与公务用车保有量差异原因是：本单位固定资产车辆与公务用车保有量一致无差异。</w:t>
      </w:r>
    </w:p>
    <w:p w14:paraId="5BFC615A">
      <w:pPr>
        <w:spacing w:line="580" w:lineRule="exact"/>
        <w:ind w:firstLine="640"/>
        <w:jc w:val="both"/>
      </w:pPr>
      <w:r>
        <w:rPr>
          <w:rFonts w:ascii="仿宋_GB2312" w:hAnsi="仿宋_GB2312" w:eastAsia="仿宋_GB2312"/>
          <w:b w:val="0"/>
          <w:sz w:val="32"/>
        </w:rPr>
        <w:t>公务接待费0.82万元，开支内容包括本单位接待上级领导检查与考察学习产生的就餐费。单位全年安排的国内公务接待16批次，63人次。</w:t>
      </w:r>
    </w:p>
    <w:p w14:paraId="58678BD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2.18万元，决算数2.18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1.36万元，决算数1.36万元，预决算差异率0.00%，主要原因是：严格按照预算执行，预决算无差异。公务接待费全年预算数0.82万元，决算数0.82万元，预决算差异率0.00%，主要原因是：严格按照预算执行，预决算无差异。</w:t>
      </w:r>
    </w:p>
    <w:p w14:paraId="682F151D">
      <w:pPr>
        <w:spacing w:line="640" w:lineRule="exact"/>
        <w:ind w:firstLine="640"/>
        <w:jc w:val="both"/>
        <w:outlineLvl w:val="2"/>
      </w:pPr>
      <w:r>
        <w:rPr>
          <w:rFonts w:ascii="黑体" w:hAnsi="黑体" w:eastAsia="黑体"/>
          <w:sz w:val="32"/>
        </w:rPr>
        <w:t>十、其他重要事项的情况说明</w:t>
      </w:r>
    </w:p>
    <w:p w14:paraId="0382EF15">
      <w:pPr>
        <w:spacing w:line="640" w:lineRule="exact"/>
        <w:ind w:firstLine="640"/>
        <w:jc w:val="both"/>
        <w:outlineLvl w:val="3"/>
      </w:pPr>
      <w:r>
        <w:rPr>
          <w:rFonts w:ascii="楷体_GB2312" w:hAnsi="楷体_GB2312" w:eastAsia="楷体_GB2312"/>
          <w:b/>
          <w:sz w:val="32"/>
        </w:rPr>
        <w:t>（一）机关运行经费及公用经费支出情况</w:t>
      </w:r>
    </w:p>
    <w:p w14:paraId="1E23D588">
      <w:pPr>
        <w:spacing w:line="580" w:lineRule="exact"/>
        <w:ind w:firstLine="640"/>
        <w:jc w:val="both"/>
      </w:pPr>
      <w:r>
        <w:rPr>
          <w:rFonts w:ascii="仿宋_GB2312" w:hAnsi="仿宋_GB2312" w:eastAsia="仿宋_GB2312"/>
          <w:b w:val="0"/>
          <w:sz w:val="32"/>
        </w:rPr>
        <w:t>2024年度叶城县妇女联合会（行政单位和参照公务员法管理事业单位）机关运行经费支出4.94万元，比上年增加1.96万元，增长65.77%，主要原因是：本年更新、维护补充办公用品，增加办公费、差旅费支出，导致机关运行经费较上年增加。</w:t>
      </w:r>
    </w:p>
    <w:p w14:paraId="090995D9">
      <w:pPr>
        <w:spacing w:line="640" w:lineRule="exact"/>
        <w:ind w:firstLine="640"/>
        <w:jc w:val="both"/>
        <w:outlineLvl w:val="3"/>
      </w:pPr>
      <w:r>
        <w:rPr>
          <w:rFonts w:ascii="楷体_GB2312" w:hAnsi="楷体_GB2312" w:eastAsia="楷体_GB2312"/>
          <w:b/>
          <w:sz w:val="32"/>
        </w:rPr>
        <w:t>（二）政府采购情况</w:t>
      </w:r>
    </w:p>
    <w:p w14:paraId="17B25BFE">
      <w:pPr>
        <w:spacing w:line="580" w:lineRule="exact"/>
        <w:ind w:firstLine="640"/>
        <w:jc w:val="both"/>
      </w:pPr>
      <w:r>
        <w:rPr>
          <w:rFonts w:ascii="仿宋_GB2312" w:hAnsi="仿宋_GB2312" w:eastAsia="仿宋_GB2312"/>
          <w:b w:val="0"/>
          <w:sz w:val="32"/>
        </w:rPr>
        <w:t>2024年度政府采购支出总额30.24万元，其中：政府采购货物支出3.56万元、政府采购工程支出0.00万元、政府采购服务支出26.68万元。</w:t>
      </w:r>
    </w:p>
    <w:p w14:paraId="72131EA2">
      <w:pPr>
        <w:spacing w:line="580" w:lineRule="exact"/>
        <w:ind w:firstLine="640"/>
        <w:jc w:val="both"/>
      </w:pPr>
      <w:r>
        <w:rPr>
          <w:rFonts w:ascii="仿宋_GB2312" w:hAnsi="仿宋_GB2312" w:eastAsia="仿宋_GB2312"/>
          <w:b w:val="0"/>
          <w:sz w:val="32"/>
        </w:rPr>
        <w:t>授予中小企业合同金额30.24万元，占政府采购支出总额的100.00%，其中：授予小微企业合同金额29.85万元，占政府采购支出总额的98.71%。</w:t>
      </w:r>
    </w:p>
    <w:p w14:paraId="32CC918E">
      <w:pPr>
        <w:spacing w:line="640" w:lineRule="exact"/>
        <w:ind w:firstLine="640"/>
        <w:jc w:val="both"/>
        <w:outlineLvl w:val="3"/>
      </w:pPr>
      <w:r>
        <w:rPr>
          <w:rFonts w:ascii="楷体_GB2312" w:hAnsi="楷体_GB2312" w:eastAsia="楷体_GB2312"/>
          <w:b/>
          <w:sz w:val="32"/>
        </w:rPr>
        <w:t>（三）国有资产占用情况说明</w:t>
      </w:r>
    </w:p>
    <w:p w14:paraId="62E27663">
      <w:pPr>
        <w:spacing w:line="580" w:lineRule="exact"/>
        <w:ind w:firstLine="640"/>
        <w:jc w:val="both"/>
      </w:pPr>
      <w:r>
        <w:rPr>
          <w:rFonts w:ascii="仿宋_GB2312" w:hAnsi="仿宋_GB2312" w:eastAsia="仿宋_GB2312"/>
          <w:b w:val="0"/>
          <w:sz w:val="32"/>
        </w:rPr>
        <w:t>截至2024年12月31日，房屋0.00平方米，价值0.00万元。车辆2辆，价值28.81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6449D6FC">
      <w:pPr>
        <w:spacing w:line="640" w:lineRule="exact"/>
        <w:ind w:firstLine="640"/>
        <w:jc w:val="both"/>
        <w:outlineLvl w:val="2"/>
      </w:pPr>
      <w:r>
        <w:rPr>
          <w:rFonts w:ascii="黑体" w:hAnsi="黑体" w:eastAsia="黑体"/>
          <w:sz w:val="32"/>
        </w:rPr>
        <w:t>十一、预算绩效的情况说明</w:t>
      </w:r>
    </w:p>
    <w:p w14:paraId="1B2A12DE">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225.35万元，实际执行总额225.35万元；预算绩效评价项目3个，全年预算数28.81万元，全年执行数28.81万元。预算绩效管理取得的成效：保障妇女儿童事业的发展，持续提高妇女儿童的幸福指数。严格执行项目资金预算支出，充分履行叶城县妇女联合会的部门职能。发现的问题及原因：一是经费年初预算安排不足；二是年初预算安排不够精细。下一步改进措施：一是细化预算编制工作，认真做好预算编制：进一步加强单位内部各科室的预算管理意识，严格按照预算编制的相关制度要求公用经费根据单位年度工作重点项目做规划，本着“勤俭节约、保障运转”的原则进行预算编制；编制范围尽可能全面、不漏项。杜绝预算编制粗放、拍脑袋现象的发生，进一步提高预算编制的科学性、合理性、严谨性和可控性。二是完善预算支出管理：预算支出与会计核算应当建立科学的对应关系，会计核算上尽可能的细化核算，通过精细化核算来反映预算执行结果，并为预算支出提供数据支持。具体附整体支出绩效自评表，项目支出绩效自评表和评价报告。</w:t>
      </w:r>
    </w:p>
    <w:p w14:paraId="733DD3E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7548945">
        <w:tblPrEx>
          <w:tblCellMar>
            <w:top w:w="0" w:type="dxa"/>
            <w:left w:w="108" w:type="dxa"/>
            <w:bottom w:w="0" w:type="dxa"/>
            <w:right w:w="108" w:type="dxa"/>
          </w:tblCellMar>
        </w:tblPrEx>
        <w:tc>
          <w:tcPr>
            <w:tcW w:w="8847" w:type="dxa"/>
            <w:gridSpan w:val="9"/>
            <w:vAlign w:val="center"/>
          </w:tcPr>
          <w:p w14:paraId="66ACF7C0">
            <w:pPr>
              <w:jc w:val="center"/>
            </w:pPr>
            <w:r>
              <w:rPr>
                <w:rFonts w:ascii="宋体" w:hAnsi="宋体" w:eastAsia="宋体"/>
                <w:sz w:val="24"/>
              </w:rPr>
              <w:t>单位整体支出绩效自评表</w:t>
            </w:r>
          </w:p>
        </w:tc>
      </w:tr>
      <w:tr w14:paraId="028C5731">
        <w:tblPrEx>
          <w:tblCellMar>
            <w:top w:w="0" w:type="dxa"/>
            <w:left w:w="108" w:type="dxa"/>
            <w:bottom w:w="0" w:type="dxa"/>
            <w:right w:w="108" w:type="dxa"/>
          </w:tblCellMar>
        </w:tblPrEx>
        <w:tc>
          <w:tcPr>
            <w:tcW w:w="8847" w:type="dxa"/>
            <w:gridSpan w:val="9"/>
            <w:vAlign w:val="center"/>
          </w:tcPr>
          <w:p w14:paraId="566E206F">
            <w:pPr>
              <w:jc w:val="center"/>
            </w:pPr>
            <w:r>
              <w:rPr>
                <w:rFonts w:ascii="宋体" w:hAnsi="宋体" w:eastAsia="宋体"/>
                <w:sz w:val="24"/>
              </w:rPr>
              <w:t>（2024年度）</w:t>
            </w:r>
          </w:p>
        </w:tc>
      </w:tr>
      <w:tr w14:paraId="0418621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DE754">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66633CE">
            <w:pPr>
              <w:jc w:val="center"/>
            </w:pPr>
            <w:r>
              <w:rPr>
                <w:rFonts w:ascii="宋体" w:hAnsi="宋体" w:eastAsia="宋体"/>
                <w:sz w:val="16"/>
              </w:rPr>
              <w:t>叶城县妇女联合会</w:t>
            </w:r>
          </w:p>
        </w:tc>
      </w:tr>
      <w:tr w14:paraId="1D7279A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CE471D">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9234B">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8227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EB82F">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5EB1D">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E105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71C1D">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B60F3">
            <w:pPr>
              <w:jc w:val="center"/>
            </w:pPr>
            <w:r>
              <w:rPr>
                <w:rFonts w:ascii="宋体" w:hAnsi="宋体" w:eastAsia="宋体"/>
                <w:sz w:val="16"/>
              </w:rPr>
              <w:t>得分</w:t>
            </w:r>
          </w:p>
        </w:tc>
      </w:tr>
      <w:tr w14:paraId="7CAC3D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4E399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47528">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6E6CF">
            <w:pPr>
              <w:jc w:val="center"/>
            </w:pPr>
            <w:r>
              <w:rPr>
                <w:rFonts w:ascii="宋体" w:hAnsi="宋体" w:eastAsia="宋体"/>
                <w:sz w:val="16"/>
              </w:rPr>
              <w:t>156.08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FC22F">
            <w:pPr>
              <w:jc w:val="center"/>
            </w:pPr>
            <w:r>
              <w:rPr>
                <w:rFonts w:ascii="宋体" w:hAnsi="宋体" w:eastAsia="宋体"/>
                <w:sz w:val="16"/>
              </w:rPr>
              <w:t>225.35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3396C">
            <w:pPr>
              <w:jc w:val="center"/>
            </w:pPr>
            <w:r>
              <w:rPr>
                <w:rFonts w:ascii="宋体" w:hAnsi="宋体" w:eastAsia="宋体"/>
                <w:sz w:val="16"/>
              </w:rPr>
              <w:t>225.35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AA8D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455D2">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680F8">
            <w:pPr>
              <w:jc w:val="center"/>
            </w:pPr>
            <w:r>
              <w:rPr>
                <w:rFonts w:ascii="宋体" w:hAnsi="宋体" w:eastAsia="宋体"/>
                <w:sz w:val="16"/>
              </w:rPr>
              <w:t>10</w:t>
            </w:r>
          </w:p>
        </w:tc>
      </w:tr>
      <w:tr w14:paraId="4E334C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35F8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973C8">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50169">
            <w:pPr>
              <w:jc w:val="center"/>
            </w:pPr>
            <w:r>
              <w:rPr>
                <w:rFonts w:ascii="宋体" w:hAnsi="宋体" w:eastAsia="宋体"/>
                <w:sz w:val="16"/>
              </w:rPr>
              <w:t>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FE739">
            <w:pPr>
              <w:jc w:val="center"/>
            </w:pPr>
            <w:r>
              <w:rPr>
                <w:rFonts w:ascii="宋体" w:hAnsi="宋体" w:eastAsia="宋体"/>
                <w:sz w:val="16"/>
              </w:rPr>
              <w:t>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E9FD7">
            <w:pPr>
              <w:jc w:val="center"/>
            </w:pPr>
            <w:r>
              <w:rPr>
                <w:rFonts w:ascii="宋体" w:hAnsi="宋体" w:eastAsia="宋体"/>
                <w:sz w:val="16"/>
              </w:rPr>
              <w:t>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0AF3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A275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7B959">
            <w:pPr>
              <w:jc w:val="center"/>
            </w:pPr>
            <w:r>
              <w:rPr>
                <w:rFonts w:ascii="宋体" w:hAnsi="宋体" w:eastAsia="宋体"/>
                <w:sz w:val="16"/>
              </w:rPr>
              <w:t>—</w:t>
            </w:r>
          </w:p>
        </w:tc>
      </w:tr>
      <w:tr w14:paraId="2C091D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3296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E6AAE">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ACE61">
            <w:pPr>
              <w:jc w:val="center"/>
            </w:pPr>
            <w:r>
              <w:rPr>
                <w:rFonts w:ascii="宋体" w:hAnsi="宋体" w:eastAsia="宋体"/>
                <w:sz w:val="16"/>
              </w:rPr>
              <w:t>153.08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F6CD8">
            <w:pPr>
              <w:jc w:val="center"/>
            </w:pPr>
            <w:r>
              <w:rPr>
                <w:rFonts w:ascii="宋体" w:hAnsi="宋体" w:eastAsia="宋体"/>
                <w:sz w:val="16"/>
              </w:rPr>
              <w:t>176.35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F92A0">
            <w:pPr>
              <w:jc w:val="center"/>
            </w:pPr>
            <w:r>
              <w:rPr>
                <w:rFonts w:ascii="宋体" w:hAnsi="宋体" w:eastAsia="宋体"/>
                <w:sz w:val="16"/>
              </w:rPr>
              <w:t>176.35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F39B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E81A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FD41F">
            <w:pPr>
              <w:jc w:val="center"/>
            </w:pPr>
            <w:r>
              <w:rPr>
                <w:rFonts w:ascii="宋体" w:hAnsi="宋体" w:eastAsia="宋体"/>
                <w:sz w:val="16"/>
              </w:rPr>
              <w:t>—</w:t>
            </w:r>
          </w:p>
        </w:tc>
      </w:tr>
      <w:tr w14:paraId="2C1345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C29B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71F05">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8D69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DC0C7">
            <w:pPr>
              <w:jc w:val="center"/>
            </w:pPr>
            <w:r>
              <w:rPr>
                <w:rFonts w:ascii="宋体" w:hAnsi="宋体" w:eastAsia="宋体"/>
                <w:sz w:val="16"/>
              </w:rPr>
              <w:t>46.00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DB79A">
            <w:pPr>
              <w:jc w:val="center"/>
            </w:pPr>
            <w:r>
              <w:rPr>
                <w:rFonts w:ascii="宋体" w:hAnsi="宋体" w:eastAsia="宋体"/>
                <w:sz w:val="16"/>
              </w:rPr>
              <w:t>46.00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8711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0D82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0671C">
            <w:pPr>
              <w:jc w:val="center"/>
            </w:pPr>
            <w:r>
              <w:rPr>
                <w:rFonts w:ascii="宋体" w:hAnsi="宋体" w:eastAsia="宋体"/>
                <w:sz w:val="16"/>
              </w:rPr>
              <w:t>—</w:t>
            </w:r>
          </w:p>
        </w:tc>
      </w:tr>
      <w:tr w14:paraId="7820479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51178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C5E1D1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D5B9DD">
            <w:pPr>
              <w:jc w:val="center"/>
            </w:pPr>
            <w:r>
              <w:rPr>
                <w:rFonts w:ascii="宋体" w:hAnsi="宋体" w:eastAsia="宋体"/>
                <w:sz w:val="16"/>
              </w:rPr>
              <w:t>实际完成情况</w:t>
            </w:r>
          </w:p>
        </w:tc>
      </w:tr>
      <w:tr w14:paraId="19FA2A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FE549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748F37D">
            <w:pPr>
              <w:jc w:val="both"/>
            </w:pPr>
            <w:r>
              <w:rPr>
                <w:rFonts w:ascii="宋体" w:hAnsi="宋体" w:eastAsia="宋体"/>
                <w:sz w:val="16"/>
              </w:rPr>
              <w:t>叶城县妇女联合会主要职能是依照《中华全国妇女联合会章程》和妇女代表大会的决议，开展妇女儿童工作，调查研究本县妇女儿童情况、问题，及时向县委和政府反映并提出建议。指导和推动本县妇女“巾帼建功”和“五好文明家庭”创建活动、组织、动员妇女投身改革开放和社会主义现代化建设。其次负责妇联的舆论宣传工作，教育、引导广大妇女增强自尊、自信、自立、自强的精神，表彰各行各业的先进妇女，开展妇女职业技术培训和妇女干部培训工作，全面提高妇女素质，促进妇女人才成长。代表妇女参与国家和社会事务的民主管理、民主监督，促进妇女参政。参与有关妇女儿童政策、规章的制定，维护妇女儿童的合法权益。为妇女儿童服务，加强与社会各界的联系，协调社会各界为妇女儿童办实事、办好事，并承担全县有关妇女儿童工作重大活动的事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034782">
            <w:pPr>
              <w:jc w:val="both"/>
            </w:pPr>
            <w:r>
              <w:rPr>
                <w:rFonts w:hint="eastAsia" w:ascii="宋体" w:hAnsi="宋体"/>
                <w:sz w:val="16"/>
                <w:lang w:eastAsia="zh-CN"/>
              </w:rPr>
              <w:t>截至</w:t>
            </w:r>
            <w:r>
              <w:rPr>
                <w:rFonts w:ascii="宋体" w:hAnsi="宋体" w:eastAsia="宋体"/>
                <w:sz w:val="16"/>
              </w:rPr>
              <w:t>2024年12月31日，积极开展家庭亲子阅读活动。乡村妇联以家庭为切入点，开展“小手拉大手·全家一起读”和“亲子共读一本好书”为主题的家庭亲子阅读活动2353场次，不断提高妇女群众学习国家通用语言文字的积极性。叶城县妇女联合会主要职能是依照《中华全国妇女联合会章程》和妇女代表大会的决议，开展妇女儿童工作，调查研究本县妇女儿童情况、问题，及时向县委和政府反映并提出建议。指导和推动本县妇女“巾帼建功”和“五好文明家庭”创建活动、组织、动员妇女投身改革开放和社会主义现代化建设。其次负责妇联的舆论宣传工作，教育、引导广大妇女增强自尊、自信、自立、自强的精神，表彰各行各业的先进妇女，开展妇女职业技术培训和妇女干部培训工作，全面提高妇女素质，促进妇女人才成长。代表妇女参与国家和社会事务的民主管理、民主监督，促进妇女参政。参与有关妇女儿童政策、规章的制定，维护妇女儿童的合法权益。为妇女儿童服务，加强与社会各界的联系，协调社会各界为妇女儿童办实事、办好事，并承担全县有关妇女儿童工作重大活动的事宜。已完成创建儿童友好社区2个、提高广大妇女法律意识场次3场次、组织普惠性的家庭教育指导服务活动次数3次、开展“两规划”创建工作宣传培训场次1次、召开妇女儿童工作推进会1次。</w:t>
            </w:r>
          </w:p>
        </w:tc>
      </w:tr>
      <w:tr w14:paraId="7881BE4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7911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3162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7008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5DEE3">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AD5F7">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9E32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8DF3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81357">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9A47F">
            <w:pPr>
              <w:jc w:val="center"/>
            </w:pPr>
            <w:r>
              <w:rPr>
                <w:rFonts w:ascii="宋体" w:hAnsi="宋体" w:eastAsia="宋体"/>
                <w:sz w:val="16"/>
              </w:rPr>
              <w:t>得分</w:t>
            </w:r>
          </w:p>
        </w:tc>
      </w:tr>
      <w:tr w14:paraId="4435785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B764C3">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BFCCD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CCA0F">
            <w:pPr>
              <w:jc w:val="center"/>
            </w:pPr>
            <w:r>
              <w:rPr>
                <w:rFonts w:ascii="宋体" w:hAnsi="宋体" w:eastAsia="宋体"/>
                <w:sz w:val="16"/>
              </w:rPr>
              <w:t>创建儿童友好社区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EBD3F">
            <w:pPr>
              <w:jc w:val="center"/>
            </w:pPr>
            <w:r>
              <w:rPr>
                <w:rFonts w:ascii="宋体" w:hAnsi="宋体" w:eastAsia="宋体"/>
                <w:sz w:val="16"/>
              </w:rPr>
              <w:t>&gt;=2个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D5C95">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9A252">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9501B">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7567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D2611">
            <w:pPr>
              <w:jc w:val="center"/>
            </w:pPr>
            <w:r>
              <w:rPr>
                <w:rFonts w:ascii="宋体" w:hAnsi="宋体" w:eastAsia="宋体"/>
                <w:sz w:val="16"/>
              </w:rPr>
              <w:t>18</w:t>
            </w:r>
          </w:p>
        </w:tc>
      </w:tr>
      <w:tr w14:paraId="4388FF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347C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4C8F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D8F47">
            <w:pPr>
              <w:jc w:val="center"/>
            </w:pPr>
            <w:r>
              <w:rPr>
                <w:rFonts w:ascii="宋体" w:hAnsi="宋体" w:eastAsia="宋体"/>
                <w:sz w:val="16"/>
              </w:rPr>
              <w:t>提高广大妇女法律意识场次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75A97">
            <w:pPr>
              <w:jc w:val="center"/>
            </w:pPr>
            <w:r>
              <w:rPr>
                <w:rFonts w:ascii="宋体" w:hAnsi="宋体" w:eastAsia="宋体"/>
                <w:sz w:val="16"/>
              </w:rPr>
              <w:t>&gt;=3场次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493C6">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72932">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FF635">
            <w:pPr>
              <w:jc w:val="center"/>
            </w:pPr>
            <w:r>
              <w:rPr>
                <w:rFonts w:ascii="宋体" w:hAnsi="宋体" w:eastAsia="宋体"/>
                <w:sz w:val="16"/>
              </w:rPr>
              <w:t>3场次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1DA6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1C5FA">
            <w:pPr>
              <w:jc w:val="center"/>
            </w:pPr>
            <w:r>
              <w:rPr>
                <w:rFonts w:ascii="宋体" w:hAnsi="宋体" w:eastAsia="宋体"/>
                <w:sz w:val="16"/>
              </w:rPr>
              <w:t>18</w:t>
            </w:r>
          </w:p>
        </w:tc>
      </w:tr>
      <w:tr w14:paraId="2873F4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AC9E9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66C5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F43B6">
            <w:pPr>
              <w:jc w:val="center"/>
            </w:pPr>
            <w:r>
              <w:rPr>
                <w:rFonts w:ascii="宋体" w:hAnsi="宋体" w:eastAsia="宋体"/>
                <w:sz w:val="16"/>
              </w:rPr>
              <w:t>组织普惠性的家庭教育指导服务活动次数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9FE18">
            <w:pPr>
              <w:jc w:val="center"/>
            </w:pPr>
            <w:r>
              <w:rPr>
                <w:rFonts w:ascii="宋体" w:hAnsi="宋体" w:eastAsia="宋体"/>
                <w:sz w:val="16"/>
              </w:rPr>
              <w:t>&gt;=3次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1F42C">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C297C">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8AC66">
            <w:pPr>
              <w:jc w:val="center"/>
            </w:pPr>
            <w:r>
              <w:rPr>
                <w:rFonts w:ascii="宋体" w:hAnsi="宋体" w:eastAsia="宋体"/>
                <w:sz w:val="16"/>
              </w:rPr>
              <w: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A310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0C106">
            <w:pPr>
              <w:jc w:val="center"/>
            </w:pPr>
            <w:r>
              <w:rPr>
                <w:rFonts w:ascii="宋体" w:hAnsi="宋体" w:eastAsia="宋体"/>
                <w:sz w:val="16"/>
              </w:rPr>
              <w:t>18</w:t>
            </w:r>
          </w:p>
        </w:tc>
      </w:tr>
      <w:tr w14:paraId="386395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F7935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C5E77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15D2E">
            <w:pPr>
              <w:jc w:val="center"/>
            </w:pPr>
            <w:r>
              <w:rPr>
                <w:rFonts w:ascii="宋体" w:hAnsi="宋体" w:eastAsia="宋体"/>
                <w:sz w:val="16"/>
              </w:rPr>
              <w:t>开展“两规划”创建工作宣传培训场次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76AAA">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0DAC2">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11E0E">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F82FE">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BDC5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1C4ED">
            <w:pPr>
              <w:jc w:val="center"/>
            </w:pPr>
            <w:r>
              <w:rPr>
                <w:rFonts w:ascii="宋体" w:hAnsi="宋体" w:eastAsia="宋体"/>
                <w:sz w:val="16"/>
              </w:rPr>
              <w:t>18</w:t>
            </w:r>
          </w:p>
        </w:tc>
      </w:tr>
      <w:tr w14:paraId="7E0257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A3B8E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D74D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2A43B">
            <w:pPr>
              <w:jc w:val="center"/>
            </w:pPr>
            <w:r>
              <w:rPr>
                <w:rFonts w:ascii="宋体" w:hAnsi="宋体" w:eastAsia="宋体"/>
                <w:sz w:val="16"/>
              </w:rPr>
              <w:t>召开妇女儿童工作推进会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96832">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6B2A2">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9B2F6">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11B4E">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3DAC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3DCDC">
            <w:pPr>
              <w:jc w:val="center"/>
            </w:pPr>
            <w:r>
              <w:rPr>
                <w:rFonts w:ascii="宋体" w:hAnsi="宋体" w:eastAsia="宋体"/>
                <w:sz w:val="16"/>
              </w:rPr>
              <w:t>18</w:t>
            </w:r>
          </w:p>
        </w:tc>
      </w:tr>
    </w:tbl>
    <w:p w14:paraId="0649EDF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BB93907">
        <w:tblPrEx>
          <w:tblCellMar>
            <w:top w:w="0" w:type="dxa"/>
            <w:left w:w="108" w:type="dxa"/>
            <w:bottom w:w="0" w:type="dxa"/>
            <w:right w:w="108" w:type="dxa"/>
          </w:tblCellMar>
        </w:tblPrEx>
        <w:tc>
          <w:tcPr>
            <w:tcW w:w="8848" w:type="dxa"/>
            <w:gridSpan w:val="14"/>
            <w:vAlign w:val="center"/>
          </w:tcPr>
          <w:p w14:paraId="3E40400E">
            <w:pPr>
              <w:jc w:val="center"/>
            </w:pPr>
            <w:r>
              <w:rPr>
                <w:rFonts w:ascii="宋体" w:hAnsi="宋体" w:eastAsia="宋体"/>
                <w:sz w:val="24"/>
              </w:rPr>
              <w:t>项目支出绩效自评表</w:t>
            </w:r>
          </w:p>
        </w:tc>
      </w:tr>
      <w:tr w14:paraId="2199925F">
        <w:tblPrEx>
          <w:tblCellMar>
            <w:top w:w="0" w:type="dxa"/>
            <w:left w:w="108" w:type="dxa"/>
            <w:bottom w:w="0" w:type="dxa"/>
            <w:right w:w="108" w:type="dxa"/>
          </w:tblCellMar>
        </w:tblPrEx>
        <w:tc>
          <w:tcPr>
            <w:tcW w:w="8848" w:type="dxa"/>
            <w:gridSpan w:val="14"/>
            <w:vAlign w:val="center"/>
          </w:tcPr>
          <w:p w14:paraId="03B643AF">
            <w:pPr>
              <w:jc w:val="center"/>
            </w:pPr>
            <w:r>
              <w:rPr>
                <w:rFonts w:ascii="宋体" w:hAnsi="宋体" w:eastAsia="宋体"/>
                <w:sz w:val="24"/>
              </w:rPr>
              <w:t>(2024年度)</w:t>
            </w:r>
          </w:p>
        </w:tc>
      </w:tr>
      <w:tr w14:paraId="43D691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7DBF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4F20485">
            <w:pPr>
              <w:jc w:val="center"/>
            </w:pPr>
            <w:r>
              <w:rPr>
                <w:rFonts w:ascii="宋体" w:hAnsi="宋体" w:eastAsia="宋体"/>
                <w:sz w:val="16"/>
              </w:rPr>
              <w:t>2024年妇女儿童工作经费项目</w:t>
            </w:r>
          </w:p>
        </w:tc>
      </w:tr>
      <w:tr w14:paraId="69E87B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796C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F366EF">
            <w:pPr>
              <w:jc w:val="center"/>
            </w:pPr>
            <w:r>
              <w:rPr>
                <w:rFonts w:ascii="宋体" w:hAnsi="宋体" w:eastAsia="宋体"/>
                <w:sz w:val="16"/>
              </w:rPr>
              <w:t>叶城县妇女联合会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226C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7A6873">
            <w:pPr>
              <w:jc w:val="center"/>
            </w:pPr>
            <w:r>
              <w:rPr>
                <w:rFonts w:ascii="宋体" w:hAnsi="宋体" w:eastAsia="宋体"/>
                <w:sz w:val="16"/>
              </w:rPr>
              <w:t>叶城县妇女联合会</w:t>
            </w:r>
          </w:p>
        </w:tc>
      </w:tr>
      <w:tr w14:paraId="11D57B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98BD3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327B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5157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4C76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7715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098B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244C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C386C">
            <w:pPr>
              <w:jc w:val="center"/>
            </w:pPr>
            <w:r>
              <w:rPr>
                <w:rFonts w:ascii="宋体" w:hAnsi="宋体" w:eastAsia="宋体"/>
                <w:sz w:val="16"/>
              </w:rPr>
              <w:t>得分</w:t>
            </w:r>
          </w:p>
        </w:tc>
      </w:tr>
      <w:tr w14:paraId="517E8F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338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5D5C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F7337">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1B042">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85F26">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947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A6A5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6699E">
            <w:pPr>
              <w:jc w:val="center"/>
            </w:pPr>
            <w:r>
              <w:rPr>
                <w:rFonts w:ascii="宋体" w:hAnsi="宋体" w:eastAsia="宋体"/>
                <w:sz w:val="16"/>
              </w:rPr>
              <w:t>10.00分</w:t>
            </w:r>
          </w:p>
        </w:tc>
      </w:tr>
      <w:tr w14:paraId="7DB349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AD4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B952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1A761">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06351">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F40CF">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0ECB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78C1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6FA8F">
            <w:pPr>
              <w:jc w:val="center"/>
            </w:pPr>
            <w:r>
              <w:rPr>
                <w:rFonts w:ascii="宋体" w:hAnsi="宋体" w:eastAsia="宋体"/>
                <w:sz w:val="16"/>
              </w:rPr>
              <w:t>—</w:t>
            </w:r>
          </w:p>
        </w:tc>
      </w:tr>
      <w:tr w14:paraId="1DD376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444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2EF8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8B1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6EB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4DD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908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CD56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FAB6C">
            <w:pPr>
              <w:jc w:val="center"/>
            </w:pPr>
            <w:r>
              <w:rPr>
                <w:rFonts w:ascii="宋体" w:hAnsi="宋体" w:eastAsia="宋体"/>
                <w:sz w:val="16"/>
              </w:rPr>
              <w:t>—</w:t>
            </w:r>
          </w:p>
        </w:tc>
      </w:tr>
      <w:tr w14:paraId="2FA6B1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8DA21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BF92E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6D3DCD">
            <w:pPr>
              <w:jc w:val="center"/>
            </w:pPr>
            <w:r>
              <w:rPr>
                <w:rFonts w:ascii="宋体" w:hAnsi="宋体" w:eastAsia="宋体"/>
                <w:sz w:val="16"/>
              </w:rPr>
              <w:t>实际完成情况</w:t>
            </w:r>
          </w:p>
        </w:tc>
      </w:tr>
      <w:tr w14:paraId="3868D2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C4CE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A658D1">
            <w:pPr>
              <w:jc w:val="both"/>
            </w:pPr>
            <w:r>
              <w:rPr>
                <w:rFonts w:ascii="宋体" w:hAnsi="宋体" w:eastAsia="宋体"/>
                <w:sz w:val="16"/>
              </w:rPr>
              <w:t>该项目预算资金3万元，主要用于创建2个儿童友好社区、1次“两规划”创建工作宣传培训、1次现场推进会示范引领，充分激发实施妇女儿童两规划的</w:t>
            </w:r>
            <w:r>
              <w:rPr>
                <w:rFonts w:hint="eastAsia" w:ascii="宋体" w:hAnsi="宋体"/>
                <w:sz w:val="16"/>
                <w:lang w:eastAsia="zh-CN"/>
              </w:rPr>
              <w:t>积极性、主动性、创造性</w:t>
            </w:r>
            <w:r>
              <w:rPr>
                <w:rFonts w:ascii="宋体" w:hAnsi="宋体" w:eastAsia="宋体"/>
                <w:sz w:val="16"/>
              </w:rPr>
              <w:t>，高标准高质量完成“两规划”示范县的创建工作，积极推动我县妇女儿童事业高质量发展的良好局面。</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F96AEE">
            <w:pPr>
              <w:jc w:val="both"/>
            </w:pPr>
            <w:r>
              <w:rPr>
                <w:rFonts w:hint="eastAsia" w:ascii="宋体" w:hAnsi="宋体"/>
                <w:sz w:val="16"/>
                <w:lang w:eastAsia="zh-CN"/>
              </w:rPr>
              <w:t>截至</w:t>
            </w:r>
            <w:r>
              <w:rPr>
                <w:rFonts w:ascii="宋体" w:hAnsi="宋体" w:eastAsia="宋体"/>
                <w:sz w:val="16"/>
              </w:rPr>
              <w:t>2024年12月31日，该项目总资金3万元，到位资金3万元，实际执行资金3万元，执行率100%。项目已完成创建2个儿童友好社区、1次“两规划”创建工作宣传培训、1次现场推进会示范引领，儿童友好社区创建工作正常开展率100%，充分激发实施妇女儿童两规划的</w:t>
            </w:r>
            <w:r>
              <w:rPr>
                <w:rFonts w:hint="eastAsia" w:ascii="宋体" w:hAnsi="宋体"/>
                <w:sz w:val="16"/>
                <w:lang w:eastAsia="zh-CN"/>
              </w:rPr>
              <w:t>积极性、主动性、创造性</w:t>
            </w:r>
            <w:r>
              <w:rPr>
                <w:rFonts w:ascii="宋体" w:hAnsi="宋体" w:eastAsia="宋体"/>
                <w:sz w:val="16"/>
              </w:rPr>
              <w:t>，高标准高质量完成“两规划”示范县的创建工作，积极推动我县妇女儿童事业高质量发展的良好局面。</w:t>
            </w:r>
          </w:p>
        </w:tc>
      </w:tr>
      <w:tr w14:paraId="40CEFE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E876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F49B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7C64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C9F2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E664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1165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8264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F74F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4FC7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7EE3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C999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5D6B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5F438">
            <w:pPr>
              <w:jc w:val="center"/>
            </w:pPr>
            <w:r>
              <w:rPr>
                <w:rFonts w:ascii="宋体" w:hAnsi="宋体" w:eastAsia="宋体"/>
                <w:sz w:val="16"/>
              </w:rPr>
              <w:t>偏差原因分析及改进措施</w:t>
            </w:r>
          </w:p>
        </w:tc>
      </w:tr>
      <w:tr w14:paraId="1940D8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EEFDC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A213F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1A69D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76FFD">
            <w:pPr>
              <w:jc w:val="center"/>
            </w:pPr>
            <w:r>
              <w:rPr>
                <w:rFonts w:ascii="宋体" w:hAnsi="宋体" w:eastAsia="宋体"/>
                <w:sz w:val="16"/>
              </w:rPr>
              <w:t>创建儿童友好社区（个）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D043C">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9AB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18C87">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C9FF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26B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25978">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275CE">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52A0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5A965">
            <w:pPr>
              <w:jc w:val="center"/>
            </w:pPr>
          </w:p>
        </w:tc>
      </w:tr>
      <w:tr w14:paraId="156A5C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DDF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C47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CA9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662EB">
            <w:pPr>
              <w:jc w:val="center"/>
            </w:pPr>
            <w:r>
              <w:rPr>
                <w:rFonts w:ascii="宋体" w:hAnsi="宋体" w:eastAsia="宋体"/>
                <w:sz w:val="16"/>
              </w:rPr>
              <w:t>召开“两规划”现场推进会（次）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82BA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82E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E156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1E5C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7871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398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05F3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402A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63528">
            <w:pPr>
              <w:jc w:val="center"/>
            </w:pPr>
          </w:p>
        </w:tc>
      </w:tr>
      <w:tr w14:paraId="124BD3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143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FE3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174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E4F1A">
            <w:pPr>
              <w:jc w:val="center"/>
            </w:pPr>
            <w:r>
              <w:rPr>
                <w:rFonts w:ascii="宋体" w:hAnsi="宋体" w:eastAsia="宋体"/>
                <w:sz w:val="16"/>
              </w:rPr>
              <w:t>开展“两规划”创建工作宣传培训会</w:t>
            </w:r>
            <w:bookmarkStart w:id="0" w:name="_GoBack"/>
            <w:r>
              <w:rPr>
                <w:rFonts w:ascii="宋体" w:hAnsi="宋体" w:eastAsia="宋体"/>
                <w:sz w:val="16"/>
              </w:rPr>
              <w:t>（</w:t>
            </w:r>
            <w:bookmarkEnd w:id="0"/>
            <w:r>
              <w:rPr>
                <w:rFonts w:ascii="宋体" w:hAnsi="宋体" w:eastAsia="宋体"/>
                <w:sz w:val="16"/>
              </w:rPr>
              <w:t>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6E98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A6C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4747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3CC3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C7B9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689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D7F3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CF1E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F5DAC">
            <w:pPr>
              <w:jc w:val="center"/>
            </w:pPr>
          </w:p>
        </w:tc>
      </w:tr>
      <w:tr w14:paraId="3EACD2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9F3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EAC7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22AFA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5B455">
            <w:pPr>
              <w:jc w:val="center"/>
            </w:pPr>
            <w:r>
              <w:rPr>
                <w:rFonts w:ascii="宋体" w:hAnsi="宋体" w:eastAsia="宋体"/>
                <w:sz w:val="16"/>
              </w:rPr>
              <w:t>儿童友好社区创建工作正常开展率（%）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F07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10D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EBF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FE2F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1F1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A0A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634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2CAB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055AF">
            <w:pPr>
              <w:jc w:val="center"/>
            </w:pPr>
          </w:p>
        </w:tc>
      </w:tr>
      <w:tr w14:paraId="717FFA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9E9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34F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139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F47B0">
            <w:pPr>
              <w:jc w:val="center"/>
            </w:pPr>
            <w:r>
              <w:rPr>
                <w:rFonts w:ascii="宋体" w:hAnsi="宋体" w:eastAsia="宋体"/>
                <w:sz w:val="16"/>
              </w:rPr>
              <w:t>“两规划”宣传培训工作正常开展率（%）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5B2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632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AD7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8805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C60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41B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F59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C3AE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F7E78">
            <w:pPr>
              <w:jc w:val="center"/>
            </w:pPr>
          </w:p>
        </w:tc>
      </w:tr>
      <w:tr w14:paraId="7A46E8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137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447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E9D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F0ED4">
            <w:pPr>
              <w:jc w:val="center"/>
            </w:pPr>
            <w:r>
              <w:rPr>
                <w:rFonts w:ascii="宋体" w:hAnsi="宋体" w:eastAsia="宋体"/>
                <w:sz w:val="16"/>
              </w:rPr>
              <w:t>“两规划”现场推进会正常开展率（%）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867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911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81E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492D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B7D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62C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C1A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AEE2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1F6E5">
            <w:pPr>
              <w:jc w:val="center"/>
            </w:pPr>
          </w:p>
        </w:tc>
      </w:tr>
      <w:tr w14:paraId="04A45E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939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D53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587F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FCC87">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73D4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049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9B8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DB0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A1D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936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BE16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F752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F43E8">
            <w:pPr>
              <w:jc w:val="center"/>
            </w:pPr>
          </w:p>
        </w:tc>
      </w:tr>
      <w:tr w14:paraId="50BE71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354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BA45E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D14A0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27661">
            <w:pPr>
              <w:jc w:val="center"/>
            </w:pPr>
            <w:r>
              <w:rPr>
                <w:rFonts w:ascii="宋体" w:hAnsi="宋体" w:eastAsia="宋体"/>
                <w:sz w:val="16"/>
              </w:rPr>
              <w:t>创建儿童友好社区保障支出成本（元/个）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AE759">
            <w:pPr>
              <w:jc w:val="center"/>
            </w:pPr>
            <w:r>
              <w:rPr>
                <w:rFonts w:ascii="宋体" w:hAnsi="宋体" w:eastAsia="宋体"/>
                <w:sz w:val="16"/>
              </w:rPr>
              <w:t>&lt;=5000元/个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85F5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02028">
            <w:pPr>
              <w:jc w:val="center"/>
            </w:pPr>
            <w:r>
              <w:rPr>
                <w:rFonts w:ascii="宋体" w:hAnsi="宋体" w:eastAsia="宋体"/>
                <w:sz w:val="16"/>
              </w:rPr>
              <w:t>=5000元/个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636A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FBE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F89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F7E2A">
            <w:pPr>
              <w:jc w:val="center"/>
            </w:pPr>
            <w:r>
              <w:rPr>
                <w:rFonts w:ascii="宋体" w:hAnsi="宋体" w:eastAsia="宋体"/>
                <w:sz w:val="16"/>
              </w:rPr>
              <w:t>=5000元/个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C77A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4CB55">
            <w:pPr>
              <w:jc w:val="center"/>
            </w:pPr>
          </w:p>
        </w:tc>
      </w:tr>
      <w:tr w14:paraId="06D26B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932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F79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E4A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3EAD1">
            <w:pPr>
              <w:jc w:val="center"/>
            </w:pPr>
            <w:r>
              <w:rPr>
                <w:rFonts w:ascii="宋体" w:hAnsi="宋体" w:eastAsia="宋体"/>
                <w:sz w:val="16"/>
              </w:rPr>
              <w:t>“两规划”创建工作宣传培训保障支出成本（万元/次）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C7A6C">
            <w:pPr>
              <w:jc w:val="center"/>
            </w:pPr>
            <w:r>
              <w:rPr>
                <w:rFonts w:ascii="宋体" w:hAnsi="宋体" w:eastAsia="宋体"/>
                <w:sz w:val="16"/>
              </w:rPr>
              <w:t>&lt;=1.2万元/次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A1E8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BD246">
            <w:pPr>
              <w:jc w:val="center"/>
            </w:pPr>
            <w:r>
              <w:rPr>
                <w:rFonts w:ascii="宋体" w:hAnsi="宋体" w:eastAsia="宋体"/>
                <w:sz w:val="16"/>
              </w:rPr>
              <w:t>=1.2万元/次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59A7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428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FD8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AD0BA">
            <w:pPr>
              <w:jc w:val="center"/>
            </w:pPr>
            <w:r>
              <w:rPr>
                <w:rFonts w:ascii="宋体" w:hAnsi="宋体" w:eastAsia="宋体"/>
                <w:sz w:val="16"/>
              </w:rPr>
              <w:t>=1.2万元/次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9F44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76314">
            <w:pPr>
              <w:jc w:val="center"/>
            </w:pPr>
          </w:p>
        </w:tc>
      </w:tr>
      <w:tr w14:paraId="4BE8E0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70D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95E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CA5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347B3">
            <w:pPr>
              <w:jc w:val="center"/>
            </w:pPr>
            <w:r>
              <w:rPr>
                <w:rFonts w:ascii="宋体" w:hAnsi="宋体" w:eastAsia="宋体"/>
                <w:sz w:val="16"/>
              </w:rPr>
              <w:t>召开“两规划”现场推进会经常支出成本（元/次）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BC340">
            <w:pPr>
              <w:jc w:val="center"/>
            </w:pPr>
            <w:r>
              <w:rPr>
                <w:rFonts w:ascii="宋体" w:hAnsi="宋体" w:eastAsia="宋体"/>
                <w:sz w:val="16"/>
              </w:rPr>
              <w:t>&lt;=8000元/次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E457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BFE6A">
            <w:pPr>
              <w:jc w:val="center"/>
            </w:pPr>
            <w:r>
              <w:rPr>
                <w:rFonts w:ascii="宋体" w:hAnsi="宋体" w:eastAsia="宋体"/>
                <w:sz w:val="16"/>
              </w:rPr>
              <w:t>=8000元/次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2CCE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6EF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CE0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B5B36">
            <w:pPr>
              <w:jc w:val="center"/>
            </w:pPr>
            <w:r>
              <w:rPr>
                <w:rFonts w:ascii="宋体" w:hAnsi="宋体" w:eastAsia="宋体"/>
                <w:sz w:val="16"/>
              </w:rPr>
              <w:t>=8000元/次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686F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B03B7">
            <w:pPr>
              <w:jc w:val="center"/>
            </w:pPr>
          </w:p>
        </w:tc>
      </w:tr>
      <w:tr w14:paraId="0E21C4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F6D7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C5444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46F2B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FAF28">
            <w:pPr>
              <w:jc w:val="center"/>
            </w:pPr>
            <w:r>
              <w:rPr>
                <w:rFonts w:ascii="宋体" w:hAnsi="宋体" w:eastAsia="宋体"/>
                <w:sz w:val="16"/>
              </w:rPr>
              <w:t>儿童友好社区学习成长环境有效改善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B1340">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DB6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9A4F1">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7A10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09F9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FFAE4">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79BB2">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927B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834B7">
            <w:pPr>
              <w:jc w:val="center"/>
            </w:pPr>
          </w:p>
        </w:tc>
      </w:tr>
      <w:tr w14:paraId="5BA404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1B3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F0E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FB5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03234">
            <w:pPr>
              <w:jc w:val="center"/>
            </w:pPr>
            <w:r>
              <w:rPr>
                <w:rFonts w:ascii="宋体" w:hAnsi="宋体" w:eastAsia="宋体"/>
                <w:sz w:val="16"/>
              </w:rPr>
              <w:t>参训人员“两规划”创建工作知晓率（%）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0C6B8">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455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7C688">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5431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54D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B86C7">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A3495">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FFF9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AB8BD">
            <w:pPr>
              <w:jc w:val="center"/>
            </w:pPr>
          </w:p>
        </w:tc>
      </w:tr>
      <w:tr w14:paraId="5B2296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C42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76D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69E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DC0BB">
            <w:pPr>
              <w:jc w:val="center"/>
            </w:pPr>
            <w:r>
              <w:rPr>
                <w:rFonts w:ascii="宋体" w:hAnsi="宋体" w:eastAsia="宋体"/>
                <w:sz w:val="16"/>
              </w:rPr>
              <w:t>提升妇女儿童幸福度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9AAB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905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0C0A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744D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4020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6054C">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E99F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3AB3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9DD1C">
            <w:pPr>
              <w:jc w:val="center"/>
            </w:pPr>
          </w:p>
        </w:tc>
      </w:tr>
      <w:tr w14:paraId="69BE0A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C61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C29C9C">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CA4A4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0C89D">
            <w:pPr>
              <w:jc w:val="center"/>
            </w:pPr>
            <w:r>
              <w:rPr>
                <w:rFonts w:ascii="宋体" w:hAnsi="宋体" w:eastAsia="宋体"/>
                <w:sz w:val="16"/>
              </w:rPr>
              <w:t>受益妇女儿童满意度（%）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5449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081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E9D3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D49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00BE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0110A">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6EA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FBEE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06448">
            <w:pPr>
              <w:jc w:val="center"/>
            </w:pPr>
            <w:r>
              <w:rPr>
                <w:rFonts w:ascii="宋体" w:hAnsi="宋体" w:eastAsia="宋体"/>
                <w:sz w:val="16"/>
              </w:rPr>
              <w:t>偏差原因：项目实施较好，受益妇女儿童对项目基本满意；改进措施：做好年初预算。</w:t>
            </w:r>
          </w:p>
        </w:tc>
      </w:tr>
      <w:tr w14:paraId="6A2D02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D8F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518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BC8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E8FD4">
            <w:pPr>
              <w:jc w:val="center"/>
            </w:pPr>
            <w:r>
              <w:rPr>
                <w:rFonts w:ascii="宋体" w:hAnsi="宋体" w:eastAsia="宋体"/>
                <w:sz w:val="16"/>
              </w:rPr>
              <w:t>受益参会人员满意度（%）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3C5C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52A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1E0B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23B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CFE9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5994A">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7B1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4C7D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8B551">
            <w:pPr>
              <w:jc w:val="center"/>
            </w:pPr>
            <w:r>
              <w:rPr>
                <w:rFonts w:ascii="宋体" w:hAnsi="宋体" w:eastAsia="宋体"/>
                <w:sz w:val="16"/>
              </w:rPr>
              <w:t>偏差原因：项目实施较好，受益参会人员对项目基本满意；改进措施：做好年初预算。</w:t>
            </w:r>
          </w:p>
        </w:tc>
      </w:tr>
      <w:tr w14:paraId="5EB274E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0BFD1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DBA4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5829E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C4DD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6B942B6"/>
        </w:tc>
      </w:tr>
    </w:tbl>
    <w:p w14:paraId="6C7585D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0F6040A">
        <w:tc>
          <w:tcPr>
            <w:tcW w:w="8848" w:type="dxa"/>
            <w:gridSpan w:val="14"/>
            <w:vAlign w:val="center"/>
          </w:tcPr>
          <w:p w14:paraId="0C90F94D">
            <w:pPr>
              <w:jc w:val="center"/>
            </w:pPr>
            <w:r>
              <w:rPr>
                <w:rFonts w:ascii="宋体" w:hAnsi="宋体" w:eastAsia="宋体"/>
                <w:sz w:val="24"/>
              </w:rPr>
              <w:t>项目支出绩效自评表</w:t>
            </w:r>
          </w:p>
        </w:tc>
      </w:tr>
      <w:tr w14:paraId="4C4829E0">
        <w:tblPrEx>
          <w:tblCellMar>
            <w:top w:w="0" w:type="dxa"/>
            <w:left w:w="108" w:type="dxa"/>
            <w:bottom w:w="0" w:type="dxa"/>
            <w:right w:w="108" w:type="dxa"/>
          </w:tblCellMar>
        </w:tblPrEx>
        <w:tc>
          <w:tcPr>
            <w:tcW w:w="8848" w:type="dxa"/>
            <w:gridSpan w:val="14"/>
            <w:vAlign w:val="center"/>
          </w:tcPr>
          <w:p w14:paraId="115B00E7">
            <w:pPr>
              <w:jc w:val="center"/>
            </w:pPr>
            <w:r>
              <w:rPr>
                <w:rFonts w:ascii="宋体" w:hAnsi="宋体" w:eastAsia="宋体"/>
                <w:sz w:val="24"/>
              </w:rPr>
              <w:t>(2024年度)</w:t>
            </w:r>
          </w:p>
        </w:tc>
      </w:tr>
      <w:tr w14:paraId="6C63B5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BF62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97F2327">
            <w:pPr>
              <w:jc w:val="center"/>
            </w:pPr>
            <w:r>
              <w:rPr>
                <w:rFonts w:ascii="宋体" w:hAnsi="宋体" w:eastAsia="宋体"/>
                <w:sz w:val="16"/>
              </w:rPr>
              <w:t>上海援疆项目-叶城县促进各民族交往交流交融（石榴花·巾帼援疆行动）项目</w:t>
            </w:r>
          </w:p>
        </w:tc>
      </w:tr>
      <w:tr w14:paraId="39B568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5BC9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A6B924">
            <w:pPr>
              <w:jc w:val="center"/>
            </w:pPr>
            <w:r>
              <w:rPr>
                <w:rFonts w:ascii="宋体" w:hAnsi="宋体" w:eastAsia="宋体"/>
                <w:sz w:val="16"/>
              </w:rPr>
              <w:t>叶城县妇女联合会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A2A6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C18805">
            <w:pPr>
              <w:jc w:val="center"/>
            </w:pPr>
            <w:r>
              <w:rPr>
                <w:rFonts w:ascii="宋体" w:hAnsi="宋体" w:eastAsia="宋体"/>
                <w:sz w:val="16"/>
              </w:rPr>
              <w:t>叶城县妇女联合会</w:t>
            </w:r>
          </w:p>
        </w:tc>
      </w:tr>
      <w:tr w14:paraId="3E54E7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A8D2D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0118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7725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9AA7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A3AC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41F8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EEE4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533BA">
            <w:pPr>
              <w:jc w:val="center"/>
            </w:pPr>
            <w:r>
              <w:rPr>
                <w:rFonts w:ascii="宋体" w:hAnsi="宋体" w:eastAsia="宋体"/>
                <w:sz w:val="16"/>
              </w:rPr>
              <w:t>得分</w:t>
            </w:r>
          </w:p>
        </w:tc>
      </w:tr>
      <w:tr w14:paraId="3F3809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820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F964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E181E">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9B554">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EC4B2">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4FFD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6DAD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5FC33">
            <w:pPr>
              <w:jc w:val="center"/>
            </w:pPr>
            <w:r>
              <w:rPr>
                <w:rFonts w:ascii="宋体" w:hAnsi="宋体" w:eastAsia="宋体"/>
                <w:sz w:val="16"/>
              </w:rPr>
              <w:t>10.00分</w:t>
            </w:r>
          </w:p>
        </w:tc>
      </w:tr>
      <w:tr w14:paraId="0FF95F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087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F218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379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D87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E2F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AF8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BD29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BD8F7">
            <w:pPr>
              <w:jc w:val="center"/>
            </w:pPr>
            <w:r>
              <w:rPr>
                <w:rFonts w:ascii="宋体" w:hAnsi="宋体" w:eastAsia="宋体"/>
                <w:sz w:val="16"/>
              </w:rPr>
              <w:t>—</w:t>
            </w:r>
          </w:p>
        </w:tc>
      </w:tr>
      <w:tr w14:paraId="77A300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FBE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87A5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FD250">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29CAE">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B7F70">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168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B930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650A2">
            <w:pPr>
              <w:jc w:val="center"/>
            </w:pPr>
            <w:r>
              <w:rPr>
                <w:rFonts w:ascii="宋体" w:hAnsi="宋体" w:eastAsia="宋体"/>
                <w:sz w:val="16"/>
              </w:rPr>
              <w:t>—</w:t>
            </w:r>
          </w:p>
        </w:tc>
      </w:tr>
      <w:tr w14:paraId="5EAC7B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A718A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EC807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F3ED34">
            <w:pPr>
              <w:jc w:val="center"/>
            </w:pPr>
            <w:r>
              <w:rPr>
                <w:rFonts w:ascii="宋体" w:hAnsi="宋体" w:eastAsia="宋体"/>
                <w:sz w:val="16"/>
              </w:rPr>
              <w:t>实际完成情况</w:t>
            </w:r>
          </w:p>
        </w:tc>
      </w:tr>
      <w:tr w14:paraId="6869EA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814A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0F5D32">
            <w:pPr>
              <w:jc w:val="both"/>
            </w:pPr>
            <w:r>
              <w:rPr>
                <w:rFonts w:ascii="宋体" w:hAnsi="宋体" w:eastAsia="宋体"/>
                <w:sz w:val="16"/>
              </w:rPr>
              <w:t>该项目投入资金25万元，用于计划组织一批近三年内叶城县评选出的全国级、自治区级、地区级、县级的5户“最美家庭”（约21人）和1名带队工作人员，赴上海开展为期7天的学习交流活动。参观上海妇女儿童相关设施(上海市巾帼园、宝山区妇女儿童中心、相关街镇妇女之家、居村妇女之家等)，参加上海红色教育基地（一大会址、陈云故居、张闻天故居、宝山淞沪抗战纪念馆、上海解放纪念馆、外滩、东方明珠电视塔等），与上海“最美家庭”进行交流互动等，学习感受上海的经济社会发展变化，促进各族群众交往交流、增进民族团结，全程以爱国、科学、健康、民族团结为主线贯穿全过程。</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A2429E">
            <w:pPr>
              <w:jc w:val="both"/>
            </w:pPr>
            <w:r>
              <w:rPr>
                <w:rFonts w:ascii="宋体" w:hAnsi="宋体" w:eastAsia="宋体"/>
                <w:sz w:val="16"/>
              </w:rPr>
              <w:t>截至2024年12月25日，该项目总资金25万元，到位资金25万元，实际支出合计25万元，执行率100%。项目已完成组织一批近三年内叶城县评选出的全国级、自治区级、地区级、县级的5户“最美家庭”21人和1名带队工作人员，赴上海开展为期7天的学习交流活动。参观上海妇女儿童相关设施(上海市巾帼园、宝山区妇女儿童中心、相关街镇妇女之家、居村妇女之家等)，参加上海红色教育基地（一大会址、陈云故居、张闻天故居、宝山淞沪抗战纪念馆、上海解放纪念馆、外滩、东方明珠电视塔等），与上海“最美家庭”进行交流互动等，学习感受上海的经济社会发展变化，促进各族群众交往交流、增进民族团结，全程以爱国、科学、健康、民族团结为主线贯穿全过程。</w:t>
            </w:r>
          </w:p>
        </w:tc>
      </w:tr>
      <w:tr w14:paraId="4694D3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FF57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B028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8427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EB3A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1816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93AC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5496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826C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E8CC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44C7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4F69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36BB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0ADED">
            <w:pPr>
              <w:jc w:val="center"/>
            </w:pPr>
            <w:r>
              <w:rPr>
                <w:rFonts w:ascii="宋体" w:hAnsi="宋体" w:eastAsia="宋体"/>
                <w:sz w:val="16"/>
              </w:rPr>
              <w:t>偏差原因分析及改进措施</w:t>
            </w:r>
          </w:p>
        </w:tc>
      </w:tr>
      <w:tr w14:paraId="7ABECE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B499C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A2710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D3CCD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757FE">
            <w:pPr>
              <w:jc w:val="center"/>
            </w:pPr>
            <w:r>
              <w:rPr>
                <w:rFonts w:ascii="宋体" w:hAnsi="宋体" w:eastAsia="宋体"/>
                <w:sz w:val="16"/>
              </w:rPr>
              <w:t>组织活动次数（次）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55F1D">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331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1EA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095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A3C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2A9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5B886">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99D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A9332">
            <w:pPr>
              <w:jc w:val="center"/>
            </w:pPr>
          </w:p>
        </w:tc>
      </w:tr>
      <w:tr w14:paraId="7DD014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734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DC6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924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2FB69">
            <w:pPr>
              <w:jc w:val="center"/>
            </w:pPr>
            <w:r>
              <w:rPr>
                <w:rFonts w:ascii="宋体" w:hAnsi="宋体" w:eastAsia="宋体"/>
                <w:sz w:val="16"/>
              </w:rPr>
              <w:t>最美家庭赴上海交流人数（人）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9BCF9">
            <w:pPr>
              <w:jc w:val="center"/>
            </w:pPr>
            <w:r>
              <w:rPr>
                <w:rFonts w:ascii="宋体" w:hAnsi="宋体" w:eastAsia="宋体"/>
                <w:sz w:val="16"/>
              </w:rPr>
              <w:t>=22人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C91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8D8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2C5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F10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9B8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47953">
            <w:pPr>
              <w:jc w:val="center"/>
            </w:pPr>
            <w:r>
              <w:rPr>
                <w:rFonts w:ascii="宋体" w:hAnsi="宋体" w:eastAsia="宋体"/>
                <w:sz w:val="16"/>
              </w:rPr>
              <w:t>=22人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0D7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C4D7E">
            <w:pPr>
              <w:jc w:val="center"/>
            </w:pPr>
          </w:p>
        </w:tc>
      </w:tr>
      <w:tr w14:paraId="610ECF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178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455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2B44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9AF6D">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506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A39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DF2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670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DD4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102E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572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F13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29037">
            <w:pPr>
              <w:jc w:val="center"/>
            </w:pPr>
          </w:p>
        </w:tc>
      </w:tr>
      <w:tr w14:paraId="4F5C05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AF8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0EF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E58F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3FF2A">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D285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4BB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EA2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98A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021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74D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5A18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BD7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45392">
            <w:pPr>
              <w:jc w:val="center"/>
            </w:pPr>
          </w:p>
        </w:tc>
      </w:tr>
      <w:tr w14:paraId="6D037F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076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8081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8521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BAF89">
            <w:pPr>
              <w:jc w:val="center"/>
            </w:pPr>
            <w:r>
              <w:rPr>
                <w:rFonts w:ascii="宋体" w:hAnsi="宋体" w:eastAsia="宋体"/>
                <w:sz w:val="16"/>
              </w:rPr>
              <w:t>项目总资金（万元）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F5FD1">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A6AE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EC4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5B02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67F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0A0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6E146">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09CC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82AAE">
            <w:pPr>
              <w:jc w:val="center"/>
            </w:pPr>
          </w:p>
        </w:tc>
      </w:tr>
      <w:tr w14:paraId="1EDB67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39C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0375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7BEC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05977">
            <w:pPr>
              <w:jc w:val="center"/>
            </w:pPr>
            <w:r>
              <w:rPr>
                <w:rFonts w:ascii="宋体" w:hAnsi="宋体" w:eastAsia="宋体"/>
                <w:sz w:val="16"/>
              </w:rPr>
              <w:t>促进各族群众交往交流、增进民族团结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64977">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EC1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A57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FAA5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FAD9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FCE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8D924">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3CFE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5C47D">
            <w:pPr>
              <w:jc w:val="center"/>
            </w:pPr>
          </w:p>
        </w:tc>
      </w:tr>
      <w:tr w14:paraId="57EBB4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635C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C2A7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7266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B492E">
            <w:pPr>
              <w:jc w:val="center"/>
            </w:pPr>
            <w:r>
              <w:rPr>
                <w:rFonts w:ascii="宋体" w:hAnsi="宋体" w:eastAsia="宋体"/>
                <w:sz w:val="16"/>
              </w:rPr>
              <w:t>受益家庭满意度（%）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959C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A3B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856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593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F15A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55A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87D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093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56996">
            <w:pPr>
              <w:jc w:val="center"/>
            </w:pPr>
            <w:r>
              <w:rPr>
                <w:rFonts w:ascii="宋体" w:hAnsi="宋体" w:eastAsia="宋体"/>
                <w:sz w:val="16"/>
              </w:rPr>
              <w:t>偏差原因：受益家庭对项目实施比较满意，故产生偏差；改进措施：做好年初预算</w:t>
            </w:r>
          </w:p>
        </w:tc>
      </w:tr>
      <w:tr w14:paraId="34C33CB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983D7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190C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CF59D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09FA6">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289D6C3"/>
        </w:tc>
      </w:tr>
    </w:tbl>
    <w:p w14:paraId="15AA292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0B72DD1">
        <w:tblPrEx>
          <w:tblCellMar>
            <w:top w:w="0" w:type="dxa"/>
            <w:left w:w="108" w:type="dxa"/>
            <w:bottom w:w="0" w:type="dxa"/>
            <w:right w:w="108" w:type="dxa"/>
          </w:tblCellMar>
        </w:tblPrEx>
        <w:tc>
          <w:tcPr>
            <w:tcW w:w="8848" w:type="dxa"/>
            <w:gridSpan w:val="14"/>
            <w:vAlign w:val="center"/>
          </w:tcPr>
          <w:p w14:paraId="5BCB1CC1">
            <w:pPr>
              <w:jc w:val="center"/>
            </w:pPr>
            <w:r>
              <w:rPr>
                <w:rFonts w:ascii="宋体" w:hAnsi="宋体" w:eastAsia="宋体"/>
                <w:sz w:val="24"/>
              </w:rPr>
              <w:t>项目支出绩效自评表</w:t>
            </w:r>
          </w:p>
        </w:tc>
      </w:tr>
      <w:tr w14:paraId="7FC33AAC">
        <w:tblPrEx>
          <w:tblCellMar>
            <w:top w:w="0" w:type="dxa"/>
            <w:left w:w="108" w:type="dxa"/>
            <w:bottom w:w="0" w:type="dxa"/>
            <w:right w:w="108" w:type="dxa"/>
          </w:tblCellMar>
        </w:tblPrEx>
        <w:tc>
          <w:tcPr>
            <w:tcW w:w="8848" w:type="dxa"/>
            <w:gridSpan w:val="14"/>
            <w:vAlign w:val="center"/>
          </w:tcPr>
          <w:p w14:paraId="41BCF3FE">
            <w:pPr>
              <w:jc w:val="center"/>
            </w:pPr>
            <w:r>
              <w:rPr>
                <w:rFonts w:ascii="宋体" w:hAnsi="宋体" w:eastAsia="宋体"/>
                <w:sz w:val="24"/>
              </w:rPr>
              <w:t>(2024年度)</w:t>
            </w:r>
          </w:p>
        </w:tc>
      </w:tr>
      <w:tr w14:paraId="6754DD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D6E0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9FF8D25">
            <w:pPr>
              <w:jc w:val="center"/>
            </w:pPr>
            <w:r>
              <w:rPr>
                <w:rFonts w:ascii="宋体" w:hAnsi="宋体" w:eastAsia="宋体"/>
                <w:sz w:val="16"/>
              </w:rPr>
              <w:t>叶城县第十二次妇女代表大会经费</w:t>
            </w:r>
          </w:p>
        </w:tc>
      </w:tr>
      <w:tr w14:paraId="367DE6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EE0A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D2C383">
            <w:pPr>
              <w:jc w:val="center"/>
            </w:pPr>
            <w:r>
              <w:rPr>
                <w:rFonts w:ascii="宋体" w:hAnsi="宋体" w:eastAsia="宋体"/>
                <w:sz w:val="16"/>
              </w:rPr>
              <w:t>叶城县妇女联合会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6EDC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83CC0B">
            <w:pPr>
              <w:jc w:val="center"/>
            </w:pPr>
            <w:r>
              <w:rPr>
                <w:rFonts w:ascii="宋体" w:hAnsi="宋体" w:eastAsia="宋体"/>
                <w:sz w:val="16"/>
              </w:rPr>
              <w:t>叶城县妇女联合会</w:t>
            </w:r>
          </w:p>
        </w:tc>
      </w:tr>
      <w:tr w14:paraId="029E55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85B79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3E45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EDAE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2282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FD79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13AD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CA41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9F4EC">
            <w:pPr>
              <w:jc w:val="center"/>
            </w:pPr>
            <w:r>
              <w:rPr>
                <w:rFonts w:ascii="宋体" w:hAnsi="宋体" w:eastAsia="宋体"/>
                <w:sz w:val="16"/>
              </w:rPr>
              <w:t>得分</w:t>
            </w:r>
          </w:p>
        </w:tc>
      </w:tr>
      <w:tr w14:paraId="2A72E2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DA3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338B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B4749">
            <w:pPr>
              <w:jc w:val="center"/>
            </w:pPr>
            <w:r>
              <w:rPr>
                <w:rFonts w:ascii="宋体" w:hAnsi="宋体" w:eastAsia="宋体"/>
                <w:sz w:val="16"/>
              </w:rPr>
              <w:t>0.81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342B3">
            <w:pPr>
              <w:jc w:val="center"/>
            </w:pPr>
            <w:r>
              <w:rPr>
                <w:rFonts w:ascii="宋体" w:hAnsi="宋体" w:eastAsia="宋体"/>
                <w:sz w:val="16"/>
              </w:rPr>
              <w:t>0.81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C5A88">
            <w:pPr>
              <w:jc w:val="center"/>
            </w:pPr>
            <w:r>
              <w:rPr>
                <w:rFonts w:ascii="宋体" w:hAnsi="宋体" w:eastAsia="宋体"/>
                <w:sz w:val="16"/>
              </w:rPr>
              <w:t>0.81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C52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D265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65327">
            <w:pPr>
              <w:jc w:val="center"/>
            </w:pPr>
            <w:r>
              <w:rPr>
                <w:rFonts w:ascii="宋体" w:hAnsi="宋体" w:eastAsia="宋体"/>
                <w:sz w:val="16"/>
              </w:rPr>
              <w:t>10.00分</w:t>
            </w:r>
          </w:p>
        </w:tc>
      </w:tr>
      <w:tr w14:paraId="564EF0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985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4881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3563A">
            <w:pPr>
              <w:jc w:val="center"/>
            </w:pPr>
            <w:r>
              <w:rPr>
                <w:rFonts w:ascii="宋体" w:hAnsi="宋体" w:eastAsia="宋体"/>
                <w:sz w:val="16"/>
              </w:rPr>
              <w:t>0.81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96255">
            <w:pPr>
              <w:jc w:val="center"/>
            </w:pPr>
            <w:r>
              <w:rPr>
                <w:rFonts w:ascii="宋体" w:hAnsi="宋体" w:eastAsia="宋体"/>
                <w:sz w:val="16"/>
              </w:rPr>
              <w:t>0.81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B0F8B">
            <w:pPr>
              <w:jc w:val="center"/>
            </w:pPr>
            <w:r>
              <w:rPr>
                <w:rFonts w:ascii="宋体" w:hAnsi="宋体" w:eastAsia="宋体"/>
                <w:sz w:val="16"/>
              </w:rPr>
              <w:t>0.81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6EA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37D7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2B02E">
            <w:pPr>
              <w:jc w:val="center"/>
            </w:pPr>
            <w:r>
              <w:rPr>
                <w:rFonts w:ascii="宋体" w:hAnsi="宋体" w:eastAsia="宋体"/>
                <w:sz w:val="16"/>
              </w:rPr>
              <w:t>—</w:t>
            </w:r>
          </w:p>
        </w:tc>
      </w:tr>
      <w:tr w14:paraId="0042AD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255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0FE1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C5D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692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D34A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56A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A715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1179F">
            <w:pPr>
              <w:jc w:val="center"/>
            </w:pPr>
            <w:r>
              <w:rPr>
                <w:rFonts w:ascii="宋体" w:hAnsi="宋体" w:eastAsia="宋体"/>
                <w:sz w:val="16"/>
              </w:rPr>
              <w:t>—</w:t>
            </w:r>
          </w:p>
        </w:tc>
      </w:tr>
      <w:tr w14:paraId="3B6822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66B4A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1616B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187C9C">
            <w:pPr>
              <w:jc w:val="center"/>
            </w:pPr>
            <w:r>
              <w:rPr>
                <w:rFonts w:ascii="宋体" w:hAnsi="宋体" w:eastAsia="宋体"/>
                <w:sz w:val="16"/>
              </w:rPr>
              <w:t>实际完成情况</w:t>
            </w:r>
          </w:p>
        </w:tc>
      </w:tr>
      <w:tr w14:paraId="26954E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E26A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03A173">
            <w:pPr>
              <w:jc w:val="both"/>
            </w:pPr>
            <w:r>
              <w:rPr>
                <w:rFonts w:ascii="宋体" w:hAnsi="宋体" w:eastAsia="宋体"/>
                <w:sz w:val="16"/>
              </w:rPr>
              <w:t>该项目总投入资金0.81万元，主要用于代表大会代表证、大会资料，文件袋等，通过项目的实施积极推动我县妇女儿童事业高质量发展的良好局面。</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DBBD13">
            <w:pPr>
              <w:jc w:val="both"/>
            </w:pPr>
            <w:r>
              <w:rPr>
                <w:rFonts w:ascii="宋体" w:hAnsi="宋体" w:eastAsia="宋体"/>
                <w:sz w:val="16"/>
              </w:rPr>
              <w:t>截至2024年12月31日，该项目总资金0.81万元，实际执行资金0.81万元，执行率100%。已完成采购代表大会代表证、大会资料，文件袋等，通过项目的实施积极推动我县妇女儿童事业高质量发展的良好局面。</w:t>
            </w:r>
          </w:p>
        </w:tc>
      </w:tr>
      <w:tr w14:paraId="20F65A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690C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2B9E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99EE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73E6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697F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56D3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3D0B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1054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FF3B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9C1C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98D1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B32A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328F7">
            <w:pPr>
              <w:jc w:val="center"/>
            </w:pPr>
            <w:r>
              <w:rPr>
                <w:rFonts w:ascii="宋体" w:hAnsi="宋体" w:eastAsia="宋体"/>
                <w:sz w:val="16"/>
              </w:rPr>
              <w:t>偏差原因分析及改进措施</w:t>
            </w:r>
          </w:p>
        </w:tc>
      </w:tr>
      <w:tr w14:paraId="36E8E6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BCFAE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A4797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7863E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F19BB">
            <w:pPr>
              <w:jc w:val="center"/>
            </w:pPr>
            <w:r>
              <w:rPr>
                <w:rFonts w:ascii="宋体" w:hAnsi="宋体" w:eastAsia="宋体"/>
                <w:sz w:val="16"/>
              </w:rPr>
              <w:t>采购办公用品数量（个）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416C3">
            <w:pPr>
              <w:jc w:val="center"/>
            </w:pPr>
            <w:r>
              <w:rPr>
                <w:rFonts w:ascii="宋体" w:hAnsi="宋体" w:eastAsia="宋体"/>
                <w:sz w:val="16"/>
              </w:rPr>
              <w:t>&gt;=180个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2DD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FA7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7B5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887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F17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E50E7">
            <w:pPr>
              <w:jc w:val="center"/>
            </w:pPr>
            <w:r>
              <w:rPr>
                <w:rFonts w:ascii="宋体" w:hAnsi="宋体" w:eastAsia="宋体"/>
                <w:sz w:val="16"/>
              </w:rPr>
              <w:t>=180个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76A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3B107">
            <w:pPr>
              <w:jc w:val="center"/>
            </w:pPr>
          </w:p>
        </w:tc>
      </w:tr>
      <w:tr w14:paraId="1CB9B9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1D2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B12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441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AF521">
            <w:pPr>
              <w:jc w:val="center"/>
            </w:pPr>
            <w:r>
              <w:rPr>
                <w:rFonts w:ascii="宋体" w:hAnsi="宋体" w:eastAsia="宋体"/>
                <w:sz w:val="16"/>
              </w:rPr>
              <w:t>广告宣传印刷册数（册）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BC449">
            <w:pPr>
              <w:jc w:val="center"/>
            </w:pPr>
            <w:r>
              <w:rPr>
                <w:rFonts w:ascii="宋体" w:hAnsi="宋体" w:eastAsia="宋体"/>
                <w:sz w:val="16"/>
              </w:rPr>
              <w:t>&gt;=180册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2A1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419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344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2D3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0A5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516AE">
            <w:pPr>
              <w:jc w:val="center"/>
            </w:pPr>
            <w:r>
              <w:rPr>
                <w:rFonts w:ascii="宋体" w:hAnsi="宋体" w:eastAsia="宋体"/>
                <w:sz w:val="16"/>
              </w:rPr>
              <w:t>=180册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31F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F7A28">
            <w:pPr>
              <w:jc w:val="center"/>
            </w:pPr>
          </w:p>
        </w:tc>
      </w:tr>
      <w:tr w14:paraId="619AE2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206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9A1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D9C8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DD8A9">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911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26E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E89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F88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0B4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BBE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851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370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BB082">
            <w:pPr>
              <w:jc w:val="center"/>
            </w:pPr>
          </w:p>
        </w:tc>
      </w:tr>
      <w:tr w14:paraId="6BE352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3F7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987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B8A6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F8401">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E91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EC9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50D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C53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8F0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023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F77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63E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BFA6E">
            <w:pPr>
              <w:jc w:val="center"/>
            </w:pPr>
          </w:p>
        </w:tc>
      </w:tr>
      <w:tr w14:paraId="0FE655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952C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A1A9C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483BD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F0C29">
            <w:pPr>
              <w:jc w:val="center"/>
            </w:pPr>
            <w:r>
              <w:rPr>
                <w:rFonts w:ascii="宋体" w:hAnsi="宋体" w:eastAsia="宋体"/>
                <w:sz w:val="16"/>
              </w:rPr>
              <w:t>采购办公用品经费（万元）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99978">
            <w:pPr>
              <w:jc w:val="center"/>
            </w:pPr>
            <w:r>
              <w:rPr>
                <w:rFonts w:ascii="宋体" w:hAnsi="宋体" w:eastAsia="宋体"/>
                <w:sz w:val="16"/>
              </w:rPr>
              <w:t>&lt;=0.38万元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B438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EC5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C82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E2F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E476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31429">
            <w:pPr>
              <w:jc w:val="center"/>
            </w:pPr>
            <w:r>
              <w:rPr>
                <w:rFonts w:ascii="宋体" w:hAnsi="宋体" w:eastAsia="宋体"/>
                <w:sz w:val="16"/>
              </w:rPr>
              <w:t>=0.38万元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EA6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75312">
            <w:pPr>
              <w:jc w:val="center"/>
            </w:pPr>
          </w:p>
        </w:tc>
      </w:tr>
      <w:tr w14:paraId="74B7CD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050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A11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EC4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22B79">
            <w:pPr>
              <w:jc w:val="center"/>
            </w:pPr>
            <w:r>
              <w:rPr>
                <w:rFonts w:ascii="宋体" w:hAnsi="宋体" w:eastAsia="宋体"/>
                <w:sz w:val="16"/>
              </w:rPr>
              <w:t>广告宣传印刷经费（万元）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44B67">
            <w:pPr>
              <w:jc w:val="center"/>
            </w:pPr>
            <w:r>
              <w:rPr>
                <w:rFonts w:ascii="宋体" w:hAnsi="宋体" w:eastAsia="宋体"/>
                <w:sz w:val="16"/>
              </w:rPr>
              <w:t>&lt;=0.43万元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4209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F48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0F4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AB6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E2C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656C4">
            <w:pPr>
              <w:jc w:val="center"/>
            </w:pPr>
            <w:r>
              <w:rPr>
                <w:rFonts w:ascii="宋体" w:hAnsi="宋体" w:eastAsia="宋体"/>
                <w:sz w:val="16"/>
              </w:rPr>
              <w:t>=0.43万元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DA0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D15A5">
            <w:pPr>
              <w:jc w:val="center"/>
            </w:pPr>
          </w:p>
        </w:tc>
      </w:tr>
      <w:tr w14:paraId="45E8EB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82C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0F25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34B1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4437F">
            <w:pPr>
              <w:jc w:val="center"/>
            </w:pPr>
            <w:r>
              <w:rPr>
                <w:rFonts w:ascii="宋体" w:hAnsi="宋体" w:eastAsia="宋体"/>
                <w:sz w:val="16"/>
              </w:rPr>
              <w:t>推动我县妇女儿童事业高质量发展的良好局面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CC32A">
            <w:pPr>
              <w:jc w:val="center"/>
            </w:pPr>
            <w:r>
              <w:rPr>
                <w:rFonts w:ascii="宋体" w:hAnsi="宋体" w:eastAsia="宋体"/>
                <w:sz w:val="16"/>
              </w:rPr>
              <w:t>积极推动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8D4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DA2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CAF0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201D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A47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6B71F">
            <w:pPr>
              <w:jc w:val="center"/>
            </w:pPr>
            <w:r>
              <w:rPr>
                <w:rFonts w:ascii="宋体" w:hAnsi="宋体" w:eastAsia="宋体"/>
                <w:sz w:val="16"/>
              </w:rPr>
              <w:t>积极推动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2E0A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2C7FE">
            <w:pPr>
              <w:jc w:val="center"/>
            </w:pPr>
          </w:p>
        </w:tc>
      </w:tr>
      <w:tr w14:paraId="39F46F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4AE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77A6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1032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FAA1F">
            <w:pPr>
              <w:jc w:val="center"/>
            </w:pPr>
            <w:r>
              <w:rPr>
                <w:rFonts w:ascii="宋体" w:hAnsi="宋体" w:eastAsia="宋体"/>
                <w:sz w:val="16"/>
              </w:rPr>
              <w:t>受益广大妇女群众满意度（%）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85B9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74E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C3D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0B5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23A5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6248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0ED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C4A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DA6A6">
            <w:pPr>
              <w:jc w:val="center"/>
            </w:pPr>
            <w:r>
              <w:rPr>
                <w:rFonts w:ascii="宋体" w:hAnsi="宋体" w:eastAsia="宋体"/>
                <w:sz w:val="16"/>
              </w:rPr>
              <w:t>偏差原因：该项目实施比较好，受益广大妇女群众基本满意。改进措施：做好年初预算。</w:t>
            </w:r>
          </w:p>
        </w:tc>
      </w:tr>
      <w:tr w14:paraId="7787B51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4D537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366C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B4B35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906A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7E837E7"/>
        </w:tc>
      </w:tr>
    </w:tbl>
    <w:p w14:paraId="3AB5EB07">
      <w:r>
        <w:br w:type="page"/>
      </w:r>
    </w:p>
    <w:p w14:paraId="1059DA59">
      <w:pPr>
        <w:spacing w:line="640" w:lineRule="exact"/>
        <w:ind w:firstLine="640"/>
        <w:jc w:val="both"/>
        <w:outlineLvl w:val="2"/>
      </w:pPr>
      <w:r>
        <w:rPr>
          <w:rFonts w:ascii="黑体" w:hAnsi="黑体" w:eastAsia="黑体"/>
          <w:sz w:val="32"/>
        </w:rPr>
        <w:t>十二、其他需说明的事项</w:t>
      </w:r>
    </w:p>
    <w:p w14:paraId="6F4969C3">
      <w:pPr>
        <w:spacing w:line="580" w:lineRule="exact"/>
        <w:ind w:firstLine="640"/>
        <w:jc w:val="both"/>
      </w:pPr>
      <w:r>
        <w:rPr>
          <w:rFonts w:ascii="仿宋_GB2312" w:hAnsi="仿宋_GB2312" w:eastAsia="仿宋_GB2312"/>
          <w:b w:val="0"/>
          <w:sz w:val="32"/>
        </w:rPr>
        <w:t>本单位无其他需说明的事项。</w:t>
      </w:r>
    </w:p>
    <w:p w14:paraId="5CC5F983">
      <w:r>
        <w:br w:type="page"/>
      </w:r>
    </w:p>
    <w:p w14:paraId="608546CA">
      <w:pPr>
        <w:spacing w:line="240" w:lineRule="auto"/>
        <w:jc w:val="center"/>
        <w:outlineLvl w:val="1"/>
      </w:pPr>
      <w:r>
        <w:rPr>
          <w:rFonts w:ascii="黑体" w:hAnsi="黑体" w:eastAsia="黑体"/>
          <w:sz w:val="32"/>
        </w:rPr>
        <w:t>第三部分 专业名词解释</w:t>
      </w:r>
    </w:p>
    <w:p w14:paraId="7E51DAE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7010BE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BB6A68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920878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14751B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9766C2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4E22EB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709DC4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EE7ABD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11D65E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9D5B82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58F518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48E00E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D06619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E465453">
      <w:r>
        <w:br w:type="page"/>
      </w:r>
    </w:p>
    <w:p w14:paraId="137B5ECD">
      <w:pPr>
        <w:spacing w:line="240" w:lineRule="auto"/>
        <w:jc w:val="center"/>
        <w:outlineLvl w:val="1"/>
      </w:pPr>
      <w:r>
        <w:rPr>
          <w:rFonts w:ascii="黑体" w:hAnsi="黑体" w:eastAsia="黑体"/>
          <w:sz w:val="32"/>
        </w:rPr>
        <w:t>第四部分 部门决算报表（见附表）</w:t>
      </w:r>
    </w:p>
    <w:p w14:paraId="4C9038D1">
      <w:pPr>
        <w:spacing w:line="240" w:lineRule="auto"/>
        <w:ind w:firstLine="640"/>
        <w:jc w:val="both"/>
      </w:pPr>
      <w:r>
        <w:rPr>
          <w:rFonts w:ascii="仿宋_GB2312" w:hAnsi="仿宋_GB2312" w:eastAsia="仿宋_GB2312"/>
          <w:b w:val="0"/>
          <w:sz w:val="32"/>
        </w:rPr>
        <w:t>一、《收入支出决算总表》</w:t>
      </w:r>
    </w:p>
    <w:p w14:paraId="1907C43F">
      <w:pPr>
        <w:spacing w:line="240" w:lineRule="auto"/>
        <w:ind w:firstLine="640"/>
        <w:jc w:val="both"/>
      </w:pPr>
      <w:r>
        <w:rPr>
          <w:rFonts w:ascii="仿宋_GB2312" w:hAnsi="仿宋_GB2312" w:eastAsia="仿宋_GB2312"/>
          <w:b w:val="0"/>
          <w:sz w:val="32"/>
        </w:rPr>
        <w:t>二、《收入决算表》</w:t>
      </w:r>
    </w:p>
    <w:p w14:paraId="52F3A230">
      <w:pPr>
        <w:spacing w:line="240" w:lineRule="auto"/>
        <w:ind w:firstLine="640"/>
        <w:jc w:val="both"/>
      </w:pPr>
      <w:r>
        <w:rPr>
          <w:rFonts w:ascii="仿宋_GB2312" w:hAnsi="仿宋_GB2312" w:eastAsia="仿宋_GB2312"/>
          <w:b w:val="0"/>
          <w:sz w:val="32"/>
        </w:rPr>
        <w:t>三、《支出决算表》</w:t>
      </w:r>
    </w:p>
    <w:p w14:paraId="57DC60D4">
      <w:pPr>
        <w:spacing w:line="240" w:lineRule="auto"/>
        <w:ind w:firstLine="640"/>
        <w:jc w:val="both"/>
      </w:pPr>
      <w:r>
        <w:rPr>
          <w:rFonts w:ascii="仿宋_GB2312" w:hAnsi="仿宋_GB2312" w:eastAsia="仿宋_GB2312"/>
          <w:b w:val="0"/>
          <w:sz w:val="32"/>
        </w:rPr>
        <w:t>四、《财政拨款收入支出决算总表》</w:t>
      </w:r>
    </w:p>
    <w:p w14:paraId="2773C362">
      <w:pPr>
        <w:spacing w:line="240" w:lineRule="auto"/>
        <w:ind w:firstLine="640"/>
        <w:jc w:val="both"/>
      </w:pPr>
      <w:r>
        <w:rPr>
          <w:rFonts w:ascii="仿宋_GB2312" w:hAnsi="仿宋_GB2312" w:eastAsia="仿宋_GB2312"/>
          <w:b w:val="0"/>
          <w:sz w:val="32"/>
        </w:rPr>
        <w:t>五、《一般公共预算财政拨款支出决算表》</w:t>
      </w:r>
    </w:p>
    <w:p w14:paraId="52CA6AC7">
      <w:pPr>
        <w:spacing w:line="240" w:lineRule="auto"/>
        <w:ind w:firstLine="640"/>
        <w:jc w:val="both"/>
      </w:pPr>
      <w:r>
        <w:rPr>
          <w:rFonts w:ascii="仿宋_GB2312" w:hAnsi="仿宋_GB2312" w:eastAsia="仿宋_GB2312"/>
          <w:b w:val="0"/>
          <w:sz w:val="32"/>
        </w:rPr>
        <w:t>六、《一般公共预算财政拨款基本支出决算表》</w:t>
      </w:r>
    </w:p>
    <w:p w14:paraId="19DB8F1C">
      <w:pPr>
        <w:spacing w:line="240" w:lineRule="auto"/>
        <w:ind w:firstLine="640"/>
        <w:jc w:val="both"/>
      </w:pPr>
      <w:r>
        <w:rPr>
          <w:rFonts w:ascii="仿宋_GB2312" w:hAnsi="仿宋_GB2312" w:eastAsia="仿宋_GB2312"/>
          <w:b w:val="0"/>
          <w:sz w:val="32"/>
        </w:rPr>
        <w:t>七、《政府性基金预算财政拨款收入支出决算表》</w:t>
      </w:r>
    </w:p>
    <w:p w14:paraId="34D273FB">
      <w:pPr>
        <w:spacing w:line="240" w:lineRule="auto"/>
        <w:ind w:firstLine="640"/>
        <w:jc w:val="both"/>
      </w:pPr>
      <w:r>
        <w:rPr>
          <w:rFonts w:ascii="仿宋_GB2312" w:hAnsi="仿宋_GB2312" w:eastAsia="仿宋_GB2312"/>
          <w:b w:val="0"/>
          <w:sz w:val="32"/>
        </w:rPr>
        <w:t>八、《国有资本经营预算财政拨款收入支出决算表》</w:t>
      </w:r>
    </w:p>
    <w:p w14:paraId="0690675E">
      <w:pPr>
        <w:spacing w:line="240" w:lineRule="auto"/>
        <w:ind w:firstLine="640"/>
        <w:jc w:val="both"/>
      </w:pPr>
      <w:r>
        <w:rPr>
          <w:rFonts w:ascii="仿宋_GB2312" w:hAnsi="仿宋_GB2312" w:eastAsia="仿宋_GB2312"/>
          <w:b w:val="0"/>
          <w:sz w:val="32"/>
        </w:rPr>
        <w:t>九、《财政拨款“三公”经费支出决算表》</w:t>
      </w:r>
    </w:p>
    <w:p w14:paraId="1A2DA475">
      <w:pPr>
        <w:spacing w:line="240" w:lineRule="auto"/>
        <w:ind w:firstLine="640"/>
        <w:jc w:val="both"/>
      </w:pPr>
    </w:p>
    <w:p w14:paraId="5A9C2C03">
      <w:pPr>
        <w:spacing w:line="240" w:lineRule="auto"/>
        <w:ind w:firstLine="640"/>
        <w:jc w:val="both"/>
      </w:pPr>
    </w:p>
    <w:p w14:paraId="2CEB7B38">
      <w:pPr>
        <w:spacing w:line="240" w:lineRule="auto"/>
        <w:ind w:firstLine="640"/>
        <w:jc w:val="both"/>
      </w:pPr>
    </w:p>
    <w:p w14:paraId="79BA43D5">
      <w:pPr>
        <w:spacing w:line="240" w:lineRule="auto"/>
        <w:ind w:firstLine="640"/>
        <w:jc w:val="both"/>
      </w:pPr>
    </w:p>
    <w:p w14:paraId="4679E83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9"/>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562A66"/>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BEB66E4"/>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6208</Words>
  <Characters>7020</Characters>
  <Lines>0</Lines>
  <Paragraphs>0</Paragraphs>
  <TotalTime>11</TotalTime>
  <ScaleCrop>false</ScaleCrop>
  <LinksUpToDate>false</LinksUpToDate>
  <CharactersWithSpaces>7028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2025-09-30T03:07:27Z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eyJoZGlkIjoiNjg0OWE4YjI3YjAxN2QwYzY1NGYyMjc5MDIwNzJhMTUiLCJ1c2VySWQiOiI0NDQ5NDYzNjEifQ==</vt:lpwstr>
  </property>
</Properties>
</file>