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叶城县审计局2024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74F767C">
      <w:r>
        <w:br w:type="page"/>
      </w:r>
    </w:p>
    <w:p w14:paraId="33F54332">
      <w:pPr>
        <w:spacing w:line="640" w:lineRule="exact"/>
        <w:jc w:val="center"/>
        <w:outlineLvl w:val="1"/>
      </w:pPr>
      <w:r>
        <w:rPr>
          <w:rFonts w:ascii="黑体" w:hAnsi="黑体" w:eastAsia="黑体"/>
          <w:sz w:val="32"/>
        </w:rPr>
        <w:t>第一部分 单位概况</w:t>
      </w:r>
    </w:p>
    <w:p w14:paraId="2A227FA4">
      <w:pPr>
        <w:spacing w:line="640" w:lineRule="exact"/>
        <w:ind w:firstLine="640"/>
        <w:jc w:val="both"/>
        <w:outlineLvl w:val="2"/>
      </w:pPr>
      <w:r>
        <w:rPr>
          <w:rFonts w:ascii="黑体" w:hAnsi="黑体" w:eastAsia="黑体"/>
          <w:sz w:val="32"/>
        </w:rPr>
        <w:t>一、主要职能</w:t>
      </w:r>
    </w:p>
    <w:p w14:paraId="4CDF4D99">
      <w:pPr>
        <w:spacing w:line="580" w:lineRule="exact"/>
        <w:ind w:firstLine="640"/>
        <w:jc w:val="both"/>
      </w:pPr>
      <w:r>
        <w:rPr>
          <w:rFonts w:ascii="仿宋_GB2312" w:hAnsi="仿宋_GB2312" w:eastAsia="仿宋_GB2312"/>
          <w:sz w:val="32"/>
        </w:rPr>
        <w:t>贯彻落实党中央、自治区党委、地区关于审计工作的方针政策和决策部署以及县委、县政府工作要求，在履行职责过程中坚持和加强党对审计工作的集中统一领导，主要职责是：主管全县审计工作。负责对全县财政收支和法律法规规定属于审计监督范围的财务收支的真实、合法和效益进行审计监督，对公共资金、国有资产、国有资源和领导干部履行经济责任情况实行审计全覆盖，对领导干部实行自然资源资产离任审计，对国家有关重大政策措施贯彻落实情况进行审计。对审计、专项审计调查和核查社会审计机构相关审计报告的结果承担责任，并负有督促被审计单位整改的责任；贯彻执行审计法律法规规章、国家审计准则和指南并监督执行；向县委审计委员会提出年度县预算执行和其他财政支出情况审计报告。向县人民政府提出年度县预算执行和其他财政收支情况的审计结果报告。受县人民政府委托向县人大工委提出县级预算执行和其他财政收支情况的审计结果报告、审计查出问题整改情况报告。向县委、县政府报告对其他事项的审计和专项审计调查情况及结果。依法向社会公布审计结果。向县有关部门、县委</w:t>
      </w:r>
      <w:r>
        <w:rPr>
          <w:rFonts w:hint="eastAsia" w:ascii="仿宋_GB2312" w:hAnsi="仿宋_GB2312" w:eastAsia="仿宋_GB2312"/>
          <w:sz w:val="32"/>
          <w:lang w:eastAsia="zh-CN"/>
        </w:rPr>
        <w:t>、</w:t>
      </w:r>
      <w:r>
        <w:rPr>
          <w:rFonts w:hint="eastAsia" w:ascii="仿宋_GB2312" w:hAnsi="仿宋_GB2312" w:eastAsia="仿宋_GB2312"/>
          <w:sz w:val="32"/>
          <w:lang w:val="en-US" w:eastAsia="zh-CN"/>
        </w:rPr>
        <w:t>县</w:t>
      </w:r>
      <w:r>
        <w:rPr>
          <w:rFonts w:ascii="仿宋_GB2312" w:hAnsi="仿宋_GB2312" w:eastAsia="仿宋_GB2312"/>
          <w:sz w:val="32"/>
        </w:rPr>
        <w:t>人民政府通报审计情况和审计结果。</w:t>
      </w:r>
    </w:p>
    <w:p w14:paraId="3A031E8E">
      <w:pPr>
        <w:spacing w:line="640" w:lineRule="exact"/>
        <w:ind w:firstLine="640"/>
        <w:jc w:val="both"/>
        <w:outlineLvl w:val="2"/>
      </w:pPr>
      <w:r>
        <w:rPr>
          <w:rFonts w:ascii="黑体" w:hAnsi="黑体" w:eastAsia="黑体"/>
          <w:sz w:val="32"/>
        </w:rPr>
        <w:t>二、机构设置及人员情况</w:t>
      </w:r>
    </w:p>
    <w:p w14:paraId="0FBE80D1">
      <w:pPr>
        <w:spacing w:line="580" w:lineRule="exact"/>
        <w:ind w:firstLine="640"/>
        <w:jc w:val="both"/>
      </w:pPr>
      <w:r>
        <w:rPr>
          <w:rFonts w:ascii="仿宋_GB2312" w:hAnsi="仿宋_GB2312" w:eastAsia="仿宋_GB2312"/>
          <w:sz w:val="32"/>
        </w:rPr>
        <w:t>叶城县审计局2024年度，实有人数24人，其中：在职人员17人，减少1人；离休人员0人，增加0人；退休人员7人,增加2人。</w:t>
      </w:r>
    </w:p>
    <w:p w14:paraId="145415FB">
      <w:pPr>
        <w:spacing w:line="580" w:lineRule="exact"/>
        <w:ind w:firstLine="640"/>
        <w:jc w:val="both"/>
      </w:pPr>
      <w:r>
        <w:rPr>
          <w:rFonts w:ascii="仿宋_GB2312" w:hAnsi="仿宋_GB2312" w:eastAsia="仿宋_GB2312"/>
          <w:sz w:val="32"/>
        </w:rPr>
        <w:t>叶城县审计局无下属预算单位，下设5个科室，分别是：办公室、行政事业审计股、经济责任与固定资产审计股、国企审计股、计算机审计股。</w:t>
      </w:r>
    </w:p>
    <w:p w14:paraId="1F832C19">
      <w:r>
        <w:br w:type="page"/>
      </w:r>
    </w:p>
    <w:p w14:paraId="6C8AF21F">
      <w:pPr>
        <w:spacing w:line="240" w:lineRule="auto"/>
        <w:jc w:val="center"/>
        <w:outlineLvl w:val="1"/>
      </w:pPr>
      <w:r>
        <w:rPr>
          <w:rFonts w:ascii="黑体" w:hAnsi="黑体" w:eastAsia="黑体"/>
          <w:sz w:val="32"/>
        </w:rPr>
        <w:t>第二部分 部门决算情况说明</w:t>
      </w:r>
    </w:p>
    <w:p w14:paraId="02E88429">
      <w:pPr>
        <w:spacing w:line="640" w:lineRule="exact"/>
        <w:ind w:firstLine="640"/>
        <w:jc w:val="both"/>
        <w:outlineLvl w:val="2"/>
      </w:pPr>
      <w:r>
        <w:rPr>
          <w:rFonts w:ascii="黑体" w:hAnsi="黑体" w:eastAsia="黑体"/>
          <w:sz w:val="32"/>
        </w:rPr>
        <w:t>一、收入支出决算总体情况说明</w:t>
      </w:r>
    </w:p>
    <w:p w14:paraId="4B5E66EA">
      <w:pPr>
        <w:spacing w:line="580" w:lineRule="exact"/>
        <w:ind w:firstLine="640"/>
        <w:jc w:val="both"/>
      </w:pPr>
      <w:r>
        <w:rPr>
          <w:rFonts w:ascii="仿宋_GB2312" w:hAnsi="仿宋_GB2312" w:eastAsia="仿宋_GB2312"/>
          <w:b/>
          <w:sz w:val="32"/>
        </w:rPr>
        <w:t>2024年度收入总计432.38万元，</w:t>
      </w:r>
      <w:r>
        <w:rPr>
          <w:rFonts w:ascii="仿宋_GB2312" w:hAnsi="仿宋_GB2312" w:eastAsia="仿宋_GB2312"/>
          <w:b w:val="0"/>
          <w:sz w:val="32"/>
        </w:rPr>
        <w:t>其中：本年收入合计432.38万元，使用非财政拨款结余（含专用结余）0.00万元，年初结转和结余0.00万元。</w:t>
      </w:r>
    </w:p>
    <w:p w14:paraId="470B3CC1">
      <w:pPr>
        <w:spacing w:line="580" w:lineRule="exact"/>
        <w:ind w:firstLine="640"/>
        <w:jc w:val="both"/>
      </w:pPr>
      <w:r>
        <w:rPr>
          <w:rFonts w:ascii="仿宋_GB2312" w:hAnsi="仿宋_GB2312" w:eastAsia="仿宋_GB2312"/>
          <w:b/>
          <w:sz w:val="32"/>
        </w:rPr>
        <w:t>2024年度支出总计432.38万元，</w:t>
      </w:r>
      <w:r>
        <w:rPr>
          <w:rFonts w:ascii="仿宋_GB2312" w:hAnsi="仿宋_GB2312" w:eastAsia="仿宋_GB2312"/>
          <w:b w:val="0"/>
          <w:sz w:val="32"/>
        </w:rPr>
        <w:t>其中：本年支出合计432.38万元，结余分配0.00万元，年末结转和结余0.00万元。</w:t>
      </w:r>
    </w:p>
    <w:p w14:paraId="0F1D84A4">
      <w:pPr>
        <w:spacing w:line="580" w:lineRule="exact"/>
        <w:ind w:firstLine="640"/>
        <w:jc w:val="both"/>
      </w:pPr>
      <w:r>
        <w:rPr>
          <w:rFonts w:ascii="仿宋_GB2312" w:hAnsi="仿宋_GB2312" w:eastAsia="仿宋_GB2312"/>
          <w:b w:val="0"/>
          <w:sz w:val="32"/>
        </w:rPr>
        <w:t>收入支出总体与上年相比，增加54.48万元，增长14.42%，主要原因是：本年在职人员工资调增，社保、公积金基数调增，人员经费增加；</w:t>
      </w:r>
      <w:r>
        <w:rPr>
          <w:rFonts w:hint="eastAsia" w:ascii="仿宋_GB2312" w:hAnsi="仿宋_GB2312" w:eastAsia="仿宋_GB2312"/>
          <w:b w:val="0"/>
          <w:sz w:val="32"/>
          <w:lang w:val="en-US" w:eastAsia="zh-CN"/>
        </w:rPr>
        <w:t>职业年金较上年增加；</w:t>
      </w:r>
      <w:r>
        <w:rPr>
          <w:rFonts w:ascii="仿宋_GB2312" w:hAnsi="仿宋_GB2312" w:eastAsia="仿宋_GB2312"/>
          <w:b w:val="0"/>
          <w:sz w:val="32"/>
        </w:rPr>
        <w:t>2024年度新增国企审计服务项目。</w:t>
      </w:r>
    </w:p>
    <w:p w14:paraId="71E53F7E">
      <w:pPr>
        <w:spacing w:line="640" w:lineRule="exact"/>
        <w:ind w:firstLine="640"/>
        <w:jc w:val="both"/>
        <w:outlineLvl w:val="2"/>
      </w:pPr>
      <w:r>
        <w:rPr>
          <w:rFonts w:ascii="黑体" w:hAnsi="黑体" w:eastAsia="黑体"/>
          <w:sz w:val="32"/>
        </w:rPr>
        <w:t>二、收入决算情况说明</w:t>
      </w:r>
    </w:p>
    <w:p w14:paraId="0456DF71">
      <w:pPr>
        <w:spacing w:line="580" w:lineRule="exact"/>
        <w:ind w:firstLine="640"/>
        <w:jc w:val="both"/>
      </w:pPr>
      <w:r>
        <w:rPr>
          <w:rFonts w:ascii="仿宋_GB2312" w:hAnsi="仿宋_GB2312" w:eastAsia="仿宋_GB2312"/>
          <w:b/>
          <w:sz w:val="32"/>
        </w:rPr>
        <w:t>本年收入432.38万元，</w:t>
      </w:r>
      <w:r>
        <w:rPr>
          <w:rFonts w:ascii="仿宋_GB2312" w:hAnsi="仿宋_GB2312" w:eastAsia="仿宋_GB2312"/>
          <w:b w:val="0"/>
          <w:sz w:val="32"/>
        </w:rPr>
        <w:t>其中：财政拨款收入432.38万元，占100.00%；上级补助收入0.00万元，占0.00%；事业收入0.00万元，占0.00%；经营收入0.00万元，占0.00%；附属单位上缴收入0.00万元，占0.00%；其他收入0.00万元，占0.00%。</w:t>
      </w:r>
    </w:p>
    <w:p w14:paraId="277E7615">
      <w:pPr>
        <w:spacing w:line="640" w:lineRule="exact"/>
        <w:ind w:firstLine="640"/>
        <w:jc w:val="both"/>
        <w:outlineLvl w:val="2"/>
      </w:pPr>
      <w:r>
        <w:rPr>
          <w:rFonts w:ascii="黑体" w:hAnsi="黑体" w:eastAsia="黑体"/>
          <w:sz w:val="32"/>
        </w:rPr>
        <w:t>三、支出决算情况说明</w:t>
      </w:r>
    </w:p>
    <w:p w14:paraId="3B821BA4">
      <w:pPr>
        <w:spacing w:line="580" w:lineRule="exact"/>
        <w:ind w:firstLine="640"/>
        <w:jc w:val="both"/>
      </w:pPr>
      <w:r>
        <w:rPr>
          <w:rFonts w:ascii="仿宋_GB2312" w:hAnsi="仿宋_GB2312" w:eastAsia="仿宋_GB2312"/>
          <w:b/>
          <w:sz w:val="32"/>
        </w:rPr>
        <w:t>本年支出432.38万元，</w:t>
      </w:r>
      <w:r>
        <w:rPr>
          <w:rFonts w:ascii="仿宋_GB2312" w:hAnsi="仿宋_GB2312" w:eastAsia="仿宋_GB2312"/>
          <w:b w:val="0"/>
          <w:sz w:val="32"/>
        </w:rPr>
        <w:t>其中：基本支出419.15万元，占96.94%；项目支出13.24万元，占3.06%；上缴上级支出0.00万元，占0.00%；经营支出0.00万元，占0.00%；对附属单位补助支出0.00万元，占0.00%。</w:t>
      </w:r>
    </w:p>
    <w:p w14:paraId="1C46B92C">
      <w:pPr>
        <w:spacing w:line="640" w:lineRule="exact"/>
        <w:ind w:firstLine="640"/>
        <w:jc w:val="both"/>
        <w:outlineLvl w:val="2"/>
      </w:pPr>
      <w:r>
        <w:rPr>
          <w:rFonts w:ascii="黑体" w:hAnsi="黑体" w:eastAsia="黑体"/>
          <w:sz w:val="32"/>
        </w:rPr>
        <w:t>四、财政拨款收入支出决算总体情况说明</w:t>
      </w:r>
    </w:p>
    <w:p w14:paraId="05D57717">
      <w:pPr>
        <w:spacing w:line="580" w:lineRule="exact"/>
        <w:ind w:firstLine="640"/>
        <w:jc w:val="both"/>
      </w:pPr>
      <w:r>
        <w:rPr>
          <w:rFonts w:ascii="仿宋_GB2312" w:hAnsi="仿宋_GB2312" w:eastAsia="仿宋_GB2312"/>
          <w:b/>
          <w:sz w:val="32"/>
        </w:rPr>
        <w:t>2024年度财政拨款收入总计432.38万元，</w:t>
      </w:r>
      <w:r>
        <w:rPr>
          <w:rFonts w:ascii="仿宋_GB2312" w:hAnsi="仿宋_GB2312" w:eastAsia="仿宋_GB2312"/>
          <w:b w:val="0"/>
          <w:sz w:val="32"/>
        </w:rPr>
        <w:t>其中：年初财政拨款结转和结余0.00万元，本年财政拨款收入432.38万元。</w:t>
      </w:r>
      <w:r>
        <w:rPr>
          <w:rFonts w:ascii="仿宋_GB2312" w:hAnsi="仿宋_GB2312" w:eastAsia="仿宋_GB2312"/>
          <w:b/>
          <w:sz w:val="32"/>
        </w:rPr>
        <w:t>财政拨款支出总计432.38万元，</w:t>
      </w:r>
      <w:r>
        <w:rPr>
          <w:rFonts w:ascii="仿宋_GB2312" w:hAnsi="仿宋_GB2312" w:eastAsia="仿宋_GB2312"/>
          <w:b w:val="0"/>
          <w:sz w:val="32"/>
        </w:rPr>
        <w:t>其中：年末财政拨款结转和结余0.00万元，本年财政拨款支出432.38万元。</w:t>
      </w:r>
    </w:p>
    <w:p w14:paraId="50E3700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增加54.48万元，增长14.42%，主要原因是：本年在职人员工资调增，社保、公积金基数调增，人员经费增加；</w:t>
      </w:r>
      <w:r>
        <w:rPr>
          <w:rFonts w:hint="eastAsia" w:ascii="仿宋_GB2312" w:hAnsi="仿宋_GB2312" w:eastAsia="仿宋_GB2312"/>
          <w:b w:val="0"/>
          <w:sz w:val="32"/>
          <w:lang w:val="en-US" w:eastAsia="zh-CN"/>
        </w:rPr>
        <w:t>职业年金较上年增加；</w:t>
      </w:r>
      <w:r>
        <w:rPr>
          <w:rFonts w:ascii="仿宋_GB2312" w:hAnsi="仿宋_GB2312" w:eastAsia="仿宋_GB2312"/>
          <w:b w:val="0"/>
          <w:sz w:val="32"/>
        </w:rPr>
        <w:t>2024年度新增国企审计服务项目。</w:t>
      </w:r>
      <w:r>
        <w:rPr>
          <w:rFonts w:ascii="仿宋_GB2312" w:hAnsi="仿宋_GB2312" w:eastAsia="仿宋_GB2312"/>
          <w:b/>
          <w:sz w:val="32"/>
        </w:rPr>
        <w:t>与年初预算相比，</w:t>
      </w:r>
      <w:r>
        <w:rPr>
          <w:rFonts w:ascii="仿宋_GB2312" w:hAnsi="仿宋_GB2312" w:eastAsia="仿宋_GB2312"/>
          <w:b w:val="0"/>
          <w:sz w:val="32"/>
        </w:rPr>
        <w:t>年初预算数431.94万元，决算数432.38万元，预决算差异率0.10%，主要原因是：年中追加人员工资、社保、公积金基数调增部分资金，导致预决算存在差异。</w:t>
      </w:r>
    </w:p>
    <w:p w14:paraId="3DB74AE0">
      <w:pPr>
        <w:spacing w:line="640" w:lineRule="exact"/>
        <w:ind w:firstLine="640"/>
        <w:jc w:val="both"/>
        <w:outlineLvl w:val="2"/>
      </w:pPr>
      <w:r>
        <w:rPr>
          <w:rFonts w:ascii="黑体" w:hAnsi="黑体" w:eastAsia="黑体"/>
          <w:sz w:val="32"/>
        </w:rPr>
        <w:t>五、一般公共预算财政拨款支出决算情况说明</w:t>
      </w:r>
    </w:p>
    <w:p w14:paraId="4216F1AF">
      <w:pPr>
        <w:spacing w:line="640" w:lineRule="exact"/>
        <w:ind w:firstLine="640"/>
        <w:jc w:val="both"/>
        <w:outlineLvl w:val="3"/>
      </w:pPr>
      <w:r>
        <w:rPr>
          <w:rFonts w:ascii="楷体_GB2312" w:hAnsi="楷体_GB2312" w:eastAsia="楷体_GB2312"/>
          <w:b/>
          <w:sz w:val="32"/>
        </w:rPr>
        <w:t>（一）一般公共预算财政拨款支出决算总体情况</w:t>
      </w:r>
    </w:p>
    <w:p w14:paraId="6987542A">
      <w:pPr>
        <w:spacing w:line="580" w:lineRule="exact"/>
        <w:ind w:firstLine="640"/>
        <w:jc w:val="both"/>
      </w:pPr>
      <w:r>
        <w:rPr>
          <w:rFonts w:ascii="仿宋_GB2312" w:hAnsi="仿宋_GB2312" w:eastAsia="仿宋_GB2312"/>
          <w:b/>
          <w:sz w:val="32"/>
        </w:rPr>
        <w:t>2024年度一般公共预算财政拨款支出432.38万元，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增加54.48万元，增长14.42%，主要原因是：本年在职人员工资调增，社保、公积金基数调增，人员经费增加；</w:t>
      </w:r>
      <w:r>
        <w:rPr>
          <w:rFonts w:hint="eastAsia" w:ascii="仿宋_GB2312" w:hAnsi="仿宋_GB2312" w:eastAsia="仿宋_GB2312"/>
          <w:b w:val="0"/>
          <w:sz w:val="32"/>
          <w:lang w:val="en-US" w:eastAsia="zh-CN"/>
        </w:rPr>
        <w:t>职业年金较上年增加；</w:t>
      </w:r>
      <w:r>
        <w:rPr>
          <w:rFonts w:ascii="仿宋_GB2312" w:hAnsi="仿宋_GB2312" w:eastAsia="仿宋_GB2312"/>
          <w:b w:val="0"/>
          <w:sz w:val="32"/>
        </w:rPr>
        <w:t>2024年度新增国企审计服务项目。</w:t>
      </w:r>
      <w:r>
        <w:rPr>
          <w:rFonts w:ascii="仿宋_GB2312" w:hAnsi="仿宋_GB2312" w:eastAsia="仿宋_GB2312"/>
          <w:b/>
          <w:sz w:val="32"/>
        </w:rPr>
        <w:t>与年初预算相比,</w:t>
      </w:r>
      <w:r>
        <w:rPr>
          <w:rFonts w:ascii="仿宋_GB2312" w:hAnsi="仿宋_GB2312" w:eastAsia="仿宋_GB2312"/>
          <w:b w:val="0"/>
          <w:sz w:val="32"/>
        </w:rPr>
        <w:t>年初预算数431.94万元，决算数432.38万元，预决算差异率0.10%，主要原因是：年中追加人员工资、社保、公积金基数调增部分资金，导致预决算存在差异。</w:t>
      </w:r>
    </w:p>
    <w:p w14:paraId="437AD341">
      <w:pPr>
        <w:spacing w:line="640" w:lineRule="exact"/>
        <w:ind w:firstLine="640"/>
        <w:jc w:val="both"/>
        <w:outlineLvl w:val="3"/>
      </w:pPr>
      <w:r>
        <w:rPr>
          <w:rFonts w:ascii="楷体_GB2312" w:hAnsi="楷体_GB2312" w:eastAsia="楷体_GB2312"/>
          <w:b/>
          <w:sz w:val="32"/>
        </w:rPr>
        <w:t>（二）一般公共预算财政拨款支出决算结构情况</w:t>
      </w:r>
    </w:p>
    <w:p w14:paraId="3C61FF8F">
      <w:pPr>
        <w:spacing w:line="580" w:lineRule="exact"/>
        <w:ind w:firstLine="640"/>
        <w:jc w:val="both"/>
      </w:pPr>
      <w:r>
        <w:rPr>
          <w:rFonts w:ascii="仿宋_GB2312" w:hAnsi="仿宋_GB2312" w:eastAsia="仿宋_GB2312"/>
          <w:b w:val="0"/>
          <w:sz w:val="32"/>
        </w:rPr>
        <w:t>1.一般公共服务支出(类)318.21万元,占73.59%。</w:t>
      </w:r>
    </w:p>
    <w:p w14:paraId="335934C6">
      <w:pPr>
        <w:spacing w:line="580" w:lineRule="exact"/>
        <w:ind w:firstLine="640"/>
        <w:jc w:val="both"/>
      </w:pPr>
      <w:r>
        <w:rPr>
          <w:rFonts w:ascii="仿宋_GB2312" w:hAnsi="仿宋_GB2312" w:eastAsia="仿宋_GB2312"/>
          <w:b w:val="0"/>
          <w:sz w:val="32"/>
        </w:rPr>
        <w:t>2.社会保障和就业支出(类)58.35万元,占13.50%。</w:t>
      </w:r>
    </w:p>
    <w:p w14:paraId="42A2FFEE">
      <w:pPr>
        <w:spacing w:line="580" w:lineRule="exact"/>
        <w:ind w:firstLine="640"/>
        <w:jc w:val="both"/>
      </w:pPr>
      <w:r>
        <w:rPr>
          <w:rFonts w:ascii="仿宋_GB2312" w:hAnsi="仿宋_GB2312" w:eastAsia="仿宋_GB2312"/>
          <w:b w:val="0"/>
          <w:sz w:val="32"/>
        </w:rPr>
        <w:t>3.卫生健康支出(类)21.15万元,占4.89%。</w:t>
      </w:r>
    </w:p>
    <w:p w14:paraId="3E99F778">
      <w:pPr>
        <w:spacing w:line="580" w:lineRule="exact"/>
        <w:ind w:firstLine="640"/>
        <w:jc w:val="both"/>
      </w:pPr>
      <w:r>
        <w:rPr>
          <w:rFonts w:ascii="仿宋_GB2312" w:hAnsi="仿宋_GB2312" w:eastAsia="仿宋_GB2312"/>
          <w:b w:val="0"/>
          <w:sz w:val="32"/>
        </w:rPr>
        <w:t>4.住房保障支出(类)34.67万元,占8.02%。</w:t>
      </w:r>
    </w:p>
    <w:p w14:paraId="1C6A00D4">
      <w:pPr>
        <w:spacing w:line="640" w:lineRule="exact"/>
        <w:ind w:firstLine="640"/>
        <w:jc w:val="both"/>
        <w:outlineLvl w:val="3"/>
      </w:pPr>
      <w:r>
        <w:rPr>
          <w:rFonts w:ascii="楷体_GB2312" w:hAnsi="楷体_GB2312" w:eastAsia="楷体_GB2312"/>
          <w:b/>
          <w:sz w:val="32"/>
        </w:rPr>
        <w:t>（三）一般公共预算财政拨款支出决算具体情况</w:t>
      </w:r>
    </w:p>
    <w:p w14:paraId="53BABF5A">
      <w:pPr>
        <w:spacing w:line="580" w:lineRule="exact"/>
        <w:ind w:firstLine="640"/>
        <w:jc w:val="both"/>
      </w:pPr>
      <w:r>
        <w:rPr>
          <w:rFonts w:ascii="仿宋_GB2312" w:hAnsi="仿宋_GB2312" w:eastAsia="仿宋_GB2312"/>
          <w:b w:val="0"/>
          <w:sz w:val="32"/>
        </w:rPr>
        <w:t>1.一般公共服务支出(类)审计事务(款)行政运行(项):支出决算数为304.97万元，比上年决算增加3.92万元，增长1.30%,主要原因是：本年在职人员工资调增，导致相关人员经费较上年有所增加。</w:t>
      </w:r>
    </w:p>
    <w:p w14:paraId="2EE523B2">
      <w:pPr>
        <w:spacing w:line="580" w:lineRule="exact"/>
        <w:ind w:firstLine="640"/>
        <w:jc w:val="both"/>
      </w:pPr>
      <w:r>
        <w:rPr>
          <w:rFonts w:ascii="仿宋_GB2312" w:hAnsi="仿宋_GB2312" w:eastAsia="仿宋_GB2312"/>
          <w:b w:val="0"/>
          <w:sz w:val="32"/>
        </w:rPr>
        <w:t>2.一般公共服务支出(类)审计事务(款)审计业务(项):支出决算数为13.24万元，比上年决算增加3.01万元，增长29.42%,主要原因是：本年度新增国企审计服务费用。</w:t>
      </w:r>
    </w:p>
    <w:p w14:paraId="04B13E14">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3.社会保障和就业支出(类)行政事业单位养老支出(款)行政单位离退休(项):支出决算数为7.16万元，比上年决算增加0.96万元，增长15.48%,主要原因是：本年退休人员增加2名，退休费支出增加。</w:t>
      </w:r>
    </w:p>
    <w:p w14:paraId="0090C4D4">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41.80万元，比上年决算增加15.05万元，增长56.26%,主要原因是：本年在职人员工资基数调增，养老缴费基数上涨，相应支出增加。</w:t>
      </w:r>
    </w:p>
    <w:p w14:paraId="57F8435F">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9.39万元，比上年决算增加9.39万元，增长100.00%,主要原因是：本年缴纳新增退休人员职业年金，导致经费支出增加。</w:t>
      </w:r>
    </w:p>
    <w:p w14:paraId="5EA8CC39">
      <w:pPr>
        <w:spacing w:line="580" w:lineRule="exact"/>
        <w:ind w:firstLine="640"/>
        <w:jc w:val="both"/>
      </w:pPr>
      <w:r>
        <w:rPr>
          <w:rFonts w:ascii="仿宋_GB2312" w:hAnsi="仿宋_GB2312" w:eastAsia="仿宋_GB2312"/>
          <w:b w:val="0"/>
          <w:sz w:val="32"/>
        </w:rPr>
        <w:t>6.卫生健康支出(类)行政事业单位医疗(款)行政单位医疗(项):支出决算数为17.77万元，比上年决算增加6.40万元，增长56.29%,主要原因是：本年在职人员工资基数调增，医疗缴费基数上涨，相应支出增加。</w:t>
      </w:r>
    </w:p>
    <w:p w14:paraId="61ACB6BC">
      <w:pPr>
        <w:spacing w:line="580" w:lineRule="exact"/>
        <w:ind w:firstLine="640"/>
        <w:jc w:val="both"/>
      </w:pPr>
      <w:r>
        <w:rPr>
          <w:rFonts w:ascii="仿宋_GB2312" w:hAnsi="仿宋_GB2312" w:eastAsia="仿宋_GB2312"/>
          <w:b w:val="0"/>
          <w:sz w:val="32"/>
        </w:rPr>
        <w:t>7.卫生健康支出(类)行政事业单位医疗(款)公务员医疗补助(项):支出决算数为3.38万元，比上年决算增加1.14万元，增长50.89%,主要原因是：本年在职人员工资基数调增，公务员医疗补助缴费基数上涨，相应支出增加。</w:t>
      </w:r>
    </w:p>
    <w:p w14:paraId="37AF24B8">
      <w:pPr>
        <w:spacing w:line="580" w:lineRule="exact"/>
        <w:ind w:firstLine="640"/>
        <w:jc w:val="both"/>
      </w:pPr>
      <w:r>
        <w:rPr>
          <w:rFonts w:ascii="仿宋_GB2312" w:hAnsi="仿宋_GB2312" w:eastAsia="仿宋_GB2312"/>
          <w:b w:val="0"/>
          <w:sz w:val="32"/>
        </w:rPr>
        <w:t>8.住房保障支出(类)住房改革支出(款)住房公积金(项):支出决算数为34.67万元，比上年决算增加14.61万元，增长72.83%,主要原因是：本年在职人员工资基数调增，公积金缴费基数上涨，相应支出增加。</w:t>
      </w:r>
    </w:p>
    <w:p w14:paraId="65B1EEA2">
      <w:pPr>
        <w:spacing w:line="640" w:lineRule="exact"/>
        <w:ind w:firstLine="640"/>
        <w:jc w:val="both"/>
        <w:outlineLvl w:val="2"/>
      </w:pPr>
      <w:r>
        <w:rPr>
          <w:rFonts w:ascii="黑体" w:hAnsi="黑体" w:eastAsia="黑体"/>
          <w:sz w:val="32"/>
        </w:rPr>
        <w:t>六、一般公共预算财政拨款基本支出决算情况说明</w:t>
      </w:r>
    </w:p>
    <w:p w14:paraId="0A2BB098">
      <w:pPr>
        <w:spacing w:line="580" w:lineRule="exact"/>
        <w:ind w:firstLine="640"/>
        <w:jc w:val="both"/>
      </w:pPr>
      <w:r>
        <w:rPr>
          <w:rFonts w:ascii="仿宋_GB2312" w:hAnsi="仿宋_GB2312" w:eastAsia="仿宋_GB2312"/>
          <w:b w:val="0"/>
          <w:sz w:val="32"/>
        </w:rPr>
        <w:t>2024年度一般公共预算财政拨款基本支出419.15万元，其中：</w:t>
      </w:r>
      <w:r>
        <w:rPr>
          <w:rFonts w:ascii="仿宋_GB2312" w:hAnsi="仿宋_GB2312" w:eastAsia="仿宋_GB2312"/>
          <w:b/>
          <w:sz w:val="32"/>
        </w:rPr>
        <w:t>人员经费412.07万元，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包括：基本工资、津贴补贴、奖金、绩效工资、机关事业单位基本养老保险缴费、职业年金缴费、职工基本医疗保险缴费、公务员医疗补助缴费、其他社会保障缴费、住房公积金、退休费、生活补助、奖励金。</w:t>
      </w:r>
    </w:p>
    <w:p w14:paraId="3C636C21">
      <w:pPr>
        <w:spacing w:line="580" w:lineRule="exact"/>
        <w:ind w:firstLine="640"/>
        <w:jc w:val="both"/>
      </w:pPr>
      <w:r>
        <w:rPr>
          <w:rFonts w:ascii="仿宋_GB2312" w:hAnsi="仿宋_GB2312" w:eastAsia="仿宋_GB2312"/>
          <w:b/>
          <w:sz w:val="32"/>
        </w:rPr>
        <w:t>公用经费7.07万元，</w:t>
      </w:r>
      <w:r>
        <w:rPr>
          <w:rFonts w:ascii="仿宋_GB2312" w:hAnsi="仿宋_GB2312" w:eastAsia="仿宋_GB2312"/>
          <w:b w:val="0"/>
          <w:sz w:val="32"/>
        </w:rPr>
        <w:t>包括：办公费、差旅费、维修（护）费、公务用车运行维护费。</w:t>
      </w:r>
    </w:p>
    <w:p w14:paraId="49C84CED">
      <w:pPr>
        <w:spacing w:line="640" w:lineRule="exact"/>
        <w:ind w:firstLine="640"/>
        <w:jc w:val="both"/>
        <w:outlineLvl w:val="2"/>
      </w:pPr>
      <w:r>
        <w:rPr>
          <w:rFonts w:ascii="黑体" w:hAnsi="黑体" w:eastAsia="黑体"/>
          <w:sz w:val="32"/>
        </w:rPr>
        <w:t>七、政府性基金预算财政拨款收入支出决算情况说明</w:t>
      </w:r>
    </w:p>
    <w:p w14:paraId="707B75A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E01A2C3">
      <w:pPr>
        <w:spacing w:line="640" w:lineRule="exact"/>
        <w:ind w:firstLine="640"/>
        <w:jc w:val="both"/>
        <w:outlineLvl w:val="2"/>
      </w:pPr>
      <w:r>
        <w:rPr>
          <w:rFonts w:ascii="黑体" w:hAnsi="黑体" w:eastAsia="黑体"/>
          <w:sz w:val="32"/>
        </w:rPr>
        <w:t>八、国有资本经营预算财政拨款收入支出决算情况说明</w:t>
      </w:r>
    </w:p>
    <w:p w14:paraId="604EE53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FBEE2CA">
      <w:pPr>
        <w:spacing w:line="640" w:lineRule="exact"/>
        <w:ind w:firstLine="640"/>
        <w:jc w:val="both"/>
        <w:outlineLvl w:val="2"/>
      </w:pPr>
      <w:r>
        <w:rPr>
          <w:rFonts w:ascii="黑体" w:hAnsi="黑体" w:eastAsia="黑体"/>
          <w:sz w:val="32"/>
        </w:rPr>
        <w:t>九、财政拨款“三公”经费支出决算情况说明</w:t>
      </w:r>
    </w:p>
    <w:p w14:paraId="35769B6F">
      <w:pPr>
        <w:spacing w:line="580" w:lineRule="exact"/>
        <w:ind w:firstLine="640"/>
        <w:jc w:val="both"/>
      </w:pPr>
      <w:r>
        <w:rPr>
          <w:rFonts w:ascii="仿宋_GB2312" w:hAnsi="仿宋_GB2312" w:eastAsia="仿宋_GB2312"/>
          <w:b/>
          <w:sz w:val="32"/>
        </w:rPr>
        <w:t>2024年度财政拨款“三公”经费支出1.18万元，</w:t>
      </w:r>
      <w:r>
        <w:rPr>
          <w:rFonts w:ascii="仿宋_GB2312" w:hAnsi="仿宋_GB2312" w:eastAsia="仿宋_GB2312"/>
          <w:b w:val="0"/>
          <w:sz w:val="32"/>
        </w:rPr>
        <w:t>比上年增加0.04万元，增长3.51%，主要原因是：本年新增车辆1辆，车辆运行费用增加，导致财政拨款“三公”经费支出增加。其中：因公出国（境）费支出0.00万元，占0.00%，比上年增加0.00万元，增长0.00%，主要原因是：2023年与2024年均未安排因公出国（境）费支出。公务用车购置及运行维护费支出1.18万元，占100.00%，比上年增加0.04万元，增长3.51%，主要原因是：本年新增车辆1辆，车辆运行费用增加，导致公务用车运行维护费支出增加。公务接待费支出0.00万元，占0.00%，比上年增加0.00万元，增长0.00%，主要原因是：2023年与2024年均未安排公务接待费支出。</w:t>
      </w:r>
    </w:p>
    <w:p w14:paraId="56983BC1">
      <w:pPr>
        <w:spacing w:line="580" w:lineRule="exact"/>
        <w:ind w:firstLine="640"/>
        <w:jc w:val="both"/>
      </w:pPr>
      <w:r>
        <w:rPr>
          <w:rFonts w:ascii="仿宋_GB2312" w:hAnsi="仿宋_GB2312" w:eastAsia="仿宋_GB2312"/>
          <w:b/>
          <w:sz w:val="32"/>
        </w:rPr>
        <w:t>具体情况如下：</w:t>
      </w:r>
    </w:p>
    <w:p w14:paraId="0AACE22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22BBC4C">
      <w:pPr>
        <w:spacing w:line="580" w:lineRule="exact"/>
        <w:ind w:firstLine="640"/>
        <w:jc w:val="both"/>
      </w:pPr>
      <w:r>
        <w:rPr>
          <w:rFonts w:ascii="仿宋_GB2312" w:hAnsi="仿宋_GB2312" w:eastAsia="仿宋_GB2312"/>
          <w:b w:val="0"/>
          <w:sz w:val="32"/>
        </w:rPr>
        <w:t>公务用车购置及运行维护费1.18万元，其中：公务用车购置费0.00万元，公务用车运行维护费1.18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4342972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8CFDAB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1.42万元，决算数1.18万元，预决算差异率-16.90%，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1.42万元，决算数1.18万元，预决算差异率-16.90%，主要原因是：严格落实中央八项规定精神，厉行节约，减少经费支出。公务接待费全年预算数0.00万元，决算数0.00万元，预决算差异率0.00%，主要原因是：本单位无公务接待费。</w:t>
      </w:r>
    </w:p>
    <w:p w14:paraId="28FE1DFF">
      <w:pPr>
        <w:spacing w:line="640" w:lineRule="exact"/>
        <w:ind w:firstLine="640"/>
        <w:jc w:val="both"/>
        <w:outlineLvl w:val="2"/>
      </w:pPr>
      <w:r>
        <w:rPr>
          <w:rFonts w:ascii="黑体" w:hAnsi="黑体" w:eastAsia="黑体"/>
          <w:sz w:val="32"/>
        </w:rPr>
        <w:t>十、其他重要事项的情况说明</w:t>
      </w:r>
    </w:p>
    <w:p w14:paraId="278F053E">
      <w:pPr>
        <w:spacing w:line="640" w:lineRule="exact"/>
        <w:ind w:firstLine="640"/>
        <w:jc w:val="both"/>
        <w:outlineLvl w:val="3"/>
      </w:pPr>
      <w:r>
        <w:rPr>
          <w:rFonts w:ascii="楷体_GB2312" w:hAnsi="楷体_GB2312" w:eastAsia="楷体_GB2312"/>
          <w:b/>
          <w:sz w:val="32"/>
        </w:rPr>
        <w:t>（一）机关运行经费及公用经费支出情况</w:t>
      </w:r>
    </w:p>
    <w:p w14:paraId="7DCDA5D1">
      <w:pPr>
        <w:spacing w:line="580" w:lineRule="exact"/>
        <w:ind w:firstLine="640"/>
        <w:jc w:val="both"/>
      </w:pPr>
      <w:r>
        <w:rPr>
          <w:rFonts w:ascii="仿宋_GB2312" w:hAnsi="仿宋_GB2312" w:eastAsia="仿宋_GB2312"/>
          <w:b w:val="0"/>
          <w:sz w:val="32"/>
        </w:rPr>
        <w:t>2024年度叶城县审计局（行政单位和参照公务员法管理事业单位）机关运行经费支出7.07万元，比上年增加1.08万元，增长18.03%，主要原因是：本年业务量增加，办公费、差旅费</w:t>
      </w:r>
      <w:r>
        <w:rPr>
          <w:rFonts w:hint="eastAsia" w:ascii="仿宋_GB2312" w:hAnsi="仿宋_GB2312" w:eastAsia="仿宋_GB2312"/>
          <w:b w:val="0"/>
          <w:sz w:val="32"/>
          <w:lang w:eastAsia="zh-CN"/>
        </w:rPr>
        <w:t>、</w:t>
      </w:r>
      <w:r>
        <w:rPr>
          <w:rFonts w:ascii="仿宋_GB2312" w:hAnsi="仿宋_GB2312" w:eastAsia="仿宋_GB2312"/>
          <w:b w:val="0"/>
          <w:sz w:val="32"/>
        </w:rPr>
        <w:t>维修费支出增加，导致机关运行经费支出增加。</w:t>
      </w:r>
    </w:p>
    <w:p w14:paraId="4790F9C3">
      <w:pPr>
        <w:spacing w:line="640" w:lineRule="exact"/>
        <w:ind w:firstLine="640"/>
        <w:jc w:val="both"/>
        <w:outlineLvl w:val="3"/>
      </w:pPr>
      <w:r>
        <w:rPr>
          <w:rFonts w:ascii="楷体_GB2312" w:hAnsi="楷体_GB2312" w:eastAsia="楷体_GB2312"/>
          <w:b/>
          <w:sz w:val="32"/>
        </w:rPr>
        <w:t>（二）政府采购情况</w:t>
      </w:r>
    </w:p>
    <w:p w14:paraId="73CF5D3A">
      <w:pPr>
        <w:spacing w:line="580" w:lineRule="exact"/>
        <w:ind w:firstLine="640"/>
        <w:jc w:val="both"/>
      </w:pPr>
      <w:r>
        <w:rPr>
          <w:rFonts w:ascii="仿宋_GB2312" w:hAnsi="仿宋_GB2312" w:eastAsia="仿宋_GB2312"/>
          <w:b w:val="0"/>
          <w:sz w:val="32"/>
        </w:rPr>
        <w:t>2024年度政府采购支出总额22.22万元，其中：政府采购货物支出21.75万元、政府采购工程支出0.00万元、政府采购服务支出0.47万元。</w:t>
      </w:r>
    </w:p>
    <w:p w14:paraId="7F8C659C">
      <w:pPr>
        <w:spacing w:line="580" w:lineRule="exact"/>
        <w:ind w:firstLine="640"/>
        <w:jc w:val="both"/>
      </w:pPr>
      <w:r>
        <w:rPr>
          <w:rFonts w:ascii="仿宋_GB2312" w:hAnsi="仿宋_GB2312" w:eastAsia="仿宋_GB2312"/>
          <w:b w:val="0"/>
          <w:sz w:val="32"/>
        </w:rPr>
        <w:t>授予中小企业合同金额9.10万元，占政府采购支出总额的40.95%，其中：授予小微企业合同金额8.55万元，占政府采购支出总额的38.48%。</w:t>
      </w:r>
    </w:p>
    <w:p w14:paraId="523CECE6">
      <w:pPr>
        <w:spacing w:line="640" w:lineRule="exact"/>
        <w:ind w:firstLine="640"/>
        <w:jc w:val="both"/>
        <w:outlineLvl w:val="3"/>
      </w:pPr>
      <w:r>
        <w:rPr>
          <w:rFonts w:ascii="楷体_GB2312" w:hAnsi="楷体_GB2312" w:eastAsia="楷体_GB2312"/>
          <w:b/>
          <w:sz w:val="32"/>
        </w:rPr>
        <w:t>（三）国有资产占用情况说明</w:t>
      </w:r>
    </w:p>
    <w:p w14:paraId="03067300">
      <w:pPr>
        <w:spacing w:line="580" w:lineRule="exact"/>
        <w:ind w:firstLine="640"/>
        <w:jc w:val="both"/>
      </w:pPr>
      <w:r>
        <w:rPr>
          <w:rFonts w:ascii="仿宋_GB2312" w:hAnsi="仿宋_GB2312" w:eastAsia="仿宋_GB2312"/>
          <w:b w:val="0"/>
          <w:sz w:val="32"/>
        </w:rPr>
        <w:t>截至2024年12月31日，房屋0.00平方米，价值0.00万元。车辆2辆，价值28.75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4026543B">
      <w:pPr>
        <w:spacing w:line="640" w:lineRule="exact"/>
        <w:ind w:firstLine="640"/>
        <w:jc w:val="both"/>
        <w:outlineLvl w:val="2"/>
      </w:pPr>
      <w:r>
        <w:rPr>
          <w:rFonts w:ascii="黑体" w:hAnsi="黑体" w:eastAsia="黑体"/>
          <w:sz w:val="32"/>
        </w:rPr>
        <w:t>十一、预算绩效的情况说明</w:t>
      </w:r>
    </w:p>
    <w:p w14:paraId="1C6A876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432.38万元，实际执行总额432.38万元；预算绩效评价项目5个，全年预算数49.96万元，全年执行数42.83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项目细化管理工作不足。各项资金的使用没有做到细致的预算，造成项目遇到各种不确定因素，财政资金无法发挥最大使用效益。下一步改进措施：一是在以后年度，本单位会充分考虑、预测实际情况来进行预算的填报，提高预算数据的准确度；二是加强对以前年度资金使用情况的分析和总结，加强预算编制科学化、精细化管理，增强预算编制的严肃性和权威性。具体附整体支出绩效自评表，项目支出绩效自评表和评价报告。</w:t>
      </w:r>
    </w:p>
    <w:p w14:paraId="5E2993B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C98557">
        <w:tblPrEx>
          <w:tblCellMar>
            <w:top w:w="0" w:type="dxa"/>
            <w:left w:w="108" w:type="dxa"/>
            <w:bottom w:w="0" w:type="dxa"/>
            <w:right w:w="108" w:type="dxa"/>
          </w:tblCellMar>
        </w:tblPrEx>
        <w:tc>
          <w:tcPr>
            <w:tcW w:w="8847" w:type="dxa"/>
            <w:gridSpan w:val="9"/>
            <w:vAlign w:val="center"/>
          </w:tcPr>
          <w:p w14:paraId="5D463AE4">
            <w:pPr>
              <w:jc w:val="center"/>
            </w:pPr>
            <w:r>
              <w:rPr>
                <w:rFonts w:ascii="宋体" w:hAnsi="宋体" w:eastAsia="宋体"/>
                <w:sz w:val="24"/>
              </w:rPr>
              <w:t>单位整体支出绩效自评表</w:t>
            </w:r>
          </w:p>
        </w:tc>
      </w:tr>
      <w:tr w14:paraId="17D4D47D">
        <w:tblPrEx>
          <w:tblCellMar>
            <w:top w:w="0" w:type="dxa"/>
            <w:left w:w="108" w:type="dxa"/>
            <w:bottom w:w="0" w:type="dxa"/>
            <w:right w:w="108" w:type="dxa"/>
          </w:tblCellMar>
        </w:tblPrEx>
        <w:tc>
          <w:tcPr>
            <w:tcW w:w="8847" w:type="dxa"/>
            <w:gridSpan w:val="9"/>
            <w:vAlign w:val="center"/>
          </w:tcPr>
          <w:p w14:paraId="3049ACC5">
            <w:pPr>
              <w:jc w:val="center"/>
            </w:pPr>
            <w:r>
              <w:rPr>
                <w:rFonts w:ascii="宋体" w:hAnsi="宋体" w:eastAsia="宋体"/>
                <w:sz w:val="24"/>
              </w:rPr>
              <w:t>（2024年度）</w:t>
            </w:r>
          </w:p>
        </w:tc>
      </w:tr>
      <w:tr w14:paraId="1BCD170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8370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B3CDE8">
            <w:pPr>
              <w:jc w:val="center"/>
            </w:pPr>
            <w:r>
              <w:rPr>
                <w:rFonts w:ascii="宋体" w:hAnsi="宋体" w:eastAsia="宋体"/>
                <w:sz w:val="16"/>
              </w:rPr>
              <w:t>叶城县审计局</w:t>
            </w:r>
          </w:p>
        </w:tc>
      </w:tr>
      <w:tr w14:paraId="083AD8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BF4F1">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798F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FEAA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08E98">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A4D7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037A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582D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8D6BE">
            <w:pPr>
              <w:jc w:val="center"/>
            </w:pPr>
            <w:r>
              <w:rPr>
                <w:rFonts w:ascii="宋体" w:hAnsi="宋体" w:eastAsia="宋体"/>
                <w:sz w:val="16"/>
              </w:rPr>
              <w:t>得分</w:t>
            </w:r>
          </w:p>
        </w:tc>
      </w:tr>
      <w:tr w14:paraId="100E6C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69C2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A075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9A913">
            <w:pPr>
              <w:jc w:val="center"/>
            </w:pPr>
            <w:r>
              <w:rPr>
                <w:rFonts w:ascii="宋体" w:hAnsi="宋体" w:eastAsia="宋体"/>
                <w:sz w:val="16"/>
              </w:rPr>
              <w:t>431.94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F8984">
            <w:pPr>
              <w:jc w:val="center"/>
            </w:pPr>
            <w:r>
              <w:rPr>
                <w:rFonts w:ascii="宋体" w:hAnsi="宋体" w:eastAsia="宋体"/>
                <w:sz w:val="16"/>
              </w:rPr>
              <w:t>432.38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B41A8">
            <w:pPr>
              <w:jc w:val="center"/>
            </w:pPr>
            <w:r>
              <w:rPr>
                <w:rFonts w:ascii="宋体" w:hAnsi="宋体" w:eastAsia="宋体"/>
                <w:sz w:val="16"/>
              </w:rPr>
              <w:t>432.38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C49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5C1D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D20C2">
            <w:pPr>
              <w:jc w:val="center"/>
            </w:pPr>
            <w:r>
              <w:rPr>
                <w:rFonts w:ascii="宋体" w:hAnsi="宋体" w:eastAsia="宋体"/>
                <w:sz w:val="16"/>
              </w:rPr>
              <w:t>10</w:t>
            </w:r>
          </w:p>
        </w:tc>
      </w:tr>
      <w:tr w14:paraId="216B13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ADC4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57E0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BAEEE">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F1A70">
            <w:pPr>
              <w:jc w:val="center"/>
            </w:pPr>
            <w:r>
              <w:rPr>
                <w:rFonts w:ascii="宋体" w:hAnsi="宋体" w:eastAsia="宋体"/>
                <w:sz w:val="16"/>
              </w:rPr>
              <w:t>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3D7C6">
            <w:pPr>
              <w:jc w:val="center"/>
            </w:pPr>
            <w:r>
              <w:rPr>
                <w:rFonts w:ascii="宋体" w:hAnsi="宋体" w:eastAsia="宋体"/>
                <w:sz w:val="16"/>
              </w:rPr>
              <w:t>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22F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1CEB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6CB4B">
            <w:pPr>
              <w:jc w:val="center"/>
            </w:pPr>
            <w:r>
              <w:rPr>
                <w:rFonts w:ascii="宋体" w:hAnsi="宋体" w:eastAsia="宋体"/>
                <w:sz w:val="16"/>
              </w:rPr>
              <w:t>—</w:t>
            </w:r>
          </w:p>
        </w:tc>
      </w:tr>
      <w:tr w14:paraId="1CE318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1450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6D85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3E090">
            <w:pPr>
              <w:jc w:val="center"/>
            </w:pPr>
            <w:r>
              <w:rPr>
                <w:rFonts w:ascii="宋体" w:hAnsi="宋体" w:eastAsia="宋体"/>
                <w:sz w:val="16"/>
              </w:rPr>
              <w:t>419.94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9DD7D">
            <w:pPr>
              <w:jc w:val="center"/>
            </w:pPr>
            <w:r>
              <w:rPr>
                <w:rFonts w:ascii="宋体" w:hAnsi="宋体" w:eastAsia="宋体"/>
                <w:sz w:val="16"/>
              </w:rPr>
              <w:t>426.27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62A84">
            <w:pPr>
              <w:jc w:val="center"/>
            </w:pPr>
            <w:r>
              <w:rPr>
                <w:rFonts w:ascii="宋体" w:hAnsi="宋体" w:eastAsia="宋体"/>
                <w:sz w:val="16"/>
              </w:rPr>
              <w:t>426.27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E56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4CC7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5AB5B">
            <w:pPr>
              <w:jc w:val="center"/>
            </w:pPr>
            <w:r>
              <w:rPr>
                <w:rFonts w:ascii="宋体" w:hAnsi="宋体" w:eastAsia="宋体"/>
                <w:sz w:val="16"/>
              </w:rPr>
              <w:t>—</w:t>
            </w:r>
          </w:p>
        </w:tc>
      </w:tr>
      <w:tr w14:paraId="5BC5E3BE">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4F7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B218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A6E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526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828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78E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3385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CE2E7">
            <w:pPr>
              <w:jc w:val="center"/>
            </w:pPr>
            <w:r>
              <w:rPr>
                <w:rFonts w:ascii="宋体" w:hAnsi="宋体" w:eastAsia="宋体"/>
                <w:sz w:val="16"/>
              </w:rPr>
              <w:t>—</w:t>
            </w:r>
          </w:p>
        </w:tc>
      </w:tr>
      <w:tr w14:paraId="63666B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AFCD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EF207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414AC0">
            <w:pPr>
              <w:jc w:val="center"/>
            </w:pPr>
            <w:r>
              <w:rPr>
                <w:rFonts w:ascii="宋体" w:hAnsi="宋体" w:eastAsia="宋体"/>
                <w:sz w:val="16"/>
              </w:rPr>
              <w:t>实际完成情况</w:t>
            </w:r>
          </w:p>
        </w:tc>
      </w:tr>
      <w:tr w14:paraId="6B5EC6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2BAC1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DEA4A7">
            <w:pPr>
              <w:jc w:val="both"/>
            </w:pPr>
            <w:r>
              <w:rPr>
                <w:rFonts w:ascii="宋体" w:hAnsi="宋体" w:eastAsia="宋体"/>
                <w:sz w:val="16"/>
              </w:rPr>
              <w:t>贯彻落实党中央、自治区党委、地区关于审计工作的方针政策和决策部署以及县委、县政府工作要求，在履行职责过程中坚持和加强党对审计工作的集中统一领导，认真履行审计监督职责，充分发挥审计保障国家经济健康运行的“免疫系统”功能，紧紧围绕县委、县人民政府确定的经济建设和各项事业发展的工作，把推进法治、维护民生、推动改革、促进发展作为审计工作的出发点和落脚点，认真履行《中华人民共和国宪法》和《</w:t>
            </w:r>
            <w:r>
              <w:rPr>
                <w:rFonts w:hint="eastAsia" w:ascii="宋体" w:hAnsi="宋体"/>
                <w:sz w:val="16"/>
                <w:lang w:eastAsia="zh-CN"/>
              </w:rPr>
              <w:t>中华人民共和国审计法</w:t>
            </w:r>
            <w:r>
              <w:rPr>
                <w:rFonts w:ascii="宋体" w:hAnsi="宋体" w:eastAsia="宋体"/>
                <w:sz w:val="16"/>
              </w:rPr>
              <w:t>》赋予的审计监督职责，全面监督财政财务收支的真实性、合法性、效益性，重点加强财政预算、专项资金、援疆资金审计监督，加强固定资产投资审计、经济责任审计、自然资源资产审计、乡村振兴</w:t>
            </w:r>
            <w:bookmarkStart w:id="0" w:name="_GoBack"/>
            <w:r>
              <w:rPr>
                <w:rFonts w:ascii="宋体" w:hAnsi="宋体" w:eastAsia="宋体"/>
                <w:sz w:val="16"/>
              </w:rPr>
              <w:t>跟踪</w:t>
            </w:r>
            <w:bookmarkEnd w:id="0"/>
            <w:r>
              <w:rPr>
                <w:rFonts w:ascii="宋体" w:hAnsi="宋体" w:eastAsia="宋体"/>
                <w:sz w:val="16"/>
              </w:rPr>
              <w:t>审计等中央重大政策措施落实情况审计工作的力度，确保我县经济健康运行。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A54D39">
            <w:pPr>
              <w:jc w:val="both"/>
            </w:pPr>
            <w:r>
              <w:rPr>
                <w:rFonts w:ascii="宋体" w:hAnsi="宋体" w:eastAsia="宋体"/>
                <w:sz w:val="16"/>
              </w:rPr>
              <w:t>贯彻落实党中央、自治区党委、地区关于审计工作的方针政策和决策部署以及县委、县政府工作要求，在履行职责过程中坚持和加强党对审计工作的集中统一领导，认真履行审计监督职责，充分发挥审计保障国家经济健康运行的“免疫系统”功能，紧紧围绕县委、县人民政府确定的经济建设和各项事业发展的工作，把推进法治、维护民生、推动改革、促进发展作为审计工作的出发点和落脚点，认真履行《中华人民共和国宪法》和《</w:t>
            </w:r>
            <w:r>
              <w:rPr>
                <w:rFonts w:hint="eastAsia" w:ascii="宋体" w:hAnsi="宋体"/>
                <w:sz w:val="16"/>
                <w:lang w:eastAsia="zh-CN"/>
              </w:rPr>
              <w:t>中华人民共和国审计法</w:t>
            </w:r>
            <w:r>
              <w:rPr>
                <w:rFonts w:ascii="宋体" w:hAnsi="宋体" w:eastAsia="宋体"/>
                <w:sz w:val="16"/>
              </w:rPr>
              <w:t>》赋予的审计监督职责，全面监督财政财务收支的真实性、合法性、效益性，重点加强财政预算、专项资金、援疆资金审计监督，加强固定资产投资审计、经济责任审计、自然资源资产审计、乡村振兴跟踪审计等中央重大政策措施落实情况审计工作的力度，确保我县经济健康运行。2024完成审计项目13个，审计查出主要问题金额89505万元，审计发现非金额计量问题39个，审计提出并被采纳审计建议34条，被审计单位制定整改措施65项，移送处理事项2个。审计监督巡察覆盖单位数量10个、全过程跟踪审计项目数量3个、审计抽检覆盖率20%、跟踪审计重大政策措施落实情况覆盖率50%、审计问题整改完成率80%。</w:t>
            </w:r>
          </w:p>
        </w:tc>
      </w:tr>
      <w:tr w14:paraId="44975A8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CD0A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8B65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25D2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A2C6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93A1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6208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B0D4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0817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A7C84">
            <w:pPr>
              <w:jc w:val="center"/>
            </w:pPr>
            <w:r>
              <w:rPr>
                <w:rFonts w:ascii="宋体" w:hAnsi="宋体" w:eastAsia="宋体"/>
                <w:sz w:val="16"/>
              </w:rPr>
              <w:t>得分</w:t>
            </w:r>
          </w:p>
        </w:tc>
      </w:tr>
      <w:tr w14:paraId="70600D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FA223">
            <w:pPr>
              <w:jc w:val="center"/>
            </w:pPr>
            <w:r>
              <w:rPr>
                <w:rFonts w:ascii="宋体" w:hAnsi="宋体" w:eastAsia="宋体"/>
                <w:sz w:val="16"/>
              </w:rPr>
              <w:t>履职效能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FD32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2CF09">
            <w:pPr>
              <w:jc w:val="center"/>
            </w:pPr>
            <w:r>
              <w:rPr>
                <w:rFonts w:ascii="宋体" w:hAnsi="宋体" w:eastAsia="宋体"/>
                <w:sz w:val="16"/>
              </w:rPr>
              <w:t>审计监督巡察覆盖单位数量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835A0">
            <w:pPr>
              <w:jc w:val="center"/>
            </w:pPr>
            <w:r>
              <w:rPr>
                <w:rFonts w:ascii="宋体" w:hAnsi="宋体" w:eastAsia="宋体"/>
                <w:sz w:val="16"/>
              </w:rPr>
              <w:t>&gt;=10个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ABF6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18F8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055CF">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172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5986C">
            <w:pPr>
              <w:jc w:val="center"/>
            </w:pPr>
            <w:r>
              <w:rPr>
                <w:rFonts w:ascii="宋体" w:hAnsi="宋体" w:eastAsia="宋体"/>
                <w:sz w:val="16"/>
              </w:rPr>
              <w:t>18</w:t>
            </w:r>
          </w:p>
        </w:tc>
      </w:tr>
      <w:tr w14:paraId="1DAB9F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951C3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A82C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22779">
            <w:pPr>
              <w:jc w:val="center"/>
            </w:pPr>
            <w:r>
              <w:rPr>
                <w:rFonts w:ascii="宋体" w:hAnsi="宋体" w:eastAsia="宋体"/>
                <w:sz w:val="16"/>
              </w:rPr>
              <w:t>全过程跟踪审计项目数量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57F7F">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52043">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327B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875E3">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2D8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B24FF">
            <w:pPr>
              <w:jc w:val="center"/>
            </w:pPr>
            <w:r>
              <w:rPr>
                <w:rFonts w:ascii="宋体" w:hAnsi="宋体" w:eastAsia="宋体"/>
                <w:sz w:val="16"/>
              </w:rPr>
              <w:t>18</w:t>
            </w:r>
          </w:p>
        </w:tc>
      </w:tr>
      <w:tr w14:paraId="19A7351D">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95C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C99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5F3FC">
            <w:pPr>
              <w:jc w:val="center"/>
            </w:pPr>
            <w:r>
              <w:rPr>
                <w:rFonts w:ascii="宋体" w:hAnsi="宋体" w:eastAsia="宋体"/>
                <w:sz w:val="16"/>
              </w:rPr>
              <w:t>审计抽检覆盖率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B8675">
            <w:pPr>
              <w:jc w:val="center"/>
            </w:pPr>
            <w:r>
              <w:rPr>
                <w:rFonts w:ascii="宋体" w:hAnsi="宋体" w:eastAsia="宋体"/>
                <w:sz w:val="16"/>
              </w:rPr>
              <w:t>&gt;=20%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FB503">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7221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1918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F10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EDC97">
            <w:pPr>
              <w:jc w:val="center"/>
            </w:pPr>
            <w:r>
              <w:rPr>
                <w:rFonts w:ascii="宋体" w:hAnsi="宋体" w:eastAsia="宋体"/>
                <w:sz w:val="16"/>
              </w:rPr>
              <w:t>18</w:t>
            </w:r>
          </w:p>
        </w:tc>
      </w:tr>
      <w:tr w14:paraId="60DCA1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D84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12D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C959A">
            <w:pPr>
              <w:jc w:val="center"/>
            </w:pPr>
            <w:r>
              <w:rPr>
                <w:rFonts w:ascii="宋体" w:hAnsi="宋体" w:eastAsia="宋体"/>
                <w:sz w:val="16"/>
              </w:rPr>
              <w:t>跟踪审计重大政策措施落实情况覆盖率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07C92">
            <w:pPr>
              <w:jc w:val="center"/>
            </w:pPr>
            <w:r>
              <w:rPr>
                <w:rFonts w:ascii="宋体" w:hAnsi="宋体" w:eastAsia="宋体"/>
                <w:sz w:val="16"/>
              </w:rPr>
              <w:t>&gt;=50%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109B3">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C310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60313">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E57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129C1">
            <w:pPr>
              <w:jc w:val="center"/>
            </w:pPr>
            <w:r>
              <w:rPr>
                <w:rFonts w:ascii="宋体" w:hAnsi="宋体" w:eastAsia="宋体"/>
                <w:sz w:val="16"/>
              </w:rPr>
              <w:t>18</w:t>
            </w:r>
          </w:p>
        </w:tc>
      </w:tr>
      <w:tr w14:paraId="1F4D57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1D71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CA6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F136B">
            <w:pPr>
              <w:jc w:val="center"/>
            </w:pPr>
            <w:r>
              <w:rPr>
                <w:rFonts w:ascii="宋体" w:hAnsi="宋体" w:eastAsia="宋体"/>
                <w:sz w:val="16"/>
              </w:rPr>
              <w:t>审计问题整改完成率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46C83">
            <w:pPr>
              <w:jc w:val="center"/>
            </w:pPr>
            <w:r>
              <w:rPr>
                <w:rFonts w:ascii="宋体" w:hAnsi="宋体" w:eastAsia="宋体"/>
                <w:sz w:val="16"/>
              </w:rPr>
              <w:t>&gt;=80%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307A0">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B4AC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3F6F6">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865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95BD0">
            <w:pPr>
              <w:jc w:val="center"/>
            </w:pPr>
            <w:r>
              <w:rPr>
                <w:rFonts w:ascii="宋体" w:hAnsi="宋体" w:eastAsia="宋体"/>
                <w:sz w:val="16"/>
              </w:rPr>
              <w:t>18</w:t>
            </w:r>
          </w:p>
        </w:tc>
      </w:tr>
    </w:tbl>
    <w:p w14:paraId="642B213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445A6DC">
        <w:tblPrEx>
          <w:tblCellMar>
            <w:top w:w="0" w:type="dxa"/>
            <w:left w:w="108" w:type="dxa"/>
            <w:bottom w:w="0" w:type="dxa"/>
            <w:right w:w="108" w:type="dxa"/>
          </w:tblCellMar>
        </w:tblPrEx>
        <w:tc>
          <w:tcPr>
            <w:tcW w:w="8848" w:type="dxa"/>
            <w:gridSpan w:val="14"/>
            <w:vAlign w:val="center"/>
          </w:tcPr>
          <w:p w14:paraId="6EB0BFC6">
            <w:pPr>
              <w:jc w:val="center"/>
            </w:pPr>
            <w:r>
              <w:rPr>
                <w:rFonts w:ascii="宋体" w:hAnsi="宋体" w:eastAsia="宋体"/>
                <w:sz w:val="24"/>
              </w:rPr>
              <w:t>项目支出绩效自评表</w:t>
            </w:r>
          </w:p>
        </w:tc>
      </w:tr>
      <w:tr w14:paraId="3BD2C85B">
        <w:tblPrEx>
          <w:tblCellMar>
            <w:top w:w="0" w:type="dxa"/>
            <w:left w:w="108" w:type="dxa"/>
            <w:bottom w:w="0" w:type="dxa"/>
            <w:right w:w="108" w:type="dxa"/>
          </w:tblCellMar>
        </w:tblPrEx>
        <w:tc>
          <w:tcPr>
            <w:tcW w:w="8848" w:type="dxa"/>
            <w:gridSpan w:val="14"/>
            <w:vAlign w:val="center"/>
          </w:tcPr>
          <w:p w14:paraId="24829A7B">
            <w:pPr>
              <w:jc w:val="center"/>
            </w:pPr>
            <w:r>
              <w:rPr>
                <w:rFonts w:ascii="宋体" w:hAnsi="宋体" w:eastAsia="宋体"/>
                <w:sz w:val="24"/>
              </w:rPr>
              <w:t>(2024年度)</w:t>
            </w:r>
          </w:p>
        </w:tc>
      </w:tr>
      <w:tr w14:paraId="733605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40E3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AAA99B">
            <w:pPr>
              <w:jc w:val="center"/>
            </w:pPr>
            <w:r>
              <w:rPr>
                <w:rFonts w:ascii="宋体" w:hAnsi="宋体" w:eastAsia="宋体"/>
                <w:sz w:val="16"/>
              </w:rPr>
              <w:t>2023年度乡村振兴审计专项项目</w:t>
            </w:r>
          </w:p>
        </w:tc>
      </w:tr>
      <w:tr w14:paraId="0F81F9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D14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363233">
            <w:pPr>
              <w:jc w:val="center"/>
            </w:pPr>
            <w:r>
              <w:rPr>
                <w:rFonts w:ascii="宋体" w:hAnsi="宋体" w:eastAsia="宋体"/>
                <w:sz w:val="16"/>
              </w:rPr>
              <w:t>叶城县审计局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B1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667FBF">
            <w:pPr>
              <w:jc w:val="center"/>
            </w:pPr>
            <w:r>
              <w:rPr>
                <w:rFonts w:ascii="宋体" w:hAnsi="宋体" w:eastAsia="宋体"/>
                <w:sz w:val="16"/>
              </w:rPr>
              <w:t>叶城县审计局</w:t>
            </w:r>
          </w:p>
        </w:tc>
      </w:tr>
      <w:tr w14:paraId="722214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1B11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0E01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45B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789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E02A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AF2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94A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DF03">
            <w:pPr>
              <w:jc w:val="center"/>
            </w:pPr>
            <w:r>
              <w:rPr>
                <w:rFonts w:ascii="宋体" w:hAnsi="宋体" w:eastAsia="宋体"/>
                <w:sz w:val="16"/>
              </w:rPr>
              <w:t>得分</w:t>
            </w:r>
          </w:p>
        </w:tc>
      </w:tr>
      <w:tr w14:paraId="21F7D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EEA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3425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04F48">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1F183">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0D507">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DA9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313F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C7A5">
            <w:pPr>
              <w:jc w:val="center"/>
            </w:pPr>
            <w:r>
              <w:rPr>
                <w:rFonts w:ascii="宋体" w:hAnsi="宋体" w:eastAsia="宋体"/>
                <w:sz w:val="16"/>
              </w:rPr>
              <w:t>10.00分</w:t>
            </w:r>
          </w:p>
        </w:tc>
      </w:tr>
      <w:tr w14:paraId="0E578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F4B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5364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195E1">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BC38F">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78701">
            <w:pPr>
              <w:jc w:val="center"/>
            </w:pPr>
            <w:r>
              <w:rPr>
                <w:rFonts w:ascii="宋体" w:hAnsi="宋体" w:eastAsia="宋体"/>
                <w:sz w:val="16"/>
              </w:rPr>
              <w:t>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10F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C18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233D">
            <w:pPr>
              <w:jc w:val="center"/>
            </w:pPr>
            <w:r>
              <w:rPr>
                <w:rFonts w:ascii="宋体" w:hAnsi="宋体" w:eastAsia="宋体"/>
                <w:sz w:val="16"/>
              </w:rPr>
              <w:t>—</w:t>
            </w:r>
          </w:p>
        </w:tc>
      </w:tr>
      <w:tr w14:paraId="3A936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4A2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1BF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BD4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20E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8CD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F39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5F3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58055">
            <w:pPr>
              <w:jc w:val="center"/>
            </w:pPr>
            <w:r>
              <w:rPr>
                <w:rFonts w:ascii="宋体" w:hAnsi="宋体" w:eastAsia="宋体"/>
                <w:sz w:val="16"/>
              </w:rPr>
              <w:t>—</w:t>
            </w:r>
          </w:p>
        </w:tc>
      </w:tr>
      <w:tr w14:paraId="2D1DE9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3F08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4E821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FF4353">
            <w:pPr>
              <w:jc w:val="center"/>
            </w:pPr>
            <w:r>
              <w:rPr>
                <w:rFonts w:ascii="宋体" w:hAnsi="宋体" w:eastAsia="宋体"/>
                <w:sz w:val="16"/>
              </w:rPr>
              <w:t>实际完成情况</w:t>
            </w:r>
          </w:p>
        </w:tc>
      </w:tr>
      <w:tr w14:paraId="2153C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311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E1E9F9">
            <w:pPr>
              <w:jc w:val="both"/>
            </w:pPr>
            <w:r>
              <w:rPr>
                <w:rFonts w:ascii="宋体" w:hAnsi="宋体" w:eastAsia="宋体"/>
                <w:sz w:val="16"/>
              </w:rPr>
              <w:t>该项目资金12万元，2023年度支付10.23万元，剩余资金1.77万</w:t>
            </w:r>
            <w:r>
              <w:rPr>
                <w:rFonts w:hint="eastAsia" w:ascii="宋体" w:hAnsi="宋体"/>
                <w:sz w:val="16"/>
                <w:lang w:eastAsia="zh-CN"/>
              </w:rPr>
              <w:t>元于</w:t>
            </w:r>
            <w:r>
              <w:rPr>
                <w:rFonts w:ascii="宋体" w:hAnsi="宋体" w:eastAsia="宋体"/>
                <w:sz w:val="16"/>
              </w:rPr>
              <w:t>2024年支付，主要用于对全县的乡村振兴专项资金开展专项审计中产生的办公费等费用，保障乡村振兴专项审计顺利进行。</w:t>
            </w:r>
            <w:r>
              <w:rPr>
                <w:rFonts w:ascii="宋体" w:hAnsi="宋体" w:eastAsia="宋体"/>
                <w:sz w:val="16"/>
              </w:rPr>
              <w:br w:type="textWrapping"/>
            </w:r>
            <w:r>
              <w:rPr>
                <w:rFonts w:ascii="宋体" w:hAnsi="宋体" w:eastAsia="宋体"/>
                <w:sz w:val="16"/>
              </w:rPr>
              <w:t>在巩固拓展脱贫攻坚成果衔接期内，通过不间断开展审计监督，促进巩固提升脱贫地区特色产业完善联农带农机制，提高脱贫人口收入，进一步巩固脱贫成果，提高脱贫人口生活的幸福感和安全感。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F0658B">
            <w:pPr>
              <w:jc w:val="both"/>
            </w:pPr>
            <w:r>
              <w:rPr>
                <w:rFonts w:ascii="宋体" w:hAnsi="宋体" w:eastAsia="宋体"/>
                <w:sz w:val="16"/>
              </w:rPr>
              <w:t>截至2024年8月31日，实际支出 1.77万元，支付对全县乡村振兴资金开展审计中产生的各类费用，按时支付相关费用，保障乡村振兴专项审计顺利进行，通过不间断实施审计，保障乡村振兴项目安全</w:t>
            </w:r>
            <w:r>
              <w:rPr>
                <w:rFonts w:hint="eastAsia" w:ascii="宋体" w:hAnsi="宋体"/>
                <w:sz w:val="16"/>
                <w:lang w:eastAsia="zh-CN"/>
              </w:rPr>
              <w:t>有效地</w:t>
            </w:r>
            <w:r>
              <w:rPr>
                <w:rFonts w:ascii="宋体" w:hAnsi="宋体" w:eastAsia="宋体"/>
                <w:sz w:val="16"/>
              </w:rPr>
              <w:t>进行，为巩固拓展脱贫攻坚成果打下坚实基础。</w:t>
            </w:r>
          </w:p>
        </w:tc>
      </w:tr>
      <w:tr w14:paraId="6013B7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37AD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9C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9E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9C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442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3E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205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9D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A8D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3C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6B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ED8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C6304">
            <w:pPr>
              <w:jc w:val="center"/>
            </w:pPr>
            <w:r>
              <w:rPr>
                <w:rFonts w:ascii="宋体" w:hAnsi="宋体" w:eastAsia="宋体"/>
                <w:sz w:val="16"/>
              </w:rPr>
              <w:t>偏差原因分析及改进措施</w:t>
            </w:r>
          </w:p>
        </w:tc>
      </w:tr>
      <w:tr w14:paraId="6D88B5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7D4B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3B12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6DC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5DC54">
            <w:pPr>
              <w:jc w:val="center"/>
            </w:pPr>
            <w:r>
              <w:rPr>
                <w:rFonts w:ascii="宋体" w:hAnsi="宋体" w:eastAsia="宋体"/>
                <w:sz w:val="16"/>
              </w:rPr>
              <w:t>支付尾款项目数（个）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AEF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2B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25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B3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4EF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DB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4227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EF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51E42">
            <w:pPr>
              <w:jc w:val="center"/>
            </w:pPr>
          </w:p>
        </w:tc>
      </w:tr>
      <w:tr w14:paraId="57FC00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A24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3F8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1A9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F17B">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0F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3B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F0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FC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1F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BC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D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A1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2896C">
            <w:pPr>
              <w:jc w:val="center"/>
            </w:pPr>
          </w:p>
        </w:tc>
      </w:tr>
      <w:tr w14:paraId="6FA645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EAD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270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BDA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2FE6">
            <w:pPr>
              <w:jc w:val="center"/>
            </w:pPr>
            <w:r>
              <w:rPr>
                <w:rFonts w:ascii="宋体" w:hAnsi="宋体" w:eastAsia="宋体"/>
                <w:sz w:val="16"/>
              </w:rPr>
              <w:t>经费保障率（%）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7A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54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F6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95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6D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B4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AD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B7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903F4">
            <w:pPr>
              <w:jc w:val="center"/>
            </w:pPr>
          </w:p>
        </w:tc>
      </w:tr>
      <w:tr w14:paraId="165AC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16A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46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70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413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A3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1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F3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06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A8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27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58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AA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16B7F">
            <w:pPr>
              <w:jc w:val="center"/>
            </w:pPr>
          </w:p>
        </w:tc>
      </w:tr>
      <w:tr w14:paraId="565C00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57F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D84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BE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2594">
            <w:pPr>
              <w:jc w:val="center"/>
            </w:pPr>
            <w:r>
              <w:rPr>
                <w:rFonts w:ascii="宋体" w:hAnsi="宋体" w:eastAsia="宋体"/>
                <w:sz w:val="16"/>
              </w:rPr>
              <w:t>支付尾款金额（万元）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8676">
            <w:pPr>
              <w:jc w:val="center"/>
            </w:pPr>
            <w:r>
              <w:rPr>
                <w:rFonts w:ascii="宋体" w:hAnsi="宋体" w:eastAsia="宋体"/>
                <w:sz w:val="16"/>
              </w:rPr>
              <w:t>&lt;=1.77万元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23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84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0BE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D6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82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79EC">
            <w:pPr>
              <w:jc w:val="center"/>
            </w:pPr>
            <w:r>
              <w:rPr>
                <w:rFonts w:ascii="宋体" w:hAnsi="宋体" w:eastAsia="宋体"/>
                <w:sz w:val="16"/>
              </w:rPr>
              <w:t>=1.77万元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9C6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CEF76">
            <w:pPr>
              <w:jc w:val="center"/>
            </w:pPr>
          </w:p>
        </w:tc>
      </w:tr>
      <w:tr w14:paraId="16ABC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B48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7E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1E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F1C1">
            <w:pPr>
              <w:jc w:val="center"/>
            </w:pPr>
            <w:r>
              <w:rPr>
                <w:rFonts w:ascii="宋体" w:hAnsi="宋体" w:eastAsia="宋体"/>
                <w:sz w:val="16"/>
              </w:rPr>
              <w:t>保障项目顺利实施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A7B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9A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FC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B88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047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E87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8AD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650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4E3D9">
            <w:pPr>
              <w:jc w:val="center"/>
            </w:pPr>
          </w:p>
        </w:tc>
      </w:tr>
      <w:tr w14:paraId="62EE8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D33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A0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BE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5A72">
            <w:pPr>
              <w:jc w:val="center"/>
            </w:pPr>
            <w:r>
              <w:rPr>
                <w:rFonts w:ascii="宋体" w:hAnsi="宋体" w:eastAsia="宋体"/>
                <w:sz w:val="16"/>
              </w:rPr>
              <w:t>受益审计人员满意度（%）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570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09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8B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9E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EF3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1BF3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A9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3D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65E5A">
            <w:pPr>
              <w:jc w:val="center"/>
            </w:pPr>
            <w:r>
              <w:rPr>
                <w:rFonts w:ascii="宋体" w:hAnsi="宋体" w:eastAsia="宋体"/>
                <w:sz w:val="16"/>
              </w:rPr>
              <w:t>偏差原因：受益审计人员对项目实施都很满意；改进措施：加强年初预算编制管理。</w:t>
            </w:r>
          </w:p>
        </w:tc>
      </w:tr>
      <w:tr w14:paraId="64767BB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0BF0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A68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E533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86E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AC99EDC"/>
        </w:tc>
      </w:tr>
    </w:tbl>
    <w:p w14:paraId="140DCEEA">
      <w:r>
        <w:br w:type="page"/>
      </w:r>
    </w:p>
    <w:tbl>
      <w:tblPr>
        <w:tblStyle w:val="9"/>
        <w:tblW w:w="9335" w:type="dxa"/>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927"/>
      </w:tblGrid>
      <w:tr w14:paraId="0A499BCC">
        <w:tblPrEx>
          <w:tblCellMar>
            <w:top w:w="0" w:type="dxa"/>
            <w:left w:w="108" w:type="dxa"/>
            <w:bottom w:w="0" w:type="dxa"/>
            <w:right w:w="108" w:type="dxa"/>
          </w:tblCellMar>
        </w:tblPrEx>
        <w:tc>
          <w:tcPr>
            <w:tcW w:w="9335" w:type="dxa"/>
            <w:gridSpan w:val="14"/>
            <w:vAlign w:val="center"/>
          </w:tcPr>
          <w:p w14:paraId="4692BA0D">
            <w:pPr>
              <w:jc w:val="center"/>
            </w:pPr>
            <w:r>
              <w:rPr>
                <w:rFonts w:ascii="宋体" w:hAnsi="宋体" w:eastAsia="宋体"/>
                <w:sz w:val="24"/>
              </w:rPr>
              <w:t>项目支出绩效自评表</w:t>
            </w:r>
          </w:p>
        </w:tc>
      </w:tr>
      <w:tr w14:paraId="6A1A3D46">
        <w:tblPrEx>
          <w:tblCellMar>
            <w:top w:w="0" w:type="dxa"/>
            <w:left w:w="108" w:type="dxa"/>
            <w:bottom w:w="0" w:type="dxa"/>
            <w:right w:w="108" w:type="dxa"/>
          </w:tblCellMar>
        </w:tblPrEx>
        <w:tc>
          <w:tcPr>
            <w:tcW w:w="9335" w:type="dxa"/>
            <w:gridSpan w:val="14"/>
            <w:vAlign w:val="center"/>
          </w:tcPr>
          <w:p w14:paraId="5CCA9CB1">
            <w:pPr>
              <w:jc w:val="center"/>
            </w:pPr>
            <w:r>
              <w:rPr>
                <w:rFonts w:ascii="宋体" w:hAnsi="宋体" w:eastAsia="宋体"/>
                <w:sz w:val="24"/>
              </w:rPr>
              <w:t>(2024年度)</w:t>
            </w:r>
          </w:p>
        </w:tc>
      </w:tr>
      <w:tr w14:paraId="71ECBE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C6C2">
            <w:pPr>
              <w:jc w:val="center"/>
            </w:pPr>
            <w:r>
              <w:rPr>
                <w:rFonts w:ascii="宋体" w:hAnsi="宋体" w:eastAsia="宋体"/>
                <w:sz w:val="16"/>
              </w:rPr>
              <w:t>项目名称</w:t>
            </w:r>
          </w:p>
        </w:tc>
        <w:tc>
          <w:tcPr>
            <w:tcW w:w="8703"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0C88DF">
            <w:pPr>
              <w:jc w:val="center"/>
            </w:pPr>
            <w:r>
              <w:rPr>
                <w:rFonts w:ascii="宋体" w:hAnsi="宋体" w:eastAsia="宋体"/>
                <w:sz w:val="16"/>
              </w:rPr>
              <w:t>自治区2024年度乡村振兴专项审计项目</w:t>
            </w:r>
          </w:p>
        </w:tc>
      </w:tr>
      <w:tr w14:paraId="1F25D2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BA99">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16C6A9">
            <w:pPr>
              <w:jc w:val="center"/>
            </w:pPr>
            <w:r>
              <w:rPr>
                <w:rFonts w:ascii="宋体" w:hAnsi="宋体" w:eastAsia="宋体"/>
                <w:sz w:val="16"/>
              </w:rPr>
              <w:t>叶城县审计局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78EE2">
            <w:pPr>
              <w:jc w:val="center"/>
            </w:pPr>
            <w:r>
              <w:rPr>
                <w:rFonts w:ascii="宋体" w:hAnsi="宋体" w:eastAsia="宋体"/>
                <w:sz w:val="16"/>
              </w:rPr>
              <w:t>实施单位</w:t>
            </w:r>
          </w:p>
        </w:tc>
        <w:tc>
          <w:tcPr>
            <w:tcW w:w="351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29502E">
            <w:pPr>
              <w:jc w:val="center"/>
            </w:pPr>
            <w:r>
              <w:rPr>
                <w:rFonts w:ascii="宋体" w:hAnsi="宋体" w:eastAsia="宋体"/>
                <w:sz w:val="16"/>
              </w:rPr>
              <w:t>叶城县审计局</w:t>
            </w:r>
          </w:p>
        </w:tc>
      </w:tr>
      <w:tr w14:paraId="55F70E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F826C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C9E5D">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645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065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AAA51">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512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23F31">
            <w:pPr>
              <w:jc w:val="center"/>
            </w:pPr>
            <w:r>
              <w:rPr>
                <w:rFonts w:ascii="宋体" w:hAnsi="宋体" w:eastAsia="宋体"/>
                <w:sz w:val="16"/>
              </w:rPr>
              <w:t>执行率</w:t>
            </w:r>
          </w:p>
        </w:tc>
        <w:tc>
          <w:tcPr>
            <w:tcW w:w="927" w:type="dxa"/>
            <w:tcBorders>
              <w:top w:val="single" w:color="auto" w:sz="10" w:space="0"/>
              <w:left w:val="single" w:color="auto" w:sz="10" w:space="0"/>
              <w:bottom w:val="single" w:color="auto" w:sz="10" w:space="0"/>
              <w:right w:val="single" w:color="auto" w:sz="10" w:space="0"/>
              <w:insideV w:val="single" w:sz="10" w:space="0"/>
            </w:tcBorders>
            <w:vAlign w:val="center"/>
          </w:tcPr>
          <w:p w14:paraId="4C5EF528">
            <w:pPr>
              <w:jc w:val="center"/>
            </w:pPr>
            <w:r>
              <w:rPr>
                <w:rFonts w:ascii="宋体" w:hAnsi="宋体" w:eastAsia="宋体"/>
                <w:sz w:val="16"/>
              </w:rPr>
              <w:t>得分</w:t>
            </w:r>
          </w:p>
        </w:tc>
      </w:tr>
      <w:tr w14:paraId="0AF8F6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19A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551E5">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1C58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59DC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95506">
            <w:pPr>
              <w:jc w:val="center"/>
            </w:pPr>
            <w:r>
              <w:rPr>
                <w:rFonts w:ascii="宋体" w:hAnsi="宋体" w:eastAsia="宋体"/>
                <w:sz w:val="16"/>
              </w:rPr>
              <w:t>4.77</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2FC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CA212">
            <w:pPr>
              <w:jc w:val="center"/>
            </w:pPr>
            <w:r>
              <w:rPr>
                <w:rFonts w:ascii="宋体" w:hAnsi="宋体" w:eastAsia="宋体"/>
                <w:sz w:val="16"/>
              </w:rPr>
              <w:t>47.70%</w:t>
            </w:r>
          </w:p>
        </w:tc>
        <w:tc>
          <w:tcPr>
            <w:tcW w:w="927" w:type="dxa"/>
            <w:tcBorders>
              <w:top w:val="single" w:color="auto" w:sz="10" w:space="0"/>
              <w:left w:val="single" w:color="auto" w:sz="10" w:space="0"/>
              <w:bottom w:val="single" w:color="auto" w:sz="10" w:space="0"/>
              <w:right w:val="single" w:color="auto" w:sz="10" w:space="0"/>
              <w:insideV w:val="single" w:sz="10" w:space="0"/>
            </w:tcBorders>
            <w:vAlign w:val="center"/>
          </w:tcPr>
          <w:p w14:paraId="47573549">
            <w:pPr>
              <w:jc w:val="center"/>
            </w:pPr>
            <w:r>
              <w:rPr>
                <w:rFonts w:ascii="宋体" w:hAnsi="宋体" w:eastAsia="宋体"/>
                <w:sz w:val="16"/>
              </w:rPr>
              <w:t>0.00分</w:t>
            </w:r>
          </w:p>
        </w:tc>
      </w:tr>
      <w:tr w14:paraId="6E184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4BF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56A53">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DB3E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CF58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E3298">
            <w:pPr>
              <w:jc w:val="center"/>
            </w:pPr>
            <w:r>
              <w:rPr>
                <w:rFonts w:ascii="宋体" w:hAnsi="宋体" w:eastAsia="宋体"/>
                <w:sz w:val="16"/>
              </w:rPr>
              <w:t>4.77</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CAD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9FA91">
            <w:pPr>
              <w:jc w:val="center"/>
            </w:pPr>
          </w:p>
        </w:tc>
        <w:tc>
          <w:tcPr>
            <w:tcW w:w="927" w:type="dxa"/>
            <w:tcBorders>
              <w:top w:val="single" w:color="auto" w:sz="10" w:space="0"/>
              <w:left w:val="single" w:color="auto" w:sz="10" w:space="0"/>
              <w:bottom w:val="single" w:color="auto" w:sz="10" w:space="0"/>
              <w:right w:val="single" w:color="auto" w:sz="10" w:space="0"/>
              <w:insideV w:val="single" w:sz="10" w:space="0"/>
            </w:tcBorders>
            <w:vAlign w:val="center"/>
          </w:tcPr>
          <w:p w14:paraId="1834AE05">
            <w:pPr>
              <w:jc w:val="center"/>
            </w:pPr>
            <w:r>
              <w:rPr>
                <w:rFonts w:ascii="宋体" w:hAnsi="宋体" w:eastAsia="宋体"/>
                <w:sz w:val="16"/>
              </w:rPr>
              <w:t>—</w:t>
            </w:r>
          </w:p>
        </w:tc>
      </w:tr>
      <w:tr w14:paraId="72714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DE4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A3ED9">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579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1CE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AD011">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45F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A072C">
            <w:pPr>
              <w:jc w:val="center"/>
            </w:pPr>
          </w:p>
        </w:tc>
        <w:tc>
          <w:tcPr>
            <w:tcW w:w="927" w:type="dxa"/>
            <w:tcBorders>
              <w:top w:val="single" w:color="auto" w:sz="10" w:space="0"/>
              <w:left w:val="single" w:color="auto" w:sz="10" w:space="0"/>
              <w:bottom w:val="single" w:color="auto" w:sz="10" w:space="0"/>
              <w:right w:val="single" w:color="auto" w:sz="10" w:space="0"/>
              <w:insideV w:val="single" w:sz="10" w:space="0"/>
            </w:tcBorders>
            <w:vAlign w:val="center"/>
          </w:tcPr>
          <w:p w14:paraId="4E8ADF59">
            <w:pPr>
              <w:jc w:val="center"/>
            </w:pPr>
            <w:r>
              <w:rPr>
                <w:rFonts w:ascii="宋体" w:hAnsi="宋体" w:eastAsia="宋体"/>
                <w:sz w:val="16"/>
              </w:rPr>
              <w:t>—</w:t>
            </w:r>
          </w:p>
        </w:tc>
      </w:tr>
      <w:tr w14:paraId="0F4442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6C0E8">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8DB221">
            <w:pPr>
              <w:jc w:val="center"/>
            </w:pPr>
            <w:r>
              <w:rPr>
                <w:rFonts w:ascii="宋体" w:hAnsi="宋体" w:eastAsia="宋体"/>
                <w:sz w:val="16"/>
              </w:rPr>
              <w:t>预期目标</w:t>
            </w:r>
          </w:p>
        </w:tc>
        <w:tc>
          <w:tcPr>
            <w:tcW w:w="415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C59898">
            <w:pPr>
              <w:jc w:val="center"/>
            </w:pPr>
            <w:r>
              <w:rPr>
                <w:rFonts w:ascii="宋体" w:hAnsi="宋体" w:eastAsia="宋体"/>
                <w:sz w:val="16"/>
              </w:rPr>
              <w:t>实际完成情况</w:t>
            </w:r>
          </w:p>
        </w:tc>
      </w:tr>
      <w:tr w14:paraId="79C23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8CC92"/>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92E6CC">
            <w:pPr>
              <w:jc w:val="both"/>
            </w:pPr>
            <w:r>
              <w:rPr>
                <w:rFonts w:ascii="宋体" w:hAnsi="宋体" w:eastAsia="宋体"/>
                <w:sz w:val="16"/>
              </w:rPr>
              <w:t>自治区2024年度乡村振兴专项审计经费项目10万元，主要用于对全县的乡村振兴专项资金开展专项审计中产生的办公费、办公场地租赁费及办公设备电脑、打印机、保密柜、电脑耗材、车辆燃油等费用，保障乡村振兴专项审计顺利进行。</w:t>
            </w:r>
          </w:p>
        </w:tc>
        <w:tc>
          <w:tcPr>
            <w:tcW w:w="415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18780E">
            <w:pPr>
              <w:jc w:val="both"/>
            </w:pPr>
            <w:r>
              <w:rPr>
                <w:rFonts w:hint="eastAsia" w:ascii="宋体" w:hAnsi="宋体"/>
                <w:sz w:val="16"/>
                <w:lang w:eastAsia="zh-CN"/>
              </w:rPr>
              <w:t>截至</w:t>
            </w:r>
            <w:r>
              <w:rPr>
                <w:rFonts w:ascii="宋体" w:hAnsi="宋体" w:eastAsia="宋体"/>
                <w:sz w:val="16"/>
              </w:rPr>
              <w:t>自评节点，该项目总资金10万元，到位资金10万元，实际支出合计4.77万元，执行率47.7%。对巩固拓展脱贫攻坚审计项目数1个，项目已完成对全县的乡村振兴专项资金开展专项审计产生的打印机、办公设备电脑及配套软件、电脑耗材等。通过项目的实施有效保障乡村振兴专项审计顺利进行。</w:t>
            </w:r>
          </w:p>
        </w:tc>
      </w:tr>
      <w:tr w14:paraId="34B339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C81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40D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4A81">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90F963">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1B472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A1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AA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F86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9B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D9399">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5B438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D42D">
            <w:pPr>
              <w:jc w:val="center"/>
            </w:pPr>
            <w:r>
              <w:rPr>
                <w:rFonts w:ascii="宋体" w:hAnsi="宋体" w:eastAsia="宋体"/>
                <w:sz w:val="16"/>
              </w:rPr>
              <w:t>得分</w:t>
            </w:r>
          </w:p>
        </w:tc>
        <w:tc>
          <w:tcPr>
            <w:tcW w:w="15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62DC2">
            <w:pPr>
              <w:jc w:val="center"/>
            </w:pPr>
            <w:r>
              <w:rPr>
                <w:rFonts w:ascii="宋体" w:hAnsi="宋体" w:eastAsia="宋体"/>
                <w:sz w:val="16"/>
              </w:rPr>
              <w:t>偏差原因分析及改进措施</w:t>
            </w:r>
          </w:p>
        </w:tc>
      </w:tr>
      <w:tr w14:paraId="727F4A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C6C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D84E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90B5">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3C7263">
            <w:pPr>
              <w:jc w:val="center"/>
            </w:pPr>
            <w:r>
              <w:rPr>
                <w:rFonts w:ascii="宋体" w:hAnsi="宋体" w:eastAsia="宋体"/>
                <w:sz w:val="16"/>
              </w:rPr>
              <w:t>对巩固拓展脱贫攻坚审计项目数（个）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EA0FC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0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45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901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98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49CB">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2F7DF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2366E">
            <w:pPr>
              <w:jc w:val="center"/>
            </w:pPr>
            <w:r>
              <w:rPr>
                <w:rFonts w:ascii="宋体" w:hAnsi="宋体" w:eastAsia="宋体"/>
                <w:sz w:val="16"/>
              </w:rPr>
              <w:t>7.5</w:t>
            </w:r>
          </w:p>
        </w:tc>
        <w:tc>
          <w:tcPr>
            <w:tcW w:w="15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704B1">
            <w:pPr>
              <w:jc w:val="center"/>
            </w:pPr>
            <w:r>
              <w:rPr>
                <w:rFonts w:ascii="宋体" w:hAnsi="宋体" w:eastAsia="宋体"/>
                <w:sz w:val="16"/>
              </w:rPr>
              <w:t>偏差原因：项目已实施，部分资金未支完，故产生偏差；改进措施：严格按照序时进度支付资金。</w:t>
            </w:r>
          </w:p>
        </w:tc>
      </w:tr>
      <w:tr w14:paraId="10A211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D75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962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963E">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D9E66F">
            <w:pPr>
              <w:jc w:val="center"/>
            </w:pPr>
            <w:r>
              <w:rPr>
                <w:rFonts w:ascii="宋体" w:hAnsi="宋体" w:eastAsia="宋体"/>
                <w:sz w:val="16"/>
              </w:rPr>
              <w:t>方案内容完整率（%）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A6F7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C9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235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3B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B5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04FA">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224D0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5387">
            <w:pPr>
              <w:jc w:val="center"/>
            </w:pPr>
            <w:r>
              <w:rPr>
                <w:rFonts w:ascii="宋体" w:hAnsi="宋体" w:eastAsia="宋体"/>
                <w:sz w:val="16"/>
              </w:rPr>
              <w:t>10</w:t>
            </w:r>
          </w:p>
        </w:tc>
        <w:tc>
          <w:tcPr>
            <w:tcW w:w="15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5E8EC">
            <w:pPr>
              <w:jc w:val="center"/>
            </w:pPr>
          </w:p>
        </w:tc>
      </w:tr>
      <w:tr w14:paraId="1BB331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2CE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46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AA62">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628593">
            <w:pPr>
              <w:jc w:val="center"/>
            </w:pPr>
            <w:r>
              <w:rPr>
                <w:rFonts w:ascii="宋体" w:hAnsi="宋体" w:eastAsia="宋体"/>
                <w:sz w:val="16"/>
              </w:rPr>
              <w:t>项目完成时间（年/月/日)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D7F4B1">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92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0F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6C3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A6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D05F2">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655ACE">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A0E0">
            <w:pPr>
              <w:jc w:val="center"/>
            </w:pPr>
            <w:r>
              <w:rPr>
                <w:rFonts w:ascii="宋体" w:hAnsi="宋体" w:eastAsia="宋体"/>
                <w:sz w:val="16"/>
              </w:rPr>
              <w:t>0</w:t>
            </w:r>
          </w:p>
        </w:tc>
        <w:tc>
          <w:tcPr>
            <w:tcW w:w="15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91930">
            <w:pPr>
              <w:jc w:val="center"/>
            </w:pPr>
            <w:r>
              <w:rPr>
                <w:rFonts w:ascii="宋体" w:hAnsi="宋体" w:eastAsia="宋体"/>
                <w:sz w:val="16"/>
              </w:rPr>
              <w:t>偏差原因：项目为长期性业务，部分资金结余用到2025年项目支出；改进措施：加快资金支付进度。</w:t>
            </w:r>
          </w:p>
        </w:tc>
      </w:tr>
      <w:tr w14:paraId="1AB74D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053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F5B9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5AC53">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F30E04">
            <w:pPr>
              <w:jc w:val="center"/>
            </w:pPr>
            <w:r>
              <w:rPr>
                <w:rFonts w:ascii="宋体" w:hAnsi="宋体" w:eastAsia="宋体"/>
                <w:sz w:val="16"/>
              </w:rPr>
              <w:t>专项审计经费控制率（%）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3B821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E0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79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561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8DB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EF6F">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36892E">
            <w:pPr>
              <w:jc w:val="center"/>
            </w:pPr>
            <w:r>
              <w:rPr>
                <w:rFonts w:ascii="宋体" w:hAnsi="宋体" w:eastAsia="宋体"/>
                <w:sz w:val="16"/>
              </w:rPr>
              <w:t>=47.7%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0250">
            <w:pPr>
              <w:jc w:val="center"/>
            </w:pPr>
            <w:r>
              <w:rPr>
                <w:rFonts w:ascii="宋体" w:hAnsi="宋体" w:eastAsia="宋体"/>
                <w:sz w:val="16"/>
              </w:rPr>
              <w:t>0</w:t>
            </w:r>
          </w:p>
        </w:tc>
        <w:tc>
          <w:tcPr>
            <w:tcW w:w="15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0F6E2">
            <w:pPr>
              <w:jc w:val="center"/>
            </w:pPr>
            <w:r>
              <w:rPr>
                <w:rFonts w:ascii="宋体" w:hAnsi="宋体" w:eastAsia="宋体"/>
                <w:sz w:val="16"/>
              </w:rPr>
              <w:t>偏差原因：项目为长期性业务，部分资金结余用到2025年项目支出；改进措施：加快资金支付进度。</w:t>
            </w:r>
          </w:p>
        </w:tc>
      </w:tr>
      <w:tr w14:paraId="2E6CD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81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C7C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592D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206736">
            <w:pPr>
              <w:jc w:val="center"/>
            </w:pPr>
            <w:r>
              <w:rPr>
                <w:rFonts w:ascii="宋体" w:hAnsi="宋体" w:eastAsia="宋体"/>
                <w:sz w:val="16"/>
              </w:rPr>
              <w:t>审计费成本(万元）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B72906">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0C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2B7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7B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B8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1C92">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F38AFF">
            <w:pPr>
              <w:jc w:val="center"/>
            </w:pPr>
            <w:r>
              <w:rPr>
                <w:rFonts w:ascii="宋体" w:hAnsi="宋体" w:eastAsia="宋体"/>
                <w:sz w:val="16"/>
              </w:rPr>
              <w:t>=4.77万元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CAAF">
            <w:pPr>
              <w:jc w:val="center"/>
            </w:pPr>
            <w:r>
              <w:rPr>
                <w:rFonts w:ascii="宋体" w:hAnsi="宋体" w:eastAsia="宋体"/>
                <w:sz w:val="16"/>
              </w:rPr>
              <w:t>0</w:t>
            </w:r>
          </w:p>
        </w:tc>
        <w:tc>
          <w:tcPr>
            <w:tcW w:w="15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4FDCE">
            <w:pPr>
              <w:jc w:val="center"/>
            </w:pPr>
            <w:r>
              <w:rPr>
                <w:rFonts w:ascii="宋体" w:hAnsi="宋体" w:eastAsia="宋体"/>
                <w:sz w:val="16"/>
              </w:rPr>
              <w:t>偏差原因：资金拨付手续多，支付缓慢，故产生未支完；改进措施：加快资金支付进度。</w:t>
            </w:r>
          </w:p>
        </w:tc>
      </w:tr>
      <w:tr w14:paraId="01E8CA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ABB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8D66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8AA8">
            <w:pPr>
              <w:jc w:val="center"/>
            </w:pPr>
            <w:r>
              <w:rPr>
                <w:rFonts w:ascii="宋体" w:hAnsi="宋体" w:eastAsia="宋体"/>
                <w:sz w:val="16"/>
              </w:rPr>
              <w:t>经济效益指标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60C0AC">
            <w:pPr>
              <w:jc w:val="center"/>
            </w:pPr>
            <w:r>
              <w:rPr>
                <w:rFonts w:ascii="宋体" w:hAnsi="宋体" w:eastAsia="宋体"/>
                <w:sz w:val="16"/>
              </w:rPr>
              <w:t>促进被审计单位规范资金拨付或追回盘活资金（万元）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9E0A7B">
            <w:pPr>
              <w:jc w:val="center"/>
            </w:pPr>
            <w:r>
              <w:rPr>
                <w:rFonts w:ascii="宋体" w:hAnsi="宋体" w:eastAsia="宋体"/>
                <w:sz w:val="16"/>
              </w:rPr>
              <w:t>&gt;=100万元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21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CF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1E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CF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5D9A">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5D0D10">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B18B">
            <w:pPr>
              <w:jc w:val="center"/>
            </w:pPr>
            <w:r>
              <w:rPr>
                <w:rFonts w:ascii="宋体" w:hAnsi="宋体" w:eastAsia="宋体"/>
                <w:sz w:val="16"/>
              </w:rPr>
              <w:t>0</w:t>
            </w:r>
          </w:p>
        </w:tc>
        <w:tc>
          <w:tcPr>
            <w:tcW w:w="15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E72A9">
            <w:pPr>
              <w:jc w:val="center"/>
            </w:pPr>
            <w:r>
              <w:rPr>
                <w:rFonts w:ascii="宋体" w:hAnsi="宋体" w:eastAsia="宋体"/>
                <w:sz w:val="16"/>
              </w:rPr>
              <w:t>偏差原因：项目实施较好，违规资金较少，无追回盘活资金；改进措施：加大审计力度，改进审计方法。</w:t>
            </w:r>
          </w:p>
        </w:tc>
      </w:tr>
      <w:tr w14:paraId="6E17BA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5F6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E64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24DF0">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161706">
            <w:pPr>
              <w:jc w:val="center"/>
            </w:pPr>
            <w:r>
              <w:rPr>
                <w:rFonts w:ascii="宋体" w:hAnsi="宋体" w:eastAsia="宋体"/>
                <w:sz w:val="16"/>
              </w:rPr>
              <w:t>督促被审计单位制定整改措施</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6D7921">
            <w:pPr>
              <w:jc w:val="center"/>
            </w:pPr>
            <w:r>
              <w:rPr>
                <w:rFonts w:ascii="宋体" w:hAnsi="宋体" w:eastAsia="宋体"/>
                <w:sz w:val="16"/>
              </w:rPr>
              <w:t>有效督促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AC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B7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5A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28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7F418">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E729FD">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008B">
            <w:pPr>
              <w:jc w:val="center"/>
            </w:pPr>
            <w:r>
              <w:rPr>
                <w:rFonts w:ascii="宋体" w:hAnsi="宋体" w:eastAsia="宋体"/>
                <w:sz w:val="16"/>
              </w:rPr>
              <w:t>0</w:t>
            </w:r>
          </w:p>
        </w:tc>
        <w:tc>
          <w:tcPr>
            <w:tcW w:w="15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ABC57">
            <w:pPr>
              <w:jc w:val="center"/>
            </w:pPr>
            <w:r>
              <w:rPr>
                <w:rFonts w:ascii="宋体" w:hAnsi="宋体" w:eastAsia="宋体"/>
                <w:sz w:val="16"/>
              </w:rPr>
              <w:t>偏差原因：项目实施未达到预期效益指标，故产生偏差；改进措施：严格按照年初实施方案实行</w:t>
            </w:r>
          </w:p>
        </w:tc>
      </w:tr>
      <w:tr w14:paraId="4A5702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019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7A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D395">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9EB55A">
            <w:pPr>
              <w:jc w:val="center"/>
            </w:pPr>
            <w:r>
              <w:rPr>
                <w:rFonts w:ascii="宋体" w:hAnsi="宋体" w:eastAsia="宋体"/>
                <w:sz w:val="16"/>
              </w:rPr>
              <w:t>审计人员满意度（%）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45A3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02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95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B7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6E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F0D7">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646CD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3C10">
            <w:pPr>
              <w:jc w:val="center"/>
            </w:pPr>
            <w:r>
              <w:rPr>
                <w:rFonts w:ascii="宋体" w:hAnsi="宋体" w:eastAsia="宋体"/>
                <w:sz w:val="16"/>
              </w:rPr>
              <w:t>10</w:t>
            </w:r>
          </w:p>
        </w:tc>
        <w:tc>
          <w:tcPr>
            <w:tcW w:w="15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DB8F0">
            <w:pPr>
              <w:jc w:val="center"/>
            </w:pPr>
            <w:r>
              <w:rPr>
                <w:rFonts w:ascii="宋体" w:hAnsi="宋体" w:eastAsia="宋体"/>
                <w:sz w:val="16"/>
              </w:rPr>
              <w:t>偏差原因：项目已实施，部分资金未支完，故产生偏差；改进措施：严格按照年初实施方案实行。</w:t>
            </w:r>
          </w:p>
        </w:tc>
      </w:tr>
      <w:tr w14:paraId="7252EE05">
        <w:tblPrEx>
          <w:tblCellMar>
            <w:top w:w="0" w:type="dxa"/>
            <w:left w:w="108" w:type="dxa"/>
            <w:bottom w:w="0" w:type="dxa"/>
            <w:right w:w="108" w:type="dxa"/>
          </w:tblCellMar>
        </w:tblPrEx>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4DAB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EFE0">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67536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06F1">
            <w:pPr>
              <w:jc w:val="center"/>
            </w:pPr>
            <w:r>
              <w:rPr>
                <w:rFonts w:ascii="宋体" w:hAnsi="宋体" w:eastAsia="宋体"/>
                <w:sz w:val="16"/>
              </w:rPr>
              <w:t>27.5分</w:t>
            </w:r>
          </w:p>
        </w:tc>
        <w:tc>
          <w:tcPr>
            <w:tcW w:w="1559" w:type="dxa"/>
            <w:gridSpan w:val="2"/>
            <w:tcBorders>
              <w:top w:val="single" w:color="auto" w:sz="10" w:space="0"/>
              <w:left w:val="single" w:color="auto" w:sz="10" w:space="0"/>
              <w:bottom w:val="single" w:color="auto" w:sz="10" w:space="0"/>
              <w:right w:val="single" w:color="auto" w:sz="10" w:space="0"/>
              <w:insideV w:val="single" w:sz="10" w:space="0"/>
            </w:tcBorders>
          </w:tcPr>
          <w:p w14:paraId="105D72BF"/>
        </w:tc>
      </w:tr>
    </w:tbl>
    <w:p w14:paraId="0658D63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78F2150">
        <w:tc>
          <w:tcPr>
            <w:tcW w:w="8848" w:type="dxa"/>
            <w:gridSpan w:val="14"/>
            <w:vAlign w:val="center"/>
          </w:tcPr>
          <w:p w14:paraId="1FE0216B">
            <w:pPr>
              <w:jc w:val="center"/>
            </w:pPr>
            <w:r>
              <w:rPr>
                <w:rFonts w:ascii="宋体" w:hAnsi="宋体" w:eastAsia="宋体"/>
                <w:sz w:val="24"/>
              </w:rPr>
              <w:t>项目支出绩效自评表</w:t>
            </w:r>
          </w:p>
        </w:tc>
      </w:tr>
      <w:tr w14:paraId="07E4CE17">
        <w:tblPrEx>
          <w:tblCellMar>
            <w:top w:w="0" w:type="dxa"/>
            <w:left w:w="108" w:type="dxa"/>
            <w:bottom w:w="0" w:type="dxa"/>
            <w:right w:w="108" w:type="dxa"/>
          </w:tblCellMar>
        </w:tblPrEx>
        <w:tc>
          <w:tcPr>
            <w:tcW w:w="8848" w:type="dxa"/>
            <w:gridSpan w:val="14"/>
            <w:vAlign w:val="center"/>
          </w:tcPr>
          <w:p w14:paraId="155FE145">
            <w:pPr>
              <w:jc w:val="center"/>
            </w:pPr>
            <w:r>
              <w:rPr>
                <w:rFonts w:ascii="宋体" w:hAnsi="宋体" w:eastAsia="宋体"/>
                <w:sz w:val="24"/>
              </w:rPr>
              <w:t>(2024年度)</w:t>
            </w:r>
          </w:p>
        </w:tc>
      </w:tr>
      <w:tr w14:paraId="6F2CCF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91C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375B8C">
            <w:pPr>
              <w:jc w:val="center"/>
            </w:pPr>
            <w:r>
              <w:rPr>
                <w:rFonts w:ascii="宋体" w:hAnsi="宋体" w:eastAsia="宋体"/>
                <w:sz w:val="16"/>
              </w:rPr>
              <w:t>自治区2024年经济责任和自然资源资产离任审计项目</w:t>
            </w:r>
          </w:p>
        </w:tc>
      </w:tr>
      <w:tr w14:paraId="74315D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1D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13EC78">
            <w:pPr>
              <w:jc w:val="center"/>
            </w:pPr>
            <w:r>
              <w:rPr>
                <w:rFonts w:ascii="宋体" w:hAnsi="宋体" w:eastAsia="宋体"/>
                <w:sz w:val="16"/>
              </w:rPr>
              <w:t>叶城县人民政府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8D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AAB75F">
            <w:pPr>
              <w:jc w:val="center"/>
            </w:pPr>
            <w:r>
              <w:rPr>
                <w:rFonts w:ascii="宋体" w:hAnsi="宋体" w:eastAsia="宋体"/>
                <w:sz w:val="16"/>
              </w:rPr>
              <w:t>叶城县审计局</w:t>
            </w:r>
          </w:p>
        </w:tc>
      </w:tr>
      <w:tr w14:paraId="7AB783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078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EDB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CD74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5CE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22E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DB6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AD9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8259F">
            <w:pPr>
              <w:jc w:val="center"/>
            </w:pPr>
            <w:r>
              <w:rPr>
                <w:rFonts w:ascii="宋体" w:hAnsi="宋体" w:eastAsia="宋体"/>
                <w:sz w:val="16"/>
              </w:rPr>
              <w:t>得分</w:t>
            </w:r>
          </w:p>
        </w:tc>
      </w:tr>
      <w:tr w14:paraId="590E1A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30C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453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D030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A03E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D9D55">
            <w:pPr>
              <w:jc w:val="center"/>
            </w:pPr>
            <w:r>
              <w:rPr>
                <w:rFonts w:ascii="宋体" w:hAnsi="宋体" w:eastAsia="宋体"/>
                <w:sz w:val="16"/>
              </w:rPr>
              <w:t>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309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2CC96">
            <w:pPr>
              <w:jc w:val="center"/>
            </w:pPr>
            <w:r>
              <w:rPr>
                <w:rFonts w:ascii="宋体" w:hAnsi="宋体" w:eastAsia="宋体"/>
                <w:sz w:val="16"/>
              </w:rPr>
              <w:t>46.50%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8D15">
            <w:pPr>
              <w:jc w:val="center"/>
            </w:pPr>
            <w:r>
              <w:rPr>
                <w:rFonts w:ascii="宋体" w:hAnsi="宋体" w:eastAsia="宋体"/>
                <w:sz w:val="16"/>
              </w:rPr>
              <w:t>0.00分</w:t>
            </w:r>
          </w:p>
        </w:tc>
      </w:tr>
      <w:tr w14:paraId="11468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1C0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EC9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DB0B9">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E977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CEDEA">
            <w:pPr>
              <w:jc w:val="center"/>
            </w:pPr>
            <w:r>
              <w:rPr>
                <w:rFonts w:ascii="宋体" w:hAnsi="宋体" w:eastAsia="宋体"/>
                <w:sz w:val="16"/>
              </w:rPr>
              <w:t>0.93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360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9E67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ADBA">
            <w:pPr>
              <w:jc w:val="center"/>
            </w:pPr>
            <w:r>
              <w:rPr>
                <w:rFonts w:ascii="宋体" w:hAnsi="宋体" w:eastAsia="宋体"/>
                <w:sz w:val="16"/>
              </w:rPr>
              <w:t>—</w:t>
            </w:r>
          </w:p>
        </w:tc>
      </w:tr>
      <w:tr w14:paraId="4BC60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5D6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3A58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C0C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E32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9A0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212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240E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765B">
            <w:pPr>
              <w:jc w:val="center"/>
            </w:pPr>
            <w:r>
              <w:rPr>
                <w:rFonts w:ascii="宋体" w:hAnsi="宋体" w:eastAsia="宋体"/>
                <w:sz w:val="16"/>
              </w:rPr>
              <w:t>—</w:t>
            </w:r>
          </w:p>
        </w:tc>
      </w:tr>
      <w:tr w14:paraId="1D0F47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F63D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6BB7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40F34A">
            <w:pPr>
              <w:jc w:val="center"/>
            </w:pPr>
            <w:r>
              <w:rPr>
                <w:rFonts w:ascii="宋体" w:hAnsi="宋体" w:eastAsia="宋体"/>
                <w:sz w:val="16"/>
              </w:rPr>
              <w:t>实际完成情况</w:t>
            </w:r>
          </w:p>
        </w:tc>
      </w:tr>
      <w:tr w14:paraId="2CDC7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1E7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B86C1C">
            <w:pPr>
              <w:jc w:val="both"/>
            </w:pPr>
            <w:r>
              <w:rPr>
                <w:rFonts w:ascii="宋体" w:hAnsi="宋体" w:eastAsia="宋体"/>
                <w:sz w:val="16"/>
              </w:rPr>
              <w:t>自治区2024年经济责任和自然资源资产离任审计经费项目2万元，审计项目总数2个，主要用于开展经济责任和自然资源资产离任审计过程中产生的办公费及聘请第三方中介人员费用，进而全面反映领导干部履职情况，对于提高领导干部素质，增强领导干部依法履行职责的自觉性，增强反腐倡廉的自觉性，将起到积极</w:t>
            </w:r>
            <w:r>
              <w:rPr>
                <w:rFonts w:hint="eastAsia" w:ascii="宋体" w:hAnsi="宋体"/>
                <w:sz w:val="16"/>
                <w:lang w:eastAsia="zh-CN"/>
              </w:rPr>
              <w:t>地</w:t>
            </w:r>
            <w:r>
              <w:rPr>
                <w:rFonts w:ascii="宋体" w:hAnsi="宋体" w:eastAsia="宋体"/>
                <w:sz w:val="16"/>
              </w:rPr>
              <w:t>促进和推动作用。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8674F7">
            <w:pPr>
              <w:jc w:val="both"/>
            </w:pPr>
            <w:r>
              <w:rPr>
                <w:rFonts w:hint="eastAsia" w:ascii="宋体" w:hAnsi="宋体"/>
                <w:sz w:val="16"/>
                <w:lang w:eastAsia="zh-CN"/>
              </w:rPr>
              <w:t>截至</w:t>
            </w:r>
            <w:r>
              <w:rPr>
                <w:rFonts w:ascii="宋体" w:hAnsi="宋体" w:eastAsia="宋体"/>
                <w:sz w:val="16"/>
              </w:rPr>
              <w:t>2024年12月31日，该项目总资金2万元，到位资金2万元，实际支出0.93万元，执行率46.5%。项目已完成审计项目总数2个，主要用于开展经济责任和自然资源资产离任审计过程中产生的办公费，进而全面反映领导干部履职情况，对于提高领导干部素质，增强领导干部依法履行职责的自觉性，增强反腐倡廉的自觉性，将起到积极的促进和推动作用。</w:t>
            </w:r>
          </w:p>
        </w:tc>
      </w:tr>
      <w:tr w14:paraId="7B4E0C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581A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E58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CC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A9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E0D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76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75A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7B58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2FE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CC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C13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945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93839">
            <w:pPr>
              <w:jc w:val="center"/>
            </w:pPr>
            <w:r>
              <w:rPr>
                <w:rFonts w:ascii="宋体" w:hAnsi="宋体" w:eastAsia="宋体"/>
                <w:sz w:val="16"/>
              </w:rPr>
              <w:t>偏差原因分析及改进措施</w:t>
            </w:r>
          </w:p>
        </w:tc>
      </w:tr>
      <w:tr w14:paraId="7968C2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290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2811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31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1F84">
            <w:pPr>
              <w:jc w:val="center"/>
            </w:pPr>
            <w:r>
              <w:rPr>
                <w:rFonts w:ascii="宋体" w:hAnsi="宋体" w:eastAsia="宋体"/>
                <w:sz w:val="16"/>
              </w:rPr>
              <w:t>审计项目数（个）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4383">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A97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0F2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19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17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183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CEE1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486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B7C70">
            <w:pPr>
              <w:jc w:val="center"/>
            </w:pPr>
            <w:r>
              <w:rPr>
                <w:rFonts w:ascii="宋体" w:hAnsi="宋体" w:eastAsia="宋体"/>
                <w:sz w:val="16"/>
              </w:rPr>
              <w:t>偏差原因：项目已审计，资金未支付完，故产生偏差；改进措施：加快资金支付进度。</w:t>
            </w:r>
          </w:p>
        </w:tc>
      </w:tr>
      <w:tr w14:paraId="37998B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FB5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C17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28E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3501">
            <w:pPr>
              <w:jc w:val="center"/>
            </w:pPr>
            <w:r>
              <w:rPr>
                <w:rFonts w:ascii="宋体" w:hAnsi="宋体" w:eastAsia="宋体"/>
                <w:sz w:val="16"/>
              </w:rPr>
              <w:t>方案内容完成率（%）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8F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E3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07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56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3B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B40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4E9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9D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13B53">
            <w:pPr>
              <w:jc w:val="center"/>
            </w:pPr>
          </w:p>
        </w:tc>
      </w:tr>
      <w:tr w14:paraId="50619B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9D8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BA9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CB1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D96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7C27">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CC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6C3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2D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8D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9DF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7AE9">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91A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E8659">
            <w:pPr>
              <w:jc w:val="center"/>
            </w:pPr>
            <w:r>
              <w:rPr>
                <w:rFonts w:ascii="宋体" w:hAnsi="宋体" w:eastAsia="宋体"/>
                <w:sz w:val="16"/>
              </w:rPr>
              <w:t>偏差原因：项目已审计，资金未支付完，故产生偏差；改进措施：加快资金支付进度。</w:t>
            </w:r>
          </w:p>
        </w:tc>
      </w:tr>
      <w:tr w14:paraId="727FF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4F7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911D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A05A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FD00">
            <w:pPr>
              <w:jc w:val="center"/>
            </w:pPr>
            <w:r>
              <w:rPr>
                <w:rFonts w:ascii="宋体" w:hAnsi="宋体" w:eastAsia="宋体"/>
                <w:sz w:val="16"/>
              </w:rPr>
              <w:t>审计专项经费控制率（%）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C75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1E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05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E9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51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D3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9EC42">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622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92815">
            <w:pPr>
              <w:jc w:val="center"/>
            </w:pPr>
            <w:r>
              <w:rPr>
                <w:rFonts w:ascii="宋体" w:hAnsi="宋体" w:eastAsia="宋体"/>
                <w:sz w:val="16"/>
              </w:rPr>
              <w:t>偏差原因：资金支付手续提交较慢，导致资金支付进度缓慢，故产生偏差；改进措施：加快资金支付进度。</w:t>
            </w:r>
          </w:p>
        </w:tc>
      </w:tr>
      <w:tr w14:paraId="7F59BA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29C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3DA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7D1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8BDA">
            <w:pPr>
              <w:jc w:val="center"/>
            </w:pPr>
            <w:r>
              <w:rPr>
                <w:rFonts w:ascii="宋体" w:hAnsi="宋体" w:eastAsia="宋体"/>
                <w:sz w:val="16"/>
              </w:rPr>
              <w:t>审计费成本(万元）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1AF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56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16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90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BD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AB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55A1">
            <w:pPr>
              <w:jc w:val="center"/>
            </w:pPr>
            <w:r>
              <w:rPr>
                <w:rFonts w:ascii="宋体" w:hAnsi="宋体" w:eastAsia="宋体"/>
                <w:sz w:val="16"/>
              </w:rPr>
              <w:t>=0.93万元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12A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BD9A7">
            <w:pPr>
              <w:jc w:val="center"/>
            </w:pPr>
            <w:r>
              <w:rPr>
                <w:rFonts w:ascii="宋体" w:hAnsi="宋体" w:eastAsia="宋体"/>
                <w:sz w:val="16"/>
              </w:rPr>
              <w:t>偏差原因：资金支付手续提交较慢，导致资金支付进度缓慢，故产生偏差；改进措施：加快资金支付进度。</w:t>
            </w:r>
          </w:p>
        </w:tc>
      </w:tr>
      <w:tr w14:paraId="760AA9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1DC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D05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EA4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B6763">
            <w:pPr>
              <w:jc w:val="center"/>
            </w:pPr>
            <w:r>
              <w:rPr>
                <w:rFonts w:ascii="宋体" w:hAnsi="宋体" w:eastAsia="宋体"/>
                <w:sz w:val="16"/>
              </w:rPr>
              <w:t>审计查处主要问题金额（万元）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945B">
            <w:pPr>
              <w:jc w:val="center"/>
            </w:pPr>
            <w:r>
              <w:rPr>
                <w:rFonts w:ascii="宋体" w:hAnsi="宋体" w:eastAsia="宋体"/>
                <w:sz w:val="16"/>
              </w:rPr>
              <w:t>&gt;=100万元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1A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13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A6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69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62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B7FB">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CB7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BA121">
            <w:pPr>
              <w:jc w:val="center"/>
            </w:pPr>
            <w:r>
              <w:rPr>
                <w:rFonts w:ascii="宋体" w:hAnsi="宋体" w:eastAsia="宋体"/>
                <w:sz w:val="16"/>
              </w:rPr>
              <w:t>偏差原因：审计中未发现资金支付和违规资金的问题；改进措施：改进审计工作方法，增强发现违规资金的能力。</w:t>
            </w:r>
          </w:p>
        </w:tc>
      </w:tr>
      <w:tr w14:paraId="532CF6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42D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081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1BB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B6C88">
            <w:pPr>
              <w:jc w:val="center"/>
            </w:pPr>
            <w:r>
              <w:rPr>
                <w:rFonts w:ascii="宋体" w:hAnsi="宋体" w:eastAsia="宋体"/>
                <w:sz w:val="16"/>
              </w:rPr>
              <w:t>促进被审计单位建立健全规章制度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DC60">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88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27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73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339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A4533">
            <w:pPr>
              <w:jc w:val="center"/>
            </w:pPr>
            <w:r>
              <w:rPr>
                <w:rFonts w:ascii="宋体" w:hAnsi="宋体" w:eastAsia="宋体"/>
                <w:sz w:val="16"/>
              </w:rPr>
              <w:t>正式材料,说明材料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41B3">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7FCF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E6FAF">
            <w:pPr>
              <w:jc w:val="center"/>
            </w:pPr>
            <w:r>
              <w:rPr>
                <w:rFonts w:ascii="宋体" w:hAnsi="宋体" w:eastAsia="宋体"/>
                <w:sz w:val="16"/>
              </w:rPr>
              <w:t>偏差原因：项目已审计，资金未支付完，故产生偏差；改进措施：加快资金支付进度。</w:t>
            </w:r>
          </w:p>
        </w:tc>
      </w:tr>
      <w:tr w14:paraId="500495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447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C3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E12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0325">
            <w:pPr>
              <w:jc w:val="center"/>
            </w:pPr>
            <w:r>
              <w:rPr>
                <w:rFonts w:ascii="宋体" w:hAnsi="宋体" w:eastAsia="宋体"/>
                <w:sz w:val="16"/>
              </w:rPr>
              <w:t>审计人员满意度（%）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00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A5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0F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48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78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736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4D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74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97AE3">
            <w:pPr>
              <w:jc w:val="center"/>
            </w:pPr>
            <w:r>
              <w:rPr>
                <w:rFonts w:ascii="宋体" w:hAnsi="宋体" w:eastAsia="宋体"/>
                <w:sz w:val="16"/>
              </w:rPr>
              <w:t>偏差原因：审计人员对项目实施基本满意，故产生偏差；改进措施：做好年初预算</w:t>
            </w:r>
          </w:p>
        </w:tc>
      </w:tr>
      <w:tr w14:paraId="28E581D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E5C66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343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07BB1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6C32">
            <w:pPr>
              <w:jc w:val="center"/>
            </w:pPr>
            <w:r>
              <w:rPr>
                <w:rFonts w:ascii="宋体" w:hAnsi="宋体" w:eastAsia="宋体"/>
                <w:sz w:val="16"/>
              </w:rPr>
              <w:t>40分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25496A6"/>
        </w:tc>
      </w:tr>
    </w:tbl>
    <w:p w14:paraId="0F5F4AB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6BFB6F7">
        <w:tc>
          <w:tcPr>
            <w:tcW w:w="8848" w:type="dxa"/>
            <w:gridSpan w:val="14"/>
            <w:vAlign w:val="center"/>
          </w:tcPr>
          <w:p w14:paraId="3A87B28B">
            <w:pPr>
              <w:jc w:val="center"/>
            </w:pPr>
            <w:r>
              <w:rPr>
                <w:rFonts w:ascii="宋体" w:hAnsi="宋体" w:eastAsia="宋体"/>
                <w:sz w:val="24"/>
              </w:rPr>
              <w:t>项目支出绩效自评表</w:t>
            </w:r>
          </w:p>
        </w:tc>
      </w:tr>
      <w:tr w14:paraId="77369909">
        <w:tblPrEx>
          <w:tblCellMar>
            <w:top w:w="0" w:type="dxa"/>
            <w:left w:w="108" w:type="dxa"/>
            <w:bottom w:w="0" w:type="dxa"/>
            <w:right w:w="108" w:type="dxa"/>
          </w:tblCellMar>
        </w:tblPrEx>
        <w:tc>
          <w:tcPr>
            <w:tcW w:w="8848" w:type="dxa"/>
            <w:gridSpan w:val="14"/>
            <w:vAlign w:val="center"/>
          </w:tcPr>
          <w:p w14:paraId="78E47BC9">
            <w:pPr>
              <w:jc w:val="center"/>
            </w:pPr>
            <w:r>
              <w:rPr>
                <w:rFonts w:ascii="宋体" w:hAnsi="宋体" w:eastAsia="宋体"/>
                <w:sz w:val="24"/>
              </w:rPr>
              <w:t>(2024年度)</w:t>
            </w:r>
          </w:p>
        </w:tc>
      </w:tr>
      <w:tr w14:paraId="765062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4E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528806">
            <w:pPr>
              <w:jc w:val="center"/>
            </w:pPr>
            <w:r>
              <w:rPr>
                <w:rFonts w:ascii="宋体" w:hAnsi="宋体" w:eastAsia="宋体"/>
                <w:sz w:val="16"/>
              </w:rPr>
              <w:t>解决2022年重点帮扶县项目资金审计相关费用</w:t>
            </w:r>
          </w:p>
        </w:tc>
      </w:tr>
      <w:tr w14:paraId="53B465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02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AF1C3C">
            <w:pPr>
              <w:jc w:val="center"/>
            </w:pPr>
            <w:r>
              <w:rPr>
                <w:rFonts w:ascii="宋体" w:hAnsi="宋体" w:eastAsia="宋体"/>
                <w:sz w:val="16"/>
              </w:rPr>
              <w:t>叶城县审计局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2A2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13E5A5">
            <w:pPr>
              <w:jc w:val="center"/>
            </w:pPr>
            <w:r>
              <w:rPr>
                <w:rFonts w:ascii="宋体" w:hAnsi="宋体" w:eastAsia="宋体"/>
                <w:sz w:val="16"/>
              </w:rPr>
              <w:t>叶城县审计局</w:t>
            </w:r>
          </w:p>
        </w:tc>
      </w:tr>
      <w:tr w14:paraId="6E7085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C59C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A88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139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6563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B4D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1BD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E63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7A90">
            <w:pPr>
              <w:jc w:val="center"/>
            </w:pPr>
            <w:r>
              <w:rPr>
                <w:rFonts w:ascii="宋体" w:hAnsi="宋体" w:eastAsia="宋体"/>
                <w:sz w:val="16"/>
              </w:rPr>
              <w:t>得分</w:t>
            </w:r>
          </w:p>
        </w:tc>
      </w:tr>
      <w:tr w14:paraId="4F2F9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F3B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A48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8BF26">
            <w:pPr>
              <w:jc w:val="center"/>
            </w:pPr>
            <w:r>
              <w:rPr>
                <w:rFonts w:ascii="宋体" w:hAnsi="宋体" w:eastAsia="宋体"/>
                <w:sz w:val="16"/>
              </w:rPr>
              <w:t>19.54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7086F">
            <w:pPr>
              <w:jc w:val="center"/>
            </w:pPr>
            <w:r>
              <w:rPr>
                <w:rFonts w:ascii="宋体" w:hAnsi="宋体" w:eastAsia="宋体"/>
                <w:sz w:val="16"/>
              </w:rPr>
              <w:t>19.54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ADF23">
            <w:pPr>
              <w:jc w:val="center"/>
            </w:pPr>
            <w:r>
              <w:rPr>
                <w:rFonts w:ascii="宋体" w:hAnsi="宋体" w:eastAsia="宋体"/>
                <w:sz w:val="16"/>
              </w:rPr>
              <w:t>18.71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60F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9794B">
            <w:pPr>
              <w:jc w:val="center"/>
            </w:pPr>
            <w:r>
              <w:rPr>
                <w:rFonts w:ascii="宋体" w:hAnsi="宋体" w:eastAsia="宋体"/>
                <w:sz w:val="16"/>
              </w:rPr>
              <w:t>95.75%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AFA38">
            <w:pPr>
              <w:jc w:val="center"/>
            </w:pPr>
            <w:r>
              <w:rPr>
                <w:rFonts w:ascii="宋体" w:hAnsi="宋体" w:eastAsia="宋体"/>
                <w:sz w:val="16"/>
              </w:rPr>
              <w:t>8.94分</w:t>
            </w:r>
          </w:p>
        </w:tc>
      </w:tr>
      <w:tr w14:paraId="69696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131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6FF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06C06">
            <w:pPr>
              <w:jc w:val="center"/>
            </w:pPr>
            <w:r>
              <w:rPr>
                <w:rFonts w:ascii="宋体" w:hAnsi="宋体" w:eastAsia="宋体"/>
                <w:sz w:val="16"/>
              </w:rPr>
              <w:t>19.54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063B3">
            <w:pPr>
              <w:jc w:val="center"/>
            </w:pPr>
            <w:r>
              <w:rPr>
                <w:rFonts w:ascii="宋体" w:hAnsi="宋体" w:eastAsia="宋体"/>
                <w:sz w:val="16"/>
              </w:rPr>
              <w:t>19.54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1AC96">
            <w:pPr>
              <w:jc w:val="center"/>
            </w:pPr>
            <w:r>
              <w:rPr>
                <w:rFonts w:ascii="宋体" w:hAnsi="宋体" w:eastAsia="宋体"/>
                <w:sz w:val="16"/>
              </w:rPr>
              <w:t>18.71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937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88B3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F50E">
            <w:pPr>
              <w:jc w:val="center"/>
            </w:pPr>
            <w:r>
              <w:rPr>
                <w:rFonts w:ascii="宋体" w:hAnsi="宋体" w:eastAsia="宋体"/>
                <w:sz w:val="16"/>
              </w:rPr>
              <w:t>—</w:t>
            </w:r>
          </w:p>
        </w:tc>
      </w:tr>
      <w:tr w14:paraId="0986B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7FA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FA4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65C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FAA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BA1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3E3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920F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7355">
            <w:pPr>
              <w:jc w:val="center"/>
            </w:pPr>
            <w:r>
              <w:rPr>
                <w:rFonts w:ascii="宋体" w:hAnsi="宋体" w:eastAsia="宋体"/>
                <w:sz w:val="16"/>
              </w:rPr>
              <w:t>—</w:t>
            </w:r>
          </w:p>
        </w:tc>
      </w:tr>
      <w:tr w14:paraId="6F9079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2A65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4787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C132B0">
            <w:pPr>
              <w:jc w:val="center"/>
            </w:pPr>
            <w:r>
              <w:rPr>
                <w:rFonts w:ascii="宋体" w:hAnsi="宋体" w:eastAsia="宋体"/>
                <w:sz w:val="16"/>
              </w:rPr>
              <w:t>实际完成情况</w:t>
            </w:r>
          </w:p>
        </w:tc>
      </w:tr>
      <w:tr w14:paraId="5FFE2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018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B35D76">
            <w:pPr>
              <w:jc w:val="both"/>
            </w:pPr>
            <w:r>
              <w:rPr>
                <w:rFonts w:ascii="宋体" w:hAnsi="宋体" w:eastAsia="宋体"/>
                <w:sz w:val="16"/>
              </w:rPr>
              <w:t>该项目资金19.54万元，主要用于解决2022年全县重点帮扶县资金项目审计中产生的相关费用，保障审计顺利进行，包含办公场地租赁费、食宿费、办公用品、电脑耗材及医疗防护物资等费用，保障审计顺利进行。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EA3D81">
            <w:pPr>
              <w:jc w:val="both"/>
            </w:pPr>
            <w:r>
              <w:rPr>
                <w:rFonts w:ascii="宋体" w:hAnsi="宋体" w:eastAsia="宋体"/>
                <w:sz w:val="16"/>
              </w:rPr>
              <w:t>截至自评节点，该项目总资金19.54万元，到位资金19.54万元，实际支出合计18.71万元，执行率95.8%。审计覆盖率100%,审计查出问题整改率100%。项目已完成解决2022年全县重点帮扶县资金项目审计中产生的相关费用，保障审计顺利进行，包含办公场地租赁费、食宿费、办公用品、电脑耗材及医疗防护物资等费用，保障审计顺利进行。</w:t>
            </w:r>
          </w:p>
        </w:tc>
      </w:tr>
      <w:tr w14:paraId="3BC3C3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F128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C0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C1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86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A81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B4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9D7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3B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ACE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22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63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AD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0A05D">
            <w:pPr>
              <w:jc w:val="center"/>
            </w:pPr>
            <w:r>
              <w:rPr>
                <w:rFonts w:ascii="宋体" w:hAnsi="宋体" w:eastAsia="宋体"/>
                <w:sz w:val="16"/>
              </w:rPr>
              <w:t>偏差原因分析及改进措施</w:t>
            </w:r>
          </w:p>
        </w:tc>
      </w:tr>
      <w:tr w14:paraId="0CB330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108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B14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CDF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C6AA">
            <w:pPr>
              <w:jc w:val="center"/>
            </w:pPr>
            <w:r>
              <w:rPr>
                <w:rFonts w:ascii="宋体" w:hAnsi="宋体" w:eastAsia="宋体"/>
                <w:sz w:val="16"/>
              </w:rPr>
              <w:t>审计覆盖率（%）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FA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71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12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58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26A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09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6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F7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B840B">
            <w:pPr>
              <w:jc w:val="center"/>
            </w:pPr>
          </w:p>
        </w:tc>
      </w:tr>
      <w:tr w14:paraId="37489F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D32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85D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A37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A399">
            <w:pPr>
              <w:jc w:val="center"/>
            </w:pPr>
            <w:r>
              <w:rPr>
                <w:rFonts w:ascii="宋体" w:hAnsi="宋体" w:eastAsia="宋体"/>
                <w:sz w:val="16"/>
              </w:rPr>
              <w:t>审计查出问题整改率（%）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65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AD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A5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DD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08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E1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6A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D9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6EC83">
            <w:pPr>
              <w:jc w:val="center"/>
            </w:pPr>
          </w:p>
        </w:tc>
      </w:tr>
      <w:tr w14:paraId="6568AD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E83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715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7A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52B0">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B2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08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E6E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A0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B7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83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2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8B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DA81A">
            <w:pPr>
              <w:jc w:val="center"/>
            </w:pPr>
          </w:p>
        </w:tc>
      </w:tr>
      <w:tr w14:paraId="2FBC7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2B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C84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3C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09B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21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3E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0A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197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A6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8D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CBBA">
            <w:pPr>
              <w:jc w:val="center"/>
            </w:pPr>
            <w:r>
              <w:rPr>
                <w:rFonts w:ascii="宋体" w:hAnsi="宋体" w:eastAsia="宋体"/>
                <w:sz w:val="16"/>
              </w:rPr>
              <w:t>=95.8%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3018">
            <w:pPr>
              <w:jc w:val="center"/>
            </w:pPr>
            <w:r>
              <w:rPr>
                <w:rFonts w:ascii="宋体" w:hAnsi="宋体" w:eastAsia="宋体"/>
                <w:sz w:val="16"/>
              </w:rPr>
              <w:t>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48DD5">
            <w:pPr>
              <w:jc w:val="center"/>
            </w:pPr>
            <w:r>
              <w:rPr>
                <w:rFonts w:ascii="宋体" w:hAnsi="宋体" w:eastAsia="宋体"/>
                <w:sz w:val="16"/>
              </w:rPr>
              <w:t>偏差原因：项目资金支付手续提交较晚，导致部分资金未及时支付；改进措施：加快资金支付进度。</w:t>
            </w:r>
          </w:p>
        </w:tc>
      </w:tr>
      <w:tr w14:paraId="5388F7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F65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F3C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CE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B349">
            <w:pPr>
              <w:jc w:val="center"/>
            </w:pPr>
            <w:r>
              <w:rPr>
                <w:rFonts w:ascii="宋体" w:hAnsi="宋体" w:eastAsia="宋体"/>
                <w:sz w:val="16"/>
              </w:rPr>
              <w:t>审计费（万元）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0ADB">
            <w:pPr>
              <w:jc w:val="center"/>
            </w:pPr>
            <w:r>
              <w:rPr>
                <w:rFonts w:ascii="宋体" w:hAnsi="宋体" w:eastAsia="宋体"/>
                <w:sz w:val="16"/>
              </w:rPr>
              <w:t>&lt;=19.54万元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E7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8F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38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ED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30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A96AD">
            <w:pPr>
              <w:jc w:val="center"/>
            </w:pPr>
            <w:r>
              <w:rPr>
                <w:rFonts w:ascii="宋体" w:hAnsi="宋体" w:eastAsia="宋体"/>
                <w:sz w:val="16"/>
              </w:rPr>
              <w:t>=18.71万元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F684">
            <w:pPr>
              <w:jc w:val="center"/>
            </w:pPr>
            <w:r>
              <w:rPr>
                <w:rFonts w:ascii="宋体" w:hAnsi="宋体" w:eastAsia="宋体"/>
                <w:sz w:val="16"/>
              </w:rPr>
              <w:t>17.88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0086D">
            <w:pPr>
              <w:jc w:val="center"/>
            </w:pPr>
            <w:r>
              <w:rPr>
                <w:rFonts w:ascii="宋体" w:hAnsi="宋体" w:eastAsia="宋体"/>
                <w:sz w:val="16"/>
              </w:rPr>
              <w:t>偏差原因：项目资金支付手续提交较晚，导致部分资金未及时支付；改进措施：加快资金支付进度。</w:t>
            </w:r>
          </w:p>
        </w:tc>
      </w:tr>
      <w:tr w14:paraId="232757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41A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8D6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88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006F">
            <w:pPr>
              <w:jc w:val="center"/>
            </w:pPr>
            <w:r>
              <w:rPr>
                <w:rFonts w:ascii="宋体" w:hAnsi="宋体" w:eastAsia="宋体"/>
                <w:sz w:val="16"/>
              </w:rPr>
              <w:t>保障项目顺利实施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2AB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84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36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1D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6E5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1BF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61F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56D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A782D">
            <w:pPr>
              <w:jc w:val="center"/>
            </w:pPr>
          </w:p>
        </w:tc>
      </w:tr>
      <w:tr w14:paraId="50E6EB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622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02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ADE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2D93">
            <w:pPr>
              <w:jc w:val="center"/>
            </w:pPr>
            <w:r>
              <w:rPr>
                <w:rFonts w:ascii="宋体" w:hAnsi="宋体" w:eastAsia="宋体"/>
                <w:sz w:val="16"/>
              </w:rPr>
              <w:t>审计单位人员满意度（%）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CC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0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7F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38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61DD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5B3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44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7F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76E1D">
            <w:pPr>
              <w:jc w:val="center"/>
            </w:pPr>
            <w:r>
              <w:rPr>
                <w:rFonts w:ascii="宋体" w:hAnsi="宋体" w:eastAsia="宋体"/>
                <w:sz w:val="16"/>
              </w:rPr>
              <w:t>偏差原因：审计单位人员对项目实施基本满意，故产生偏差；改进措施：做好年初预算。</w:t>
            </w:r>
          </w:p>
        </w:tc>
      </w:tr>
      <w:tr w14:paraId="3D4045F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1ECF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D18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54721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5D8C9">
            <w:pPr>
              <w:jc w:val="center"/>
            </w:pPr>
            <w:r>
              <w:rPr>
                <w:rFonts w:ascii="宋体" w:hAnsi="宋体" w:eastAsia="宋体"/>
                <w:sz w:val="16"/>
              </w:rPr>
              <w:t>95.77分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DFE22C0"/>
        </w:tc>
      </w:tr>
    </w:tbl>
    <w:p w14:paraId="4F2C222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246E703">
        <w:tblPrEx>
          <w:tblCellMar>
            <w:top w:w="0" w:type="dxa"/>
            <w:left w:w="108" w:type="dxa"/>
            <w:bottom w:w="0" w:type="dxa"/>
            <w:right w:w="108" w:type="dxa"/>
          </w:tblCellMar>
        </w:tblPrEx>
        <w:tc>
          <w:tcPr>
            <w:tcW w:w="8848" w:type="dxa"/>
            <w:gridSpan w:val="14"/>
            <w:vAlign w:val="center"/>
          </w:tcPr>
          <w:p w14:paraId="7204E9A6">
            <w:pPr>
              <w:jc w:val="center"/>
            </w:pPr>
            <w:r>
              <w:rPr>
                <w:rFonts w:ascii="宋体" w:hAnsi="宋体" w:eastAsia="宋体"/>
                <w:sz w:val="24"/>
              </w:rPr>
              <w:t>项目支出绩效自评表</w:t>
            </w:r>
          </w:p>
        </w:tc>
      </w:tr>
      <w:tr w14:paraId="7B809B6E">
        <w:tblPrEx>
          <w:tblCellMar>
            <w:top w:w="0" w:type="dxa"/>
            <w:left w:w="108" w:type="dxa"/>
            <w:bottom w:w="0" w:type="dxa"/>
            <w:right w:w="108" w:type="dxa"/>
          </w:tblCellMar>
        </w:tblPrEx>
        <w:tc>
          <w:tcPr>
            <w:tcW w:w="8848" w:type="dxa"/>
            <w:gridSpan w:val="14"/>
            <w:vAlign w:val="center"/>
          </w:tcPr>
          <w:p w14:paraId="2CE7EEEF">
            <w:pPr>
              <w:jc w:val="center"/>
            </w:pPr>
            <w:r>
              <w:rPr>
                <w:rFonts w:ascii="宋体" w:hAnsi="宋体" w:eastAsia="宋体"/>
                <w:sz w:val="24"/>
              </w:rPr>
              <w:t>(2024年度)</w:t>
            </w:r>
          </w:p>
        </w:tc>
      </w:tr>
      <w:tr w14:paraId="394491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DD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ADAACE">
            <w:pPr>
              <w:jc w:val="center"/>
            </w:pPr>
            <w:r>
              <w:rPr>
                <w:rFonts w:ascii="宋体" w:hAnsi="宋体" w:eastAsia="宋体"/>
                <w:sz w:val="16"/>
              </w:rPr>
              <w:t>2023年国有企业审计服务费用项目</w:t>
            </w:r>
          </w:p>
        </w:tc>
      </w:tr>
      <w:tr w14:paraId="264F84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DA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45373">
            <w:pPr>
              <w:jc w:val="center"/>
            </w:pPr>
            <w:r>
              <w:rPr>
                <w:rFonts w:ascii="宋体" w:hAnsi="宋体" w:eastAsia="宋体"/>
                <w:sz w:val="16"/>
              </w:rPr>
              <w:t>叶城县审计局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9B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71734E">
            <w:pPr>
              <w:jc w:val="center"/>
            </w:pPr>
            <w:r>
              <w:rPr>
                <w:rFonts w:ascii="宋体" w:hAnsi="宋体" w:eastAsia="宋体"/>
                <w:sz w:val="16"/>
              </w:rPr>
              <w:t>叶城县审计局</w:t>
            </w:r>
          </w:p>
        </w:tc>
      </w:tr>
      <w:tr w14:paraId="0D6FE9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4BB1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D184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B56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9377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B77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1BFD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1FB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B974">
            <w:pPr>
              <w:jc w:val="center"/>
            </w:pPr>
            <w:r>
              <w:rPr>
                <w:rFonts w:ascii="宋体" w:hAnsi="宋体" w:eastAsia="宋体"/>
                <w:sz w:val="16"/>
              </w:rPr>
              <w:t>得分</w:t>
            </w:r>
          </w:p>
        </w:tc>
      </w:tr>
      <w:tr w14:paraId="0CC43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339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54B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1B093">
            <w:pPr>
              <w:jc w:val="center"/>
            </w:pPr>
            <w:r>
              <w:rPr>
                <w:rFonts w:ascii="宋体" w:hAnsi="宋体" w:eastAsia="宋体"/>
                <w:sz w:val="16"/>
              </w:rPr>
              <w:t>16.65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F6A60">
            <w:pPr>
              <w:jc w:val="center"/>
            </w:pPr>
            <w:r>
              <w:rPr>
                <w:rFonts w:ascii="宋体" w:hAnsi="宋体" w:eastAsia="宋体"/>
                <w:sz w:val="16"/>
              </w:rPr>
              <w:t>16.65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9FD26">
            <w:pPr>
              <w:jc w:val="center"/>
            </w:pPr>
            <w:r>
              <w:rPr>
                <w:rFonts w:ascii="宋体" w:hAnsi="宋体" w:eastAsia="宋体"/>
                <w:sz w:val="16"/>
              </w:rPr>
              <w:t>16.65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35D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1C5D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5D3E">
            <w:pPr>
              <w:jc w:val="center"/>
            </w:pPr>
            <w:r>
              <w:rPr>
                <w:rFonts w:ascii="宋体" w:hAnsi="宋体" w:eastAsia="宋体"/>
                <w:sz w:val="16"/>
              </w:rPr>
              <w:t>10.00分</w:t>
            </w:r>
          </w:p>
        </w:tc>
      </w:tr>
      <w:tr w14:paraId="162BC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C76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C017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4C146">
            <w:pPr>
              <w:jc w:val="center"/>
            </w:pPr>
            <w:r>
              <w:rPr>
                <w:rFonts w:ascii="宋体" w:hAnsi="宋体" w:eastAsia="宋体"/>
                <w:sz w:val="16"/>
              </w:rPr>
              <w:t>16.65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C1442">
            <w:pPr>
              <w:jc w:val="center"/>
            </w:pPr>
            <w:r>
              <w:rPr>
                <w:rFonts w:ascii="宋体" w:hAnsi="宋体" w:eastAsia="宋体"/>
                <w:sz w:val="16"/>
              </w:rPr>
              <w:t>16.65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B52C2">
            <w:pPr>
              <w:jc w:val="center"/>
            </w:pPr>
            <w:r>
              <w:rPr>
                <w:rFonts w:ascii="宋体" w:hAnsi="宋体" w:eastAsia="宋体"/>
                <w:sz w:val="16"/>
              </w:rPr>
              <w:t>16.65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466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941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BDB1">
            <w:pPr>
              <w:jc w:val="center"/>
            </w:pPr>
            <w:r>
              <w:rPr>
                <w:rFonts w:ascii="宋体" w:hAnsi="宋体" w:eastAsia="宋体"/>
                <w:sz w:val="16"/>
              </w:rPr>
              <w:t>—</w:t>
            </w:r>
          </w:p>
        </w:tc>
      </w:tr>
      <w:tr w14:paraId="490F67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A70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157A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0E3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130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85C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5BB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BB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94D5">
            <w:pPr>
              <w:jc w:val="center"/>
            </w:pPr>
            <w:r>
              <w:rPr>
                <w:rFonts w:ascii="宋体" w:hAnsi="宋体" w:eastAsia="宋体"/>
                <w:sz w:val="16"/>
              </w:rPr>
              <w:t>—</w:t>
            </w:r>
          </w:p>
        </w:tc>
      </w:tr>
      <w:tr w14:paraId="4AF053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F279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320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9CCD71">
            <w:pPr>
              <w:jc w:val="center"/>
            </w:pPr>
            <w:r>
              <w:rPr>
                <w:rFonts w:ascii="宋体" w:hAnsi="宋体" w:eastAsia="宋体"/>
                <w:sz w:val="16"/>
              </w:rPr>
              <w:t>实际完成情况</w:t>
            </w:r>
          </w:p>
        </w:tc>
      </w:tr>
      <w:tr w14:paraId="62EFD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8DB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B5EF4E">
            <w:pPr>
              <w:jc w:val="both"/>
            </w:pPr>
            <w:r>
              <w:rPr>
                <w:rFonts w:ascii="宋体" w:hAnsi="宋体" w:eastAsia="宋体"/>
                <w:sz w:val="16"/>
              </w:rPr>
              <w:t>项目资金16.65万元，对叶城县13家国有企业2022年-2023年7月经营管理状况及财务收支情况采取授权委托形式进行审计，通过不间断开展国有企业审计监督，能够切实摸清经营、投资、风险，防范重大经营风险，防范企业个别风险积累引发企业系统性风险，保持可持续健康发展，提高国有资本回报，推动企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9B8BE6">
            <w:pPr>
              <w:jc w:val="both"/>
            </w:pPr>
            <w:r>
              <w:rPr>
                <w:rFonts w:ascii="宋体" w:hAnsi="宋体" w:eastAsia="宋体"/>
                <w:sz w:val="16"/>
              </w:rPr>
              <w:t>截至2024年8月31日，项目实际支出16.65万元，聘用3家会计师事务所完成对13家国有企业审计工作，摸清企业发展过程中的问题，排查风险隐患，持续深化国有企业审计，为国有经济高质量发展保驾护航，推动国有企业改革发展，为叶城县经济社会持续、健康发展提供保障。</w:t>
            </w:r>
          </w:p>
        </w:tc>
      </w:tr>
      <w:tr w14:paraId="220387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CD90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6FA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76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D2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7B8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B1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9A2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B3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374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297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E43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CDA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FE519">
            <w:pPr>
              <w:jc w:val="center"/>
            </w:pPr>
            <w:r>
              <w:rPr>
                <w:rFonts w:ascii="宋体" w:hAnsi="宋体" w:eastAsia="宋体"/>
                <w:sz w:val="16"/>
              </w:rPr>
              <w:t>偏差原因分析及改进措施</w:t>
            </w:r>
          </w:p>
        </w:tc>
      </w:tr>
      <w:tr w14:paraId="4A5EB9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960A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02D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534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D127">
            <w:pPr>
              <w:jc w:val="center"/>
            </w:pPr>
            <w:r>
              <w:rPr>
                <w:rFonts w:ascii="宋体" w:hAnsi="宋体" w:eastAsia="宋体"/>
                <w:sz w:val="16"/>
              </w:rPr>
              <w:t>审计国有企业数（个）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49E6">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AA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A6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C3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7BC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C1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1EFB">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97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1EBD3">
            <w:pPr>
              <w:jc w:val="center"/>
            </w:pPr>
          </w:p>
        </w:tc>
      </w:tr>
      <w:tr w14:paraId="5037C7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37F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17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9F4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6020">
            <w:pPr>
              <w:jc w:val="center"/>
            </w:pPr>
            <w:r>
              <w:rPr>
                <w:rFonts w:ascii="宋体" w:hAnsi="宋体" w:eastAsia="宋体"/>
                <w:sz w:val="16"/>
              </w:rPr>
              <w:t>会计师事务所（家）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26A7">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B2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D0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A3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ED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79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C44DF">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F8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90CE3">
            <w:pPr>
              <w:jc w:val="center"/>
            </w:pPr>
          </w:p>
        </w:tc>
      </w:tr>
      <w:tr w14:paraId="10FA2C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DF6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8D2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73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4186">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BB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45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64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2A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ED7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F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13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05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0D257">
            <w:pPr>
              <w:jc w:val="center"/>
            </w:pPr>
          </w:p>
        </w:tc>
      </w:tr>
      <w:tr w14:paraId="73FCD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FCB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70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E1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BB3B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76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C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06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C97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92A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B92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40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3D4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D5D5A">
            <w:pPr>
              <w:jc w:val="center"/>
            </w:pPr>
          </w:p>
        </w:tc>
      </w:tr>
      <w:tr w14:paraId="634CD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431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E9D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45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A474D">
            <w:pPr>
              <w:jc w:val="center"/>
            </w:pPr>
            <w:r>
              <w:rPr>
                <w:rFonts w:ascii="宋体" w:hAnsi="宋体" w:eastAsia="宋体"/>
                <w:sz w:val="16"/>
              </w:rPr>
              <w:t>审计服务成本（万元/个）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6BD72">
            <w:pPr>
              <w:jc w:val="center"/>
            </w:pPr>
            <w:r>
              <w:rPr>
                <w:rFonts w:ascii="宋体" w:hAnsi="宋体" w:eastAsia="宋体"/>
                <w:sz w:val="16"/>
              </w:rPr>
              <w:t>&lt;=1.28万元/个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28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18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BDB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00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4A0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1865">
            <w:pPr>
              <w:jc w:val="center"/>
            </w:pPr>
            <w:r>
              <w:rPr>
                <w:rFonts w:ascii="宋体" w:hAnsi="宋体" w:eastAsia="宋体"/>
                <w:sz w:val="16"/>
              </w:rPr>
              <w:t>=1.28万元/个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EC62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5818F">
            <w:pPr>
              <w:jc w:val="center"/>
            </w:pPr>
          </w:p>
        </w:tc>
      </w:tr>
      <w:tr w14:paraId="6BBBE8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72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1B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6D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3818">
            <w:pPr>
              <w:jc w:val="center"/>
            </w:pPr>
            <w:r>
              <w:rPr>
                <w:rFonts w:ascii="宋体" w:hAnsi="宋体" w:eastAsia="宋体"/>
                <w:sz w:val="16"/>
              </w:rPr>
              <w:t>促进企业高质量发展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526A">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59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E2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D2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EA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DA9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672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DB3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74F70">
            <w:pPr>
              <w:jc w:val="center"/>
            </w:pPr>
          </w:p>
        </w:tc>
      </w:tr>
      <w:tr w14:paraId="66E9B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7D0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AF4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04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EB56">
            <w:pPr>
              <w:jc w:val="center"/>
            </w:pPr>
            <w:r>
              <w:rPr>
                <w:rFonts w:ascii="宋体" w:hAnsi="宋体" w:eastAsia="宋体"/>
                <w:sz w:val="16"/>
              </w:rPr>
              <w:t>受益国有企业满意度（%）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28C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56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CA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05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7CA6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449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5B0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292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ACBE9">
            <w:pPr>
              <w:jc w:val="center"/>
            </w:pPr>
            <w:r>
              <w:rPr>
                <w:rFonts w:ascii="宋体" w:hAnsi="宋体" w:eastAsia="宋体"/>
                <w:sz w:val="16"/>
              </w:rPr>
              <w:t>偏差原因：受益审计人员对项目实施都很满意；改进措施：加强年初预算编制管理。</w:t>
            </w:r>
          </w:p>
        </w:tc>
      </w:tr>
      <w:tr w14:paraId="5CAFAFC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64D9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FF2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C6F04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6AF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5227886"/>
        </w:tc>
      </w:tr>
    </w:tbl>
    <w:p w14:paraId="390E4BD8">
      <w:r>
        <w:br w:type="page"/>
      </w:r>
    </w:p>
    <w:p w14:paraId="7C3A60C8">
      <w:pPr>
        <w:spacing w:line="640" w:lineRule="exact"/>
        <w:ind w:firstLine="640"/>
        <w:jc w:val="both"/>
        <w:outlineLvl w:val="2"/>
      </w:pPr>
      <w:r>
        <w:rPr>
          <w:rFonts w:ascii="黑体" w:hAnsi="黑体" w:eastAsia="黑体"/>
          <w:sz w:val="32"/>
        </w:rPr>
        <w:t>十二、其他需说明的事项</w:t>
      </w:r>
    </w:p>
    <w:p w14:paraId="54B34C80">
      <w:pPr>
        <w:spacing w:line="580" w:lineRule="exact"/>
        <w:ind w:firstLine="640"/>
        <w:jc w:val="both"/>
      </w:pPr>
      <w:r>
        <w:rPr>
          <w:rFonts w:ascii="仿宋_GB2312" w:hAnsi="仿宋_GB2312" w:eastAsia="仿宋_GB2312"/>
          <w:b w:val="0"/>
          <w:sz w:val="32"/>
        </w:rPr>
        <w:t>本单位无其他需说明的事项。</w:t>
      </w:r>
    </w:p>
    <w:p w14:paraId="47607FD8">
      <w:r>
        <w:br w:type="page"/>
      </w:r>
    </w:p>
    <w:p w14:paraId="736841C9">
      <w:pPr>
        <w:spacing w:line="240" w:lineRule="auto"/>
        <w:jc w:val="center"/>
        <w:outlineLvl w:val="1"/>
      </w:pPr>
      <w:r>
        <w:rPr>
          <w:rFonts w:ascii="黑体" w:hAnsi="黑体" w:eastAsia="黑体"/>
          <w:sz w:val="32"/>
        </w:rPr>
        <w:t>第三部分 专业名词解释</w:t>
      </w:r>
    </w:p>
    <w:p w14:paraId="2AD69D6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042EF8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98484A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2918DD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8BC27D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4CF5E7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FA68F6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26575F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21D73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253AB5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489734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9E1F06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227E7A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2F1F12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3C6A41D">
      <w:r>
        <w:br w:type="page"/>
      </w:r>
    </w:p>
    <w:p w14:paraId="182446FB">
      <w:pPr>
        <w:spacing w:line="240" w:lineRule="auto"/>
        <w:jc w:val="center"/>
        <w:outlineLvl w:val="1"/>
      </w:pPr>
      <w:r>
        <w:rPr>
          <w:rFonts w:ascii="黑体" w:hAnsi="黑体" w:eastAsia="黑体"/>
          <w:sz w:val="32"/>
        </w:rPr>
        <w:t>第四部分 部门决算报表（见附表）</w:t>
      </w:r>
    </w:p>
    <w:p w14:paraId="11E93D69">
      <w:pPr>
        <w:spacing w:line="240" w:lineRule="auto"/>
        <w:ind w:firstLine="640"/>
        <w:jc w:val="both"/>
      </w:pPr>
      <w:r>
        <w:rPr>
          <w:rFonts w:ascii="仿宋_GB2312" w:hAnsi="仿宋_GB2312" w:eastAsia="仿宋_GB2312"/>
          <w:b w:val="0"/>
          <w:sz w:val="32"/>
        </w:rPr>
        <w:t>一、《收入支出决算总表》</w:t>
      </w:r>
    </w:p>
    <w:p w14:paraId="3CA2C045">
      <w:pPr>
        <w:spacing w:line="240" w:lineRule="auto"/>
        <w:ind w:firstLine="640"/>
        <w:jc w:val="both"/>
      </w:pPr>
      <w:r>
        <w:rPr>
          <w:rFonts w:ascii="仿宋_GB2312" w:hAnsi="仿宋_GB2312" w:eastAsia="仿宋_GB2312"/>
          <w:b w:val="0"/>
          <w:sz w:val="32"/>
        </w:rPr>
        <w:t>二、《收入决算表》</w:t>
      </w:r>
    </w:p>
    <w:p w14:paraId="0C06500E">
      <w:pPr>
        <w:spacing w:line="240" w:lineRule="auto"/>
        <w:ind w:firstLine="640"/>
        <w:jc w:val="both"/>
      </w:pPr>
      <w:r>
        <w:rPr>
          <w:rFonts w:ascii="仿宋_GB2312" w:hAnsi="仿宋_GB2312" w:eastAsia="仿宋_GB2312"/>
          <w:b w:val="0"/>
          <w:sz w:val="32"/>
        </w:rPr>
        <w:t>三、《支出决算表》</w:t>
      </w:r>
    </w:p>
    <w:p w14:paraId="7736269B">
      <w:pPr>
        <w:spacing w:line="240" w:lineRule="auto"/>
        <w:ind w:firstLine="640"/>
        <w:jc w:val="both"/>
      </w:pPr>
      <w:r>
        <w:rPr>
          <w:rFonts w:ascii="仿宋_GB2312" w:hAnsi="仿宋_GB2312" w:eastAsia="仿宋_GB2312"/>
          <w:b w:val="0"/>
          <w:sz w:val="32"/>
        </w:rPr>
        <w:t>四、《财政拨款收入支出决算总表》</w:t>
      </w:r>
    </w:p>
    <w:p w14:paraId="2A92C255">
      <w:pPr>
        <w:spacing w:line="240" w:lineRule="auto"/>
        <w:ind w:firstLine="640"/>
        <w:jc w:val="both"/>
      </w:pPr>
      <w:r>
        <w:rPr>
          <w:rFonts w:ascii="仿宋_GB2312" w:hAnsi="仿宋_GB2312" w:eastAsia="仿宋_GB2312"/>
          <w:b w:val="0"/>
          <w:sz w:val="32"/>
        </w:rPr>
        <w:t>五、《一般公共预算财政拨款支出决算表》</w:t>
      </w:r>
    </w:p>
    <w:p w14:paraId="24551D86">
      <w:pPr>
        <w:spacing w:line="240" w:lineRule="auto"/>
        <w:ind w:firstLine="640"/>
        <w:jc w:val="both"/>
      </w:pPr>
      <w:r>
        <w:rPr>
          <w:rFonts w:ascii="仿宋_GB2312" w:hAnsi="仿宋_GB2312" w:eastAsia="仿宋_GB2312"/>
          <w:b w:val="0"/>
          <w:sz w:val="32"/>
        </w:rPr>
        <w:t>六、《一般公共预算财政拨款基本支出决算表》</w:t>
      </w:r>
    </w:p>
    <w:p w14:paraId="58E91B34">
      <w:pPr>
        <w:spacing w:line="240" w:lineRule="auto"/>
        <w:ind w:firstLine="640"/>
        <w:jc w:val="both"/>
      </w:pPr>
      <w:r>
        <w:rPr>
          <w:rFonts w:ascii="仿宋_GB2312" w:hAnsi="仿宋_GB2312" w:eastAsia="仿宋_GB2312"/>
          <w:b w:val="0"/>
          <w:sz w:val="32"/>
        </w:rPr>
        <w:t>七、《政府性基金预算财政拨款收入支出决算表》</w:t>
      </w:r>
    </w:p>
    <w:p w14:paraId="15869819">
      <w:pPr>
        <w:spacing w:line="240" w:lineRule="auto"/>
        <w:ind w:firstLine="640"/>
        <w:jc w:val="both"/>
      </w:pPr>
      <w:r>
        <w:rPr>
          <w:rFonts w:ascii="仿宋_GB2312" w:hAnsi="仿宋_GB2312" w:eastAsia="仿宋_GB2312"/>
          <w:b w:val="0"/>
          <w:sz w:val="32"/>
        </w:rPr>
        <w:t>八、《国有资本经营预算财政拨款收入支出决算表》</w:t>
      </w:r>
    </w:p>
    <w:p w14:paraId="3E3B47F3">
      <w:pPr>
        <w:spacing w:line="240" w:lineRule="auto"/>
        <w:ind w:firstLine="640"/>
        <w:jc w:val="both"/>
      </w:pPr>
      <w:r>
        <w:rPr>
          <w:rFonts w:ascii="仿宋_GB2312" w:hAnsi="仿宋_GB2312" w:eastAsia="仿宋_GB2312"/>
          <w:b w:val="0"/>
          <w:sz w:val="32"/>
        </w:rPr>
        <w:t>九、《财政拨款“三公”经费支出决算表》</w:t>
      </w:r>
    </w:p>
    <w:p w14:paraId="6B4A74B1">
      <w:pPr>
        <w:spacing w:line="240" w:lineRule="auto"/>
        <w:ind w:firstLine="640"/>
        <w:jc w:val="both"/>
      </w:pPr>
    </w:p>
    <w:p w14:paraId="78BD99F4">
      <w:pPr>
        <w:spacing w:line="240" w:lineRule="auto"/>
        <w:ind w:firstLine="640"/>
        <w:jc w:val="both"/>
      </w:pPr>
    </w:p>
    <w:p w14:paraId="6DD233AB">
      <w:pPr>
        <w:spacing w:line="240" w:lineRule="auto"/>
        <w:ind w:firstLine="640"/>
        <w:jc w:val="both"/>
      </w:pPr>
    </w:p>
    <w:p w14:paraId="61CF14CE">
      <w:pPr>
        <w:spacing w:line="240" w:lineRule="auto"/>
        <w:ind w:firstLine="640"/>
        <w:jc w:val="both"/>
      </w:pPr>
    </w:p>
    <w:p w14:paraId="50F036C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0DC487-073C-499F-892E-BB398625FF9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DE512ED-FD01-4215-926A-443BFFDCE115}"/>
  </w:font>
  <w:font w:name="仿宋_GB2312">
    <w:panose1 w:val="02010609030101010101"/>
    <w:charset w:val="86"/>
    <w:family w:val="modern"/>
    <w:pitch w:val="default"/>
    <w:sig w:usb0="00000001" w:usb1="080E0000" w:usb2="00000000" w:usb3="00000000" w:csb0="00040000" w:csb1="00000000"/>
    <w:embedRegular r:id="rId3" w:fontKey="{19B738E7-27C6-4329-B8A9-B5362EBB53A9}"/>
  </w:font>
  <w:font w:name="楷体_GB2312">
    <w:panose1 w:val="02010609030101010101"/>
    <w:charset w:val="86"/>
    <w:family w:val="auto"/>
    <w:pitch w:val="default"/>
    <w:sig w:usb0="00000001" w:usb1="080E0000" w:usb2="00000000" w:usb3="00000000" w:csb0="00040000" w:csb1="00000000"/>
    <w:embedRegular r:id="rId4" w:fontKey="{743CCA2C-0DFA-4864-96B3-8C7868F4C24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AF5423"/>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9A1A6D"/>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5851</Words>
  <Characters>6627</Characters>
  <Lines>0</Lines>
  <Paragraphs>0</Paragraphs>
  <TotalTime>4</TotalTime>
  <ScaleCrop>false</ScaleCrop>
  <LinksUpToDate>false</LinksUpToDate>
  <CharactersWithSpaces>6635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2025-09-30T02:56:31Z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