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31B1B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叶城县工商业联合会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46DDAD">
      <w:r>
        <w:br w:type="page"/>
      </w:r>
    </w:p>
    <w:p w14:paraId="07B06AE7">
      <w:pPr>
        <w:spacing w:line="640" w:lineRule="exact"/>
        <w:jc w:val="center"/>
        <w:outlineLvl w:val="1"/>
      </w:pPr>
      <w:r>
        <w:rPr>
          <w:rFonts w:ascii="黑体" w:hAnsi="黑体" w:eastAsia="黑体"/>
          <w:sz w:val="32"/>
        </w:rPr>
        <w:t>第一部分 单位概况</w:t>
      </w:r>
    </w:p>
    <w:p w14:paraId="22223C52">
      <w:pPr>
        <w:spacing w:line="640" w:lineRule="exact"/>
        <w:ind w:firstLine="640"/>
        <w:jc w:val="both"/>
        <w:outlineLvl w:val="2"/>
      </w:pPr>
      <w:r>
        <w:rPr>
          <w:rFonts w:ascii="黑体" w:hAnsi="黑体" w:eastAsia="黑体"/>
          <w:sz w:val="32"/>
        </w:rPr>
        <w:t>一、主要职能</w:t>
      </w:r>
    </w:p>
    <w:p w14:paraId="1E49CC47">
      <w:pPr>
        <w:spacing w:line="580" w:lineRule="exact"/>
        <w:ind w:firstLine="640"/>
        <w:jc w:val="both"/>
      </w:pPr>
      <w:r>
        <w:rPr>
          <w:rFonts w:ascii="仿宋_GB2312" w:hAnsi="仿宋_GB2312" w:eastAsia="仿宋_GB2312"/>
          <w:sz w:val="32"/>
        </w:rPr>
        <w:t>工商业联合会的工作职能是:参与国家大政方针、经济、社会生活中的重要问题的协商，参与议政，民主监督；引导会员积极参加国家经济建设，推动社会主义市场经济体制逐步完善，促进社会全面进步；做工商界代表人士安排的推荐工作；在非公有制经济人士中，宣传、贯彻党和国家的方针政策，推动企业文化建设，引导会员做中国特色社会主义的建设者；代表并维护会员的合法权益，反映会员的意见、要求和建议。重点工作计划。围绕总目标，持续做好“千企帮千村”相关工作，动员全县广大民营企业开展“万企兴万村”精准扶贫行动。</w:t>
      </w:r>
    </w:p>
    <w:p w14:paraId="0382516A">
      <w:pPr>
        <w:spacing w:line="640" w:lineRule="exact"/>
        <w:ind w:firstLine="640"/>
        <w:jc w:val="both"/>
        <w:outlineLvl w:val="2"/>
      </w:pPr>
      <w:r>
        <w:rPr>
          <w:rFonts w:ascii="黑体" w:hAnsi="黑体" w:eastAsia="黑体"/>
          <w:sz w:val="32"/>
        </w:rPr>
        <w:t>二、机构设置及人员情况</w:t>
      </w:r>
    </w:p>
    <w:p w14:paraId="0BDF4743">
      <w:pPr>
        <w:spacing w:line="580" w:lineRule="exact"/>
        <w:ind w:firstLine="640"/>
        <w:jc w:val="both"/>
      </w:pPr>
      <w:r>
        <w:rPr>
          <w:rFonts w:ascii="仿宋_GB2312" w:hAnsi="仿宋_GB2312" w:eastAsia="仿宋_GB2312"/>
          <w:sz w:val="32"/>
        </w:rPr>
        <w:t>叶城县工商业联合会2024年度，实有人数8人，其中：在职人员4人，增加0人；离休人员0人，增加0人；退休人员4人,减少1人。</w:t>
      </w:r>
    </w:p>
    <w:p w14:paraId="6963F072">
      <w:pPr>
        <w:spacing w:line="580" w:lineRule="exact"/>
        <w:ind w:firstLine="640"/>
        <w:jc w:val="both"/>
      </w:pPr>
      <w:r>
        <w:rPr>
          <w:rFonts w:ascii="仿宋_GB2312" w:hAnsi="仿宋_GB2312" w:eastAsia="仿宋_GB2312"/>
          <w:sz w:val="32"/>
        </w:rPr>
        <w:t>叶城县工商业联合会无下属预算单位，下设1个科室，分别是：办公室。</w:t>
      </w:r>
    </w:p>
    <w:p w14:paraId="5E2E4AF1">
      <w:r>
        <w:br w:type="page"/>
      </w:r>
    </w:p>
    <w:p w14:paraId="2E02F08E">
      <w:pPr>
        <w:spacing w:line="240" w:lineRule="auto"/>
        <w:jc w:val="center"/>
        <w:outlineLvl w:val="1"/>
      </w:pPr>
      <w:r>
        <w:rPr>
          <w:rFonts w:ascii="黑体" w:hAnsi="黑体" w:eastAsia="黑体"/>
          <w:sz w:val="32"/>
        </w:rPr>
        <w:t>第二部分 部门决算情况说明</w:t>
      </w:r>
    </w:p>
    <w:p w14:paraId="5C379C0F">
      <w:pPr>
        <w:spacing w:line="640" w:lineRule="exact"/>
        <w:ind w:firstLine="640"/>
        <w:jc w:val="both"/>
        <w:outlineLvl w:val="2"/>
      </w:pPr>
      <w:r>
        <w:rPr>
          <w:rFonts w:ascii="黑体" w:hAnsi="黑体" w:eastAsia="黑体"/>
          <w:sz w:val="32"/>
        </w:rPr>
        <w:t>一、收入支出决算总体情况说明</w:t>
      </w:r>
    </w:p>
    <w:p w14:paraId="4BEE9917">
      <w:pPr>
        <w:spacing w:line="580" w:lineRule="exact"/>
        <w:ind w:firstLine="640"/>
        <w:jc w:val="both"/>
      </w:pPr>
      <w:r>
        <w:rPr>
          <w:rFonts w:ascii="仿宋_GB2312" w:hAnsi="仿宋_GB2312" w:eastAsia="仿宋_GB2312"/>
          <w:b/>
          <w:sz w:val="32"/>
        </w:rPr>
        <w:t>2024年度收入总计118.61万元，</w:t>
      </w:r>
      <w:r>
        <w:rPr>
          <w:rFonts w:ascii="仿宋_GB2312" w:hAnsi="仿宋_GB2312" w:eastAsia="仿宋_GB2312"/>
          <w:b w:val="0"/>
          <w:sz w:val="32"/>
        </w:rPr>
        <w:t>其中：本年收入合计118.61万元，使用非财政拨款结余（含专用结余）0.00万元，年初结转和结余0.00万元。</w:t>
      </w:r>
    </w:p>
    <w:p w14:paraId="1088871F">
      <w:pPr>
        <w:spacing w:line="580" w:lineRule="exact"/>
        <w:ind w:firstLine="640"/>
        <w:jc w:val="both"/>
      </w:pPr>
      <w:r>
        <w:rPr>
          <w:rFonts w:ascii="仿宋_GB2312" w:hAnsi="仿宋_GB2312" w:eastAsia="仿宋_GB2312"/>
          <w:b/>
          <w:sz w:val="32"/>
        </w:rPr>
        <w:t>2024年度支出总计118.61万元，</w:t>
      </w:r>
      <w:r>
        <w:rPr>
          <w:rFonts w:ascii="仿宋_GB2312" w:hAnsi="仿宋_GB2312" w:eastAsia="仿宋_GB2312"/>
          <w:b w:val="0"/>
          <w:sz w:val="32"/>
        </w:rPr>
        <w:t>其中：本年支出合计118.61万元，结余分配0.00万元，年末结转和结余0.00万元。</w:t>
      </w:r>
    </w:p>
    <w:p w14:paraId="1C0263CA">
      <w:pPr>
        <w:spacing w:line="580" w:lineRule="exact"/>
        <w:ind w:firstLine="640"/>
        <w:jc w:val="both"/>
      </w:pPr>
      <w:r>
        <w:rPr>
          <w:rFonts w:ascii="仿宋_GB2312" w:hAnsi="仿宋_GB2312" w:eastAsia="仿宋_GB2312"/>
          <w:b w:val="0"/>
          <w:sz w:val="32"/>
        </w:rPr>
        <w:t>收入支出总体与上年相比，增加32.94万元，增长38.45%，主要原因是：本年在职人员工资调增，社保、公积金基数调增，人员经费增加，新增死亡人员，死亡抚恤金支出增加。</w:t>
      </w:r>
    </w:p>
    <w:p w14:paraId="6B9D53C8">
      <w:pPr>
        <w:spacing w:line="640" w:lineRule="exact"/>
        <w:ind w:firstLine="640"/>
        <w:jc w:val="both"/>
        <w:outlineLvl w:val="2"/>
      </w:pPr>
      <w:r>
        <w:rPr>
          <w:rFonts w:ascii="黑体" w:hAnsi="黑体" w:eastAsia="黑体"/>
          <w:sz w:val="32"/>
        </w:rPr>
        <w:t>二、收入决算情况说明</w:t>
      </w:r>
    </w:p>
    <w:p w14:paraId="27E98025">
      <w:pPr>
        <w:spacing w:line="580" w:lineRule="exact"/>
        <w:ind w:firstLine="640"/>
        <w:jc w:val="both"/>
      </w:pPr>
      <w:r>
        <w:rPr>
          <w:rFonts w:ascii="仿宋_GB2312" w:hAnsi="仿宋_GB2312" w:eastAsia="仿宋_GB2312"/>
          <w:b/>
          <w:sz w:val="32"/>
        </w:rPr>
        <w:t>本年收入118.61万元，</w:t>
      </w:r>
      <w:r>
        <w:rPr>
          <w:rFonts w:ascii="仿宋_GB2312" w:hAnsi="仿宋_GB2312" w:eastAsia="仿宋_GB2312"/>
          <w:b w:val="0"/>
          <w:sz w:val="32"/>
        </w:rPr>
        <w:t>其中：财政拨款收入118.61万元，占100.00%；上级补助收入0.00万元，占0.00%；事业收入0.00万元，占0.00%；经营收入0.00万元，占0.00%；附属单位上缴收入0.00万元，占0.00%；其他收入0.00万元，占0.00%。</w:t>
      </w:r>
    </w:p>
    <w:p w14:paraId="2171776D">
      <w:pPr>
        <w:spacing w:line="640" w:lineRule="exact"/>
        <w:ind w:firstLine="640"/>
        <w:jc w:val="both"/>
        <w:outlineLvl w:val="2"/>
      </w:pPr>
      <w:r>
        <w:rPr>
          <w:rFonts w:ascii="黑体" w:hAnsi="黑体" w:eastAsia="黑体"/>
          <w:sz w:val="32"/>
        </w:rPr>
        <w:t>三、支出决算情况说明</w:t>
      </w:r>
    </w:p>
    <w:p w14:paraId="244CC9B9">
      <w:pPr>
        <w:spacing w:line="580" w:lineRule="exact"/>
        <w:ind w:firstLine="640"/>
        <w:jc w:val="both"/>
      </w:pPr>
      <w:r>
        <w:rPr>
          <w:rFonts w:ascii="仿宋_GB2312" w:hAnsi="仿宋_GB2312" w:eastAsia="仿宋_GB2312"/>
          <w:b/>
          <w:sz w:val="32"/>
        </w:rPr>
        <w:t>本年支出118.61万元，</w:t>
      </w:r>
      <w:r>
        <w:rPr>
          <w:rFonts w:ascii="仿宋_GB2312" w:hAnsi="仿宋_GB2312" w:eastAsia="仿宋_GB2312"/>
          <w:b w:val="0"/>
          <w:sz w:val="32"/>
        </w:rPr>
        <w:t>其中：基本支出118.61万元，占100.00%；项目支出0.00万元，占0.00%；上缴上级支出0.00万元，占0.00%；经营支出0.00万元，占0.00%；对附属单位补助支出0.00万元，占0.00%。</w:t>
      </w:r>
    </w:p>
    <w:p w14:paraId="137E0B58">
      <w:pPr>
        <w:spacing w:line="640" w:lineRule="exact"/>
        <w:ind w:firstLine="640"/>
        <w:jc w:val="both"/>
        <w:outlineLvl w:val="2"/>
      </w:pPr>
      <w:r>
        <w:rPr>
          <w:rFonts w:ascii="黑体" w:hAnsi="黑体" w:eastAsia="黑体"/>
          <w:sz w:val="32"/>
        </w:rPr>
        <w:t>四、财政拨款收入支出决算总体情况说明</w:t>
      </w:r>
    </w:p>
    <w:p w14:paraId="57F3DDF4">
      <w:pPr>
        <w:spacing w:line="580" w:lineRule="exact"/>
        <w:ind w:firstLine="640"/>
        <w:jc w:val="both"/>
      </w:pPr>
      <w:r>
        <w:rPr>
          <w:rFonts w:ascii="仿宋_GB2312" w:hAnsi="仿宋_GB2312" w:eastAsia="仿宋_GB2312"/>
          <w:b/>
          <w:sz w:val="32"/>
        </w:rPr>
        <w:t>2024年度财政拨款收入总计118.61万元，</w:t>
      </w:r>
      <w:r>
        <w:rPr>
          <w:rFonts w:ascii="仿宋_GB2312" w:hAnsi="仿宋_GB2312" w:eastAsia="仿宋_GB2312"/>
          <w:b w:val="0"/>
          <w:sz w:val="32"/>
        </w:rPr>
        <w:t>其中：年初财政拨款结转和结余0.00万元，本年财政拨款收入118.61万元。</w:t>
      </w:r>
      <w:r>
        <w:rPr>
          <w:rFonts w:ascii="仿宋_GB2312" w:hAnsi="仿宋_GB2312" w:eastAsia="仿宋_GB2312"/>
          <w:b/>
          <w:sz w:val="32"/>
        </w:rPr>
        <w:t>财政拨款支出总计118.61万元，</w:t>
      </w:r>
      <w:r>
        <w:rPr>
          <w:rFonts w:ascii="仿宋_GB2312" w:hAnsi="仿宋_GB2312" w:eastAsia="仿宋_GB2312"/>
          <w:b w:val="0"/>
          <w:sz w:val="32"/>
        </w:rPr>
        <w:t>其中：年末财政拨款结转和结余0.00万元，本年财政拨款支出118.61万元。</w:t>
      </w:r>
    </w:p>
    <w:p w14:paraId="769659E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增加32.94万元，增长38.45%，主要原因是：本年在职人员工资调增，社保、公积金基数调增，人员经费增加，新增死亡人员，死亡抚恤金支出增加。</w:t>
      </w:r>
      <w:r>
        <w:rPr>
          <w:rFonts w:ascii="仿宋_GB2312" w:hAnsi="仿宋_GB2312" w:eastAsia="仿宋_GB2312"/>
          <w:b/>
          <w:sz w:val="32"/>
        </w:rPr>
        <w:t>与年初预算相比，</w:t>
      </w:r>
      <w:r>
        <w:rPr>
          <w:rFonts w:ascii="仿宋_GB2312" w:hAnsi="仿宋_GB2312" w:eastAsia="仿宋_GB2312"/>
          <w:b w:val="0"/>
          <w:sz w:val="32"/>
        </w:rPr>
        <w:t>年初预算数94.04万元，决算数118.61万元，预决算差异率26.13%，主要原因是：年中追加人员工资、社保、公积金基数调增部分资金，新增死亡人员，追加死亡抚恤金支出，导致预决算存在差异。</w:t>
      </w:r>
    </w:p>
    <w:p w14:paraId="4A08FD58">
      <w:pPr>
        <w:spacing w:line="640" w:lineRule="exact"/>
        <w:ind w:firstLine="640"/>
        <w:jc w:val="both"/>
        <w:outlineLvl w:val="2"/>
      </w:pPr>
      <w:r>
        <w:rPr>
          <w:rFonts w:ascii="黑体" w:hAnsi="黑体" w:eastAsia="黑体"/>
          <w:sz w:val="32"/>
        </w:rPr>
        <w:t>五、一般公共预算财政拨款支出决算情况说明</w:t>
      </w:r>
    </w:p>
    <w:p w14:paraId="1D6C71F3">
      <w:pPr>
        <w:spacing w:line="640" w:lineRule="exact"/>
        <w:ind w:firstLine="640"/>
        <w:jc w:val="both"/>
        <w:outlineLvl w:val="3"/>
      </w:pPr>
      <w:r>
        <w:rPr>
          <w:rFonts w:ascii="楷体_GB2312" w:hAnsi="楷体_GB2312" w:eastAsia="楷体_GB2312"/>
          <w:b/>
          <w:sz w:val="32"/>
        </w:rPr>
        <w:t>（一）一般公共预算财政拨款支出决算总体情况</w:t>
      </w:r>
    </w:p>
    <w:p w14:paraId="4781328A">
      <w:pPr>
        <w:spacing w:line="580" w:lineRule="exact"/>
        <w:ind w:firstLine="640"/>
        <w:jc w:val="both"/>
      </w:pPr>
      <w:r>
        <w:rPr>
          <w:rFonts w:ascii="仿宋_GB2312" w:hAnsi="仿宋_GB2312" w:eastAsia="仿宋_GB2312"/>
          <w:b/>
          <w:sz w:val="32"/>
        </w:rPr>
        <w:t>2024年度一般公共预算财政拨款支出118.61万元，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增加32.94万元，增长38.45%，主要原因是：本年在职人员工资调增，社保、公积金基数调增，人员经费增加，新增死亡人员，死亡抚恤金支出增加。</w:t>
      </w:r>
      <w:r>
        <w:rPr>
          <w:rFonts w:ascii="仿宋_GB2312" w:hAnsi="仿宋_GB2312" w:eastAsia="仿宋_GB2312"/>
          <w:b/>
          <w:sz w:val="32"/>
        </w:rPr>
        <w:t>与年初预算相比,</w:t>
      </w:r>
      <w:r>
        <w:rPr>
          <w:rFonts w:ascii="仿宋_GB2312" w:hAnsi="仿宋_GB2312" w:eastAsia="仿宋_GB2312"/>
          <w:b w:val="0"/>
          <w:sz w:val="32"/>
        </w:rPr>
        <w:t>年初预算数94.04万元，决算数118.61万元，预决算差异率26.13%，主要原因是：年中追加人员工资、社保、公积金基数调增部分资金，新增死亡人员，追加死亡抚恤金支出，导致预决算存在差异。</w:t>
      </w:r>
    </w:p>
    <w:p w14:paraId="1340A8B8">
      <w:pPr>
        <w:spacing w:line="640" w:lineRule="exact"/>
        <w:ind w:firstLine="640"/>
        <w:jc w:val="both"/>
        <w:outlineLvl w:val="3"/>
      </w:pPr>
      <w:r>
        <w:rPr>
          <w:rFonts w:ascii="楷体_GB2312" w:hAnsi="楷体_GB2312" w:eastAsia="楷体_GB2312"/>
          <w:b/>
          <w:sz w:val="32"/>
        </w:rPr>
        <w:t>（二）一般公共预算财政拨款支出决算结构情况</w:t>
      </w:r>
    </w:p>
    <w:p w14:paraId="01FEBB0B">
      <w:pPr>
        <w:spacing w:line="580" w:lineRule="exact"/>
        <w:ind w:firstLine="640"/>
        <w:jc w:val="both"/>
      </w:pPr>
      <w:r>
        <w:rPr>
          <w:rFonts w:ascii="仿宋_GB2312" w:hAnsi="仿宋_GB2312" w:eastAsia="仿宋_GB2312"/>
          <w:b w:val="0"/>
          <w:sz w:val="32"/>
        </w:rPr>
        <w:t>1.一般公共服务支出(类)92.07万元,占77.62%。</w:t>
      </w:r>
    </w:p>
    <w:p w14:paraId="4A1DACE5">
      <w:pPr>
        <w:spacing w:line="580" w:lineRule="exact"/>
        <w:ind w:firstLine="640"/>
        <w:jc w:val="both"/>
      </w:pPr>
      <w:r>
        <w:rPr>
          <w:rFonts w:ascii="仿宋_GB2312" w:hAnsi="仿宋_GB2312" w:eastAsia="仿宋_GB2312"/>
          <w:b w:val="0"/>
          <w:sz w:val="32"/>
        </w:rPr>
        <w:t>2.社会保障和就业支出(类)14.71万元,占12.40%。</w:t>
      </w:r>
    </w:p>
    <w:p w14:paraId="3D7111E4">
      <w:pPr>
        <w:spacing w:line="580" w:lineRule="exact"/>
        <w:ind w:firstLine="640"/>
        <w:jc w:val="both"/>
      </w:pPr>
      <w:r>
        <w:rPr>
          <w:rFonts w:ascii="仿宋_GB2312" w:hAnsi="仿宋_GB2312" w:eastAsia="仿宋_GB2312"/>
          <w:b w:val="0"/>
          <w:sz w:val="32"/>
        </w:rPr>
        <w:t>3.卫生健康支出(类)4.89万元,占4.12%。</w:t>
      </w:r>
    </w:p>
    <w:p w14:paraId="71AF9CE3">
      <w:pPr>
        <w:spacing w:line="580" w:lineRule="exact"/>
        <w:ind w:firstLine="640"/>
        <w:jc w:val="both"/>
      </w:pPr>
      <w:r>
        <w:rPr>
          <w:rFonts w:ascii="仿宋_GB2312" w:hAnsi="仿宋_GB2312" w:eastAsia="仿宋_GB2312"/>
          <w:b w:val="0"/>
          <w:sz w:val="32"/>
        </w:rPr>
        <w:t>4.住房保障支出(类)6.94万元,占5.85%。</w:t>
      </w:r>
    </w:p>
    <w:p w14:paraId="049BDE25">
      <w:pPr>
        <w:spacing w:line="640" w:lineRule="exact"/>
        <w:ind w:firstLine="640"/>
        <w:jc w:val="both"/>
        <w:outlineLvl w:val="3"/>
      </w:pPr>
      <w:r>
        <w:rPr>
          <w:rFonts w:ascii="楷体_GB2312" w:hAnsi="楷体_GB2312" w:eastAsia="楷体_GB2312"/>
          <w:b/>
          <w:sz w:val="32"/>
        </w:rPr>
        <w:t>（三）一般公共预算财政拨款支出决算具体情况</w:t>
      </w:r>
    </w:p>
    <w:p w14:paraId="78EC131F">
      <w:pPr>
        <w:spacing w:line="580" w:lineRule="exact"/>
        <w:ind w:firstLine="640"/>
        <w:jc w:val="both"/>
      </w:pPr>
      <w:r>
        <w:rPr>
          <w:rFonts w:ascii="仿宋_GB2312" w:hAnsi="仿宋_GB2312" w:eastAsia="仿宋_GB2312"/>
          <w:b w:val="0"/>
          <w:sz w:val="32"/>
        </w:rPr>
        <w:t>1.一般公共服务支出(类)民主党派及工商联事务(款)行政运行(项):支出决算数为92.07万元，比上年决算增加25.83万元，增长38.99%,主要原因是：本年新增死亡人员，死亡抚恤金支出增加。</w:t>
      </w:r>
    </w:p>
    <w:p w14:paraId="431628A9">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2.社会保障和就业支出(类)行政事业单位养老支出(款)行政单位离退休(项):支出决算数为5.82万元，比上年决算增加0.48万元，增长8.99%,主要原因是：本年增加退休人员基础绩效奖，退休费支出增加。</w:t>
      </w:r>
    </w:p>
    <w:p w14:paraId="576F25E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8.89万元，比上年决算增加2.76万元，增长45.02%,主要原因是：本年在职人员工资基数调增，养老缴费基数上涨，相应支出增加。</w:t>
      </w:r>
    </w:p>
    <w:p w14:paraId="7AA6B072">
      <w:pPr>
        <w:spacing w:line="580" w:lineRule="exact"/>
        <w:ind w:firstLine="640"/>
        <w:jc w:val="both"/>
      </w:pPr>
      <w:r>
        <w:rPr>
          <w:rFonts w:ascii="仿宋_GB2312" w:hAnsi="仿宋_GB2312" w:eastAsia="仿宋_GB2312"/>
          <w:b w:val="0"/>
          <w:sz w:val="32"/>
        </w:rPr>
        <w:t>4.卫生健康支出(类)行政事业单位医疗(款)行政单位医疗(项):支出决算数为3.78万元，比上年决算增加1.18万元，增长45.38%,主要原因是：本年在职人员工资基数调增，医疗缴费基数上涨，相应支出增加。</w:t>
      </w:r>
    </w:p>
    <w:p w14:paraId="0358DBC6">
      <w:pPr>
        <w:spacing w:line="580" w:lineRule="exact"/>
        <w:ind w:firstLine="640"/>
        <w:jc w:val="both"/>
      </w:pPr>
      <w:r>
        <w:rPr>
          <w:rFonts w:ascii="仿宋_GB2312" w:hAnsi="仿宋_GB2312" w:eastAsia="仿宋_GB2312"/>
          <w:b w:val="0"/>
          <w:sz w:val="32"/>
        </w:rPr>
        <w:t>5.卫生健康支出(类)行政事业单位医疗(款)公务员医疗补助(项):支出决算数为1.11万元，比上年决算增加0.34万元，增长44.16%,主要原因是：本年在职人员工资基数调增，公务员医疗补助缴费基数上涨，相应支出增加。</w:t>
      </w:r>
    </w:p>
    <w:p w14:paraId="5D201DCE">
      <w:pPr>
        <w:spacing w:line="580" w:lineRule="exact"/>
        <w:ind w:firstLine="640"/>
        <w:jc w:val="both"/>
      </w:pPr>
      <w:r>
        <w:rPr>
          <w:rFonts w:ascii="仿宋_GB2312" w:hAnsi="仿宋_GB2312" w:eastAsia="仿宋_GB2312"/>
          <w:b w:val="0"/>
          <w:sz w:val="32"/>
        </w:rPr>
        <w:t>6.住房保障支出(类)住房改革支出(款)住房公积金(项):支出决算数为6.94万元，比上年决算增加2.34万元，增长50.87%,主要原因是：本年在职人员工资基数调增，公积金缴费基数上涨，相应支出增加。</w:t>
      </w:r>
    </w:p>
    <w:p w14:paraId="33B5A637">
      <w:pPr>
        <w:spacing w:line="640" w:lineRule="exact"/>
        <w:ind w:firstLine="640"/>
        <w:jc w:val="both"/>
        <w:outlineLvl w:val="2"/>
      </w:pPr>
      <w:r>
        <w:rPr>
          <w:rFonts w:ascii="黑体" w:hAnsi="黑体" w:eastAsia="黑体"/>
          <w:sz w:val="32"/>
        </w:rPr>
        <w:t>六、一般公共预算财政拨款基本支出决算情况说明</w:t>
      </w:r>
    </w:p>
    <w:p w14:paraId="5539E4D7">
      <w:pPr>
        <w:spacing w:line="580" w:lineRule="exact"/>
        <w:ind w:firstLine="640"/>
        <w:jc w:val="both"/>
      </w:pPr>
      <w:r>
        <w:rPr>
          <w:rFonts w:ascii="仿宋_GB2312" w:hAnsi="仿宋_GB2312" w:eastAsia="仿宋_GB2312"/>
          <w:b w:val="0"/>
          <w:sz w:val="32"/>
        </w:rPr>
        <w:t>2024年度一般公共预算财政拨款基本支出118.61万元，其中：</w:t>
      </w:r>
      <w:r>
        <w:rPr>
          <w:rFonts w:ascii="仿宋_GB2312" w:hAnsi="仿宋_GB2312" w:eastAsia="仿宋_GB2312"/>
          <w:b/>
          <w:sz w:val="32"/>
        </w:rPr>
        <w:t>人员经费116.82万元，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w:t>
      </w:r>
    </w:p>
    <w:p w14:paraId="60D3D9AF">
      <w:pPr>
        <w:spacing w:line="580" w:lineRule="exact"/>
        <w:ind w:firstLine="640"/>
        <w:jc w:val="both"/>
      </w:pPr>
      <w:r>
        <w:rPr>
          <w:rFonts w:ascii="仿宋_GB2312" w:hAnsi="仿宋_GB2312" w:eastAsia="仿宋_GB2312"/>
          <w:b/>
          <w:sz w:val="32"/>
        </w:rPr>
        <w:t>公用经费1.80万元，</w:t>
      </w:r>
      <w:r>
        <w:rPr>
          <w:rFonts w:ascii="仿宋_GB2312" w:hAnsi="仿宋_GB2312" w:eastAsia="仿宋_GB2312"/>
          <w:b w:val="0"/>
          <w:sz w:val="32"/>
        </w:rPr>
        <w:t>包括：办公费、邮电费、差旅费。</w:t>
      </w:r>
    </w:p>
    <w:p w14:paraId="3DC0D4DD">
      <w:pPr>
        <w:spacing w:line="640" w:lineRule="exact"/>
        <w:ind w:firstLine="640"/>
        <w:jc w:val="both"/>
        <w:outlineLvl w:val="2"/>
      </w:pPr>
      <w:r>
        <w:rPr>
          <w:rFonts w:ascii="黑体" w:hAnsi="黑体" w:eastAsia="黑体"/>
          <w:sz w:val="32"/>
        </w:rPr>
        <w:t>七、政府性基金预算财政拨款收入支出决算情况说明</w:t>
      </w:r>
    </w:p>
    <w:p w14:paraId="0691BC2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DAAC149">
      <w:pPr>
        <w:spacing w:line="640" w:lineRule="exact"/>
        <w:ind w:firstLine="640"/>
        <w:jc w:val="both"/>
        <w:outlineLvl w:val="2"/>
      </w:pPr>
      <w:r>
        <w:rPr>
          <w:rFonts w:ascii="黑体" w:hAnsi="黑体" w:eastAsia="黑体"/>
          <w:sz w:val="32"/>
        </w:rPr>
        <w:t>八、国有资本经营预算财政拨款收入支出决算情况说明</w:t>
      </w:r>
    </w:p>
    <w:p w14:paraId="05582F5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32DB11D">
      <w:pPr>
        <w:spacing w:line="640" w:lineRule="exact"/>
        <w:ind w:firstLine="640"/>
        <w:jc w:val="both"/>
        <w:outlineLvl w:val="2"/>
      </w:pPr>
      <w:r>
        <w:rPr>
          <w:rFonts w:ascii="黑体" w:hAnsi="黑体" w:eastAsia="黑体"/>
          <w:sz w:val="32"/>
        </w:rPr>
        <w:t>九、财政拨款“三公”经费支出决算情况说明</w:t>
      </w:r>
    </w:p>
    <w:p w14:paraId="7B7AF46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901DD03">
      <w:pPr>
        <w:spacing w:line="580" w:lineRule="exact"/>
        <w:ind w:firstLine="640"/>
        <w:jc w:val="both"/>
      </w:pPr>
      <w:r>
        <w:rPr>
          <w:rFonts w:ascii="仿宋_GB2312" w:hAnsi="仿宋_GB2312" w:eastAsia="仿宋_GB2312"/>
          <w:b/>
          <w:sz w:val="32"/>
        </w:rPr>
        <w:t>具体情况如下：</w:t>
      </w:r>
    </w:p>
    <w:p w14:paraId="3EE17BD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9FB1AA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CD7C20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D6AB7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DB45460">
      <w:pPr>
        <w:spacing w:line="640" w:lineRule="exact"/>
        <w:ind w:firstLine="640"/>
        <w:jc w:val="both"/>
        <w:outlineLvl w:val="2"/>
      </w:pPr>
      <w:r>
        <w:rPr>
          <w:rFonts w:ascii="黑体" w:hAnsi="黑体" w:eastAsia="黑体"/>
          <w:sz w:val="32"/>
        </w:rPr>
        <w:t>十、其他重要事项的情况说明</w:t>
      </w:r>
    </w:p>
    <w:p w14:paraId="406A3956">
      <w:pPr>
        <w:spacing w:line="640" w:lineRule="exact"/>
        <w:ind w:firstLine="640"/>
        <w:jc w:val="both"/>
        <w:outlineLvl w:val="3"/>
      </w:pPr>
      <w:r>
        <w:rPr>
          <w:rFonts w:ascii="楷体_GB2312" w:hAnsi="楷体_GB2312" w:eastAsia="楷体_GB2312"/>
          <w:b/>
          <w:sz w:val="32"/>
        </w:rPr>
        <w:t>（一）机关运行经费及公用经费支出情况</w:t>
      </w:r>
    </w:p>
    <w:p w14:paraId="55FBEAB9">
      <w:pPr>
        <w:spacing w:line="580" w:lineRule="exact"/>
        <w:ind w:firstLine="640"/>
        <w:jc w:val="both"/>
      </w:pPr>
      <w:r>
        <w:rPr>
          <w:rFonts w:ascii="仿宋_GB2312" w:hAnsi="仿宋_GB2312" w:eastAsia="仿宋_GB2312"/>
          <w:b w:val="0"/>
          <w:sz w:val="32"/>
        </w:rPr>
        <w:t>2024年度叶城县工商业联合会（行政单位和参照公务员法管理事业单位）机关运行经费支出1.80万元，比上年增加0.64万元，增长55.17%，主要原因是：本年业务量增加，机关运行经费增加。</w:t>
      </w:r>
    </w:p>
    <w:p w14:paraId="5E59101E">
      <w:pPr>
        <w:spacing w:line="640" w:lineRule="exact"/>
        <w:ind w:firstLine="640"/>
        <w:jc w:val="both"/>
        <w:outlineLvl w:val="3"/>
      </w:pPr>
      <w:r>
        <w:rPr>
          <w:rFonts w:ascii="楷体_GB2312" w:hAnsi="楷体_GB2312" w:eastAsia="楷体_GB2312"/>
          <w:b/>
          <w:sz w:val="32"/>
        </w:rPr>
        <w:t>（二）政府采购情况</w:t>
      </w:r>
    </w:p>
    <w:p w14:paraId="1F1BA0BF">
      <w:pPr>
        <w:spacing w:line="580" w:lineRule="exact"/>
        <w:ind w:firstLine="640"/>
        <w:jc w:val="both"/>
      </w:pPr>
      <w:r>
        <w:rPr>
          <w:rFonts w:ascii="仿宋_GB2312" w:hAnsi="仿宋_GB2312" w:eastAsia="仿宋_GB2312"/>
          <w:b w:val="0"/>
          <w:sz w:val="32"/>
        </w:rPr>
        <w:t>2024年度政府采购支出总额0.78万元，其中：政府采购货物支出0.78万元、政府采购工程支出0.00万元、政府采购服务支出0.00万元。</w:t>
      </w:r>
    </w:p>
    <w:p w14:paraId="3DD610A5">
      <w:pPr>
        <w:spacing w:line="580" w:lineRule="exact"/>
        <w:ind w:firstLine="640"/>
        <w:jc w:val="both"/>
      </w:pPr>
      <w:r>
        <w:rPr>
          <w:rFonts w:ascii="仿宋_GB2312" w:hAnsi="仿宋_GB2312" w:eastAsia="仿宋_GB2312"/>
          <w:b w:val="0"/>
          <w:sz w:val="32"/>
        </w:rPr>
        <w:t>授予中小企业合同金额0.78万元，占政府采购支出总额的100.00%，其中：授予小微企业合同金额0.78万元，占政府采购支出总额的100.00%。</w:t>
      </w:r>
    </w:p>
    <w:p w14:paraId="6CF7F905">
      <w:pPr>
        <w:spacing w:line="640" w:lineRule="exact"/>
        <w:ind w:firstLine="640"/>
        <w:jc w:val="both"/>
        <w:outlineLvl w:val="3"/>
      </w:pPr>
      <w:r>
        <w:rPr>
          <w:rFonts w:ascii="楷体_GB2312" w:hAnsi="楷体_GB2312" w:eastAsia="楷体_GB2312"/>
          <w:b/>
          <w:sz w:val="32"/>
        </w:rPr>
        <w:t>（三）国有资产占用情况说明</w:t>
      </w:r>
    </w:p>
    <w:p w14:paraId="698E84C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B6171BA">
      <w:pPr>
        <w:spacing w:line="640" w:lineRule="exact"/>
        <w:ind w:firstLine="640"/>
        <w:jc w:val="both"/>
        <w:outlineLvl w:val="2"/>
      </w:pPr>
      <w:r>
        <w:rPr>
          <w:rFonts w:ascii="黑体" w:hAnsi="黑体" w:eastAsia="黑体"/>
          <w:sz w:val="32"/>
        </w:rPr>
        <w:t>十一、预算绩效的情况说明</w:t>
      </w:r>
    </w:p>
    <w:p w14:paraId="7CD215C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118.61万元，实际执行总额118.61万元；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具体附整体支出绩效自评表。</w:t>
      </w:r>
    </w:p>
    <w:p w14:paraId="1CDE4212">
      <w:r>
        <w:br w:type="page"/>
      </w:r>
    </w:p>
    <w:tbl>
      <w:tblPr>
        <w:tblStyle w:val="9"/>
        <w:tblW w:w="0" w:type="auto"/>
        <w:tblInd w:w="0" w:type="dxa"/>
        <w:tblLayout w:type="autofit"/>
        <w:tblCellMar>
          <w:top w:w="0" w:type="dxa"/>
          <w:left w:w="108" w:type="dxa"/>
          <w:bottom w:w="0" w:type="dxa"/>
          <w:right w:w="108" w:type="dxa"/>
        </w:tblCellMar>
      </w:tblPr>
      <w:tblGrid>
        <w:gridCol w:w="983"/>
        <w:gridCol w:w="688"/>
        <w:gridCol w:w="295"/>
        <w:gridCol w:w="983"/>
        <w:gridCol w:w="983"/>
        <w:gridCol w:w="983"/>
        <w:gridCol w:w="983"/>
        <w:gridCol w:w="983"/>
        <w:gridCol w:w="983"/>
        <w:gridCol w:w="983"/>
      </w:tblGrid>
      <w:tr w14:paraId="762578E9">
        <w:tblPrEx>
          <w:tblCellMar>
            <w:top w:w="0" w:type="dxa"/>
            <w:left w:w="108" w:type="dxa"/>
            <w:bottom w:w="0" w:type="dxa"/>
            <w:right w:w="108" w:type="dxa"/>
          </w:tblCellMar>
        </w:tblPrEx>
        <w:tc>
          <w:tcPr>
            <w:tcW w:w="8847" w:type="dxa"/>
            <w:gridSpan w:val="10"/>
            <w:vAlign w:val="center"/>
          </w:tcPr>
          <w:p w14:paraId="29A53ABE">
            <w:pPr>
              <w:jc w:val="center"/>
            </w:pPr>
            <w:r>
              <w:rPr>
                <w:rFonts w:ascii="宋体" w:hAnsi="宋体" w:eastAsia="宋体"/>
                <w:sz w:val="24"/>
              </w:rPr>
              <w:t>单位整体支出绩效自评表</w:t>
            </w:r>
          </w:p>
        </w:tc>
      </w:tr>
      <w:tr w14:paraId="7C16F03B">
        <w:tblPrEx>
          <w:tblCellMar>
            <w:top w:w="0" w:type="dxa"/>
            <w:left w:w="108" w:type="dxa"/>
            <w:bottom w:w="0" w:type="dxa"/>
            <w:right w:w="108" w:type="dxa"/>
          </w:tblCellMar>
        </w:tblPrEx>
        <w:tc>
          <w:tcPr>
            <w:tcW w:w="8847" w:type="dxa"/>
            <w:gridSpan w:val="10"/>
            <w:vAlign w:val="center"/>
          </w:tcPr>
          <w:p w14:paraId="2590DE72">
            <w:pPr>
              <w:jc w:val="center"/>
            </w:pPr>
            <w:r>
              <w:rPr>
                <w:rFonts w:ascii="宋体" w:hAnsi="宋体" w:eastAsia="宋体"/>
                <w:sz w:val="24"/>
              </w:rPr>
              <w:t>（2024年度）</w:t>
            </w:r>
          </w:p>
        </w:tc>
      </w:tr>
      <w:tr w14:paraId="458407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24F80">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6FF142F">
            <w:pPr>
              <w:jc w:val="center"/>
            </w:pPr>
            <w:r>
              <w:rPr>
                <w:rFonts w:ascii="宋体" w:hAnsi="宋体" w:eastAsia="宋体"/>
                <w:sz w:val="16"/>
              </w:rPr>
              <w:t>叶城县工商业联合会</w:t>
            </w:r>
          </w:p>
        </w:tc>
      </w:tr>
      <w:tr w14:paraId="19ECA8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FD81D">
            <w:pPr>
              <w:jc w:val="center"/>
            </w:pPr>
            <w:r>
              <w:rPr>
                <w:rFonts w:ascii="宋体" w:hAnsi="宋体" w:eastAsia="宋体"/>
                <w:sz w:val="16"/>
              </w:rPr>
              <w:t>部门资金（万元）</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0770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439A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017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AE9D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4B3E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C04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88829">
            <w:pPr>
              <w:jc w:val="center"/>
            </w:pPr>
            <w:r>
              <w:rPr>
                <w:rFonts w:ascii="宋体" w:hAnsi="宋体" w:eastAsia="宋体"/>
                <w:sz w:val="16"/>
              </w:rPr>
              <w:t>得分</w:t>
            </w:r>
          </w:p>
        </w:tc>
      </w:tr>
      <w:tr w14:paraId="76B15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48B1D"/>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606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8B173">
            <w:pPr>
              <w:jc w:val="center"/>
            </w:pPr>
            <w:r>
              <w:rPr>
                <w:rFonts w:ascii="宋体" w:hAnsi="宋体" w:eastAsia="宋体"/>
                <w:sz w:val="16"/>
              </w:rPr>
              <w:t>94.03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869EA">
            <w:pPr>
              <w:jc w:val="center"/>
            </w:pPr>
            <w:r>
              <w:rPr>
                <w:rFonts w:ascii="宋体" w:hAnsi="宋体" w:eastAsia="宋体"/>
                <w:sz w:val="16"/>
              </w:rPr>
              <w:t>118.61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9B9C7">
            <w:pPr>
              <w:jc w:val="center"/>
            </w:pPr>
            <w:r>
              <w:rPr>
                <w:rFonts w:ascii="宋体" w:hAnsi="宋体" w:eastAsia="宋体"/>
                <w:sz w:val="16"/>
              </w:rPr>
              <w:t>118.61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7AF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2D2A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8D262">
            <w:pPr>
              <w:jc w:val="center"/>
            </w:pPr>
            <w:r>
              <w:rPr>
                <w:rFonts w:ascii="宋体" w:hAnsi="宋体" w:eastAsia="宋体"/>
                <w:sz w:val="16"/>
              </w:rPr>
              <w:t>10</w:t>
            </w:r>
          </w:p>
        </w:tc>
      </w:tr>
      <w:tr w14:paraId="37DD68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6B075"/>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78B4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4D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B27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8A7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262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574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9EE9">
            <w:pPr>
              <w:jc w:val="center"/>
            </w:pPr>
            <w:r>
              <w:rPr>
                <w:rFonts w:ascii="宋体" w:hAnsi="宋体" w:eastAsia="宋体"/>
                <w:sz w:val="16"/>
              </w:rPr>
              <w:t>—</w:t>
            </w:r>
          </w:p>
        </w:tc>
      </w:tr>
      <w:tr w14:paraId="748A2C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D3D57"/>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08B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97C5B">
            <w:pPr>
              <w:jc w:val="center"/>
            </w:pPr>
            <w:r>
              <w:rPr>
                <w:rFonts w:ascii="宋体" w:hAnsi="宋体" w:eastAsia="宋体"/>
                <w:sz w:val="16"/>
              </w:rPr>
              <w:t>94.03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315F">
            <w:pPr>
              <w:jc w:val="center"/>
            </w:pPr>
            <w:r>
              <w:rPr>
                <w:rFonts w:ascii="宋体" w:hAnsi="宋体" w:eastAsia="宋体"/>
                <w:sz w:val="16"/>
              </w:rPr>
              <w:t>118.61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99331">
            <w:pPr>
              <w:jc w:val="center"/>
            </w:pPr>
            <w:r>
              <w:rPr>
                <w:rFonts w:ascii="宋体" w:hAnsi="宋体" w:eastAsia="宋体"/>
                <w:sz w:val="16"/>
              </w:rPr>
              <w:t>118.61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B3F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87B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CD9E">
            <w:pPr>
              <w:jc w:val="center"/>
            </w:pPr>
            <w:r>
              <w:rPr>
                <w:rFonts w:ascii="宋体" w:hAnsi="宋体" w:eastAsia="宋体"/>
                <w:sz w:val="16"/>
              </w:rPr>
              <w:t>—</w:t>
            </w:r>
          </w:p>
        </w:tc>
      </w:tr>
      <w:tr w14:paraId="284551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3BC16"/>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F87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C49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D4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839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08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52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3994A">
            <w:pPr>
              <w:jc w:val="center"/>
            </w:pPr>
            <w:r>
              <w:rPr>
                <w:rFonts w:ascii="宋体" w:hAnsi="宋体" w:eastAsia="宋体"/>
                <w:sz w:val="16"/>
              </w:rPr>
              <w:t>—</w:t>
            </w:r>
          </w:p>
        </w:tc>
      </w:tr>
      <w:tr w14:paraId="342CA6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147C6">
            <w:pPr>
              <w:jc w:val="center"/>
            </w:pPr>
            <w:r>
              <w:rPr>
                <w:rFonts w:ascii="宋体" w:hAnsi="宋体" w:eastAsia="宋体"/>
                <w:sz w:val="16"/>
              </w:rPr>
              <w:t>年度总体目标</w:t>
            </w:r>
          </w:p>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C54E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DA522F">
            <w:pPr>
              <w:jc w:val="center"/>
            </w:pPr>
            <w:r>
              <w:rPr>
                <w:rFonts w:ascii="宋体" w:hAnsi="宋体" w:eastAsia="宋体"/>
                <w:sz w:val="16"/>
              </w:rPr>
              <w:t>实际完成情况</w:t>
            </w:r>
          </w:p>
        </w:tc>
      </w:tr>
      <w:tr w14:paraId="08B4AC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60D68"/>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3E923C">
            <w:pPr>
              <w:jc w:val="both"/>
            </w:pPr>
            <w:r>
              <w:rPr>
                <w:rFonts w:ascii="宋体" w:hAnsi="宋体" w:eastAsia="宋体"/>
                <w:sz w:val="16"/>
              </w:rPr>
              <w:t>严格教育培养管理干部，提高“听得懂、帮得上、导得好”的本领，按照领导干部“专家权威”、中层干部“行家里手”、一般干部“应知应会”要求，努力建设一支党性坚定、能力过硬、学识丰富、作风优良的干部队伍，不断提升地县工商联履职能力和服务效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6C7CA">
            <w:pPr>
              <w:jc w:val="both"/>
            </w:pPr>
            <w:bookmarkStart w:id="0" w:name="_GoBack"/>
            <w:r>
              <w:rPr>
                <w:rFonts w:hint="eastAsia" w:ascii="宋体" w:hAnsi="宋体"/>
                <w:sz w:val="16"/>
                <w:lang w:eastAsia="zh-CN"/>
              </w:rPr>
              <w:t>截至2024</w:t>
            </w:r>
            <w:bookmarkEnd w:id="0"/>
            <w:r>
              <w:rPr>
                <w:rFonts w:ascii="宋体" w:hAnsi="宋体" w:eastAsia="宋体"/>
                <w:sz w:val="16"/>
              </w:rPr>
              <w:t>年12月31日，走访民营企业180家、打造所属商会协会民营企业党建示范点10家、打造会员企业示范点1家、具备帮扶条件的企业60家、组织召开企业优化营商环境警示教育大会50家，这一年按时发放了在职，退休干部的工资，保障了他们基本生活。提升了干部的幸福感。严格教育培养管理干部，提高“听得懂、帮得上、导得好”的本领，按照领导干部“专家权威”、中层干部“行家里手”、一般干部“应知应会”要求，努力建设一支党性坚定、能力过硬、学识丰富、作风优良的干部队伍，不断提升地县工商联履职能力和服务效能。及时保障办公经费支出，保证了高质量完成各项工作。</w:t>
            </w:r>
          </w:p>
        </w:tc>
      </w:tr>
      <w:tr w14:paraId="090BB0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664A">
            <w:pPr>
              <w:jc w:val="center"/>
            </w:pPr>
            <w:r>
              <w:rPr>
                <w:rFonts w:ascii="宋体" w:hAnsi="宋体" w:eastAsia="宋体"/>
                <w:sz w:val="16"/>
              </w:rPr>
              <w:t>一级指标</w:t>
            </w:r>
          </w:p>
        </w:tc>
        <w:tc>
          <w:tcPr>
            <w:tcW w:w="688" w:type="dxa"/>
            <w:tcBorders>
              <w:top w:val="single" w:color="auto" w:sz="10" w:space="0"/>
              <w:left w:val="single" w:color="auto" w:sz="10" w:space="0"/>
              <w:bottom w:val="single" w:color="auto" w:sz="10" w:space="0"/>
              <w:right w:val="single" w:color="auto" w:sz="10" w:space="0"/>
              <w:insideV w:val="single" w:sz="10" w:space="0"/>
            </w:tcBorders>
            <w:vAlign w:val="center"/>
          </w:tcPr>
          <w:p w14:paraId="5F7EB33C">
            <w:pPr>
              <w:jc w:val="center"/>
            </w:pPr>
            <w:r>
              <w:rPr>
                <w:rFonts w:ascii="宋体" w:hAnsi="宋体" w:eastAsia="宋体"/>
                <w:sz w:val="16"/>
              </w:rPr>
              <w:t>二级指标</w:t>
            </w:r>
          </w:p>
        </w:tc>
        <w:tc>
          <w:tcPr>
            <w:tcW w:w="12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131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07A9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B2A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25D1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6EBD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80A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8A477">
            <w:pPr>
              <w:jc w:val="center"/>
            </w:pPr>
            <w:r>
              <w:rPr>
                <w:rFonts w:ascii="宋体" w:hAnsi="宋体" w:eastAsia="宋体"/>
                <w:sz w:val="16"/>
              </w:rPr>
              <w:t>得分</w:t>
            </w:r>
          </w:p>
        </w:tc>
      </w:tr>
      <w:tr w14:paraId="207E27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82D5E">
            <w:pPr>
              <w:jc w:val="center"/>
            </w:pPr>
            <w:r>
              <w:rPr>
                <w:rFonts w:ascii="宋体" w:hAnsi="宋体" w:eastAsia="宋体"/>
                <w:sz w:val="16"/>
              </w:rPr>
              <w:t>履职效能</w:t>
            </w:r>
          </w:p>
        </w:tc>
        <w:tc>
          <w:tcPr>
            <w:tcW w:w="68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AD672">
            <w:pPr>
              <w:jc w:val="center"/>
            </w:pPr>
            <w:r>
              <w:rPr>
                <w:rFonts w:ascii="宋体" w:hAnsi="宋体" w:eastAsia="宋体"/>
                <w:sz w:val="16"/>
              </w:rPr>
              <w:t>数量指标</w:t>
            </w:r>
          </w:p>
        </w:tc>
        <w:tc>
          <w:tcPr>
            <w:tcW w:w="12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983E9">
            <w:pPr>
              <w:jc w:val="center"/>
            </w:pPr>
            <w:r>
              <w:rPr>
                <w:rFonts w:ascii="宋体" w:hAnsi="宋体" w:eastAsia="宋体"/>
                <w:sz w:val="16"/>
              </w:rPr>
              <w:t>走访民营企业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5A9C2">
            <w:pPr>
              <w:jc w:val="center"/>
            </w:pPr>
            <w:r>
              <w:rPr>
                <w:rFonts w:ascii="宋体" w:hAnsi="宋体" w:eastAsia="宋体"/>
                <w:sz w:val="16"/>
              </w:rPr>
              <w:t>&gt;=180家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68694">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027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5810">
            <w:pPr>
              <w:jc w:val="center"/>
            </w:pPr>
            <w:r>
              <w:rPr>
                <w:rFonts w:ascii="宋体" w:hAnsi="宋体" w:eastAsia="宋体"/>
                <w:sz w:val="16"/>
              </w:rPr>
              <w:t>173家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2164">
            <w:pPr>
              <w:jc w:val="center"/>
            </w:pPr>
            <w:r>
              <w:rPr>
                <w:rFonts w:ascii="宋体" w:hAnsi="宋体" w:eastAsia="宋体"/>
                <w:sz w:val="16"/>
              </w:rPr>
              <w:t>96.1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E1EC">
            <w:pPr>
              <w:jc w:val="center"/>
            </w:pPr>
            <w:r>
              <w:rPr>
                <w:rFonts w:ascii="宋体" w:hAnsi="宋体" w:eastAsia="宋体"/>
                <w:sz w:val="16"/>
              </w:rPr>
              <w:t>19.2</w:t>
            </w:r>
          </w:p>
        </w:tc>
      </w:tr>
      <w:tr w14:paraId="4BDD7C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2F146"/>
        </w:tc>
        <w:tc>
          <w:tcPr>
            <w:tcW w:w="688" w:type="dxa"/>
            <w:vMerge w:val="continue"/>
            <w:tcBorders>
              <w:top w:val="single" w:color="auto" w:sz="10" w:space="0"/>
              <w:left w:val="single" w:color="auto" w:sz="10" w:space="0"/>
              <w:bottom w:val="single" w:color="auto" w:sz="10" w:space="0"/>
              <w:right w:val="single" w:color="auto" w:sz="10" w:space="0"/>
              <w:insideV w:val="single" w:sz="10" w:space="0"/>
            </w:tcBorders>
          </w:tcPr>
          <w:p w14:paraId="72D1C68E"/>
        </w:tc>
        <w:tc>
          <w:tcPr>
            <w:tcW w:w="12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1F39D">
            <w:pPr>
              <w:jc w:val="center"/>
            </w:pPr>
            <w:r>
              <w:rPr>
                <w:rFonts w:ascii="宋体" w:hAnsi="宋体" w:eastAsia="宋体"/>
                <w:sz w:val="16"/>
              </w:rPr>
              <w:t>打造所属商会协会民营企业党建示范点数量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60A0">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A2EBD">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1F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4C957">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90B0E">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348C">
            <w:pPr>
              <w:jc w:val="center"/>
            </w:pPr>
            <w:r>
              <w:rPr>
                <w:rFonts w:ascii="宋体" w:hAnsi="宋体" w:eastAsia="宋体"/>
                <w:sz w:val="16"/>
              </w:rPr>
              <w:t>20</w:t>
            </w:r>
          </w:p>
        </w:tc>
      </w:tr>
      <w:tr w14:paraId="55A0D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16747"/>
        </w:tc>
        <w:tc>
          <w:tcPr>
            <w:tcW w:w="688" w:type="dxa"/>
            <w:vMerge w:val="continue"/>
            <w:tcBorders>
              <w:top w:val="single" w:color="auto" w:sz="10" w:space="0"/>
              <w:left w:val="single" w:color="auto" w:sz="10" w:space="0"/>
              <w:bottom w:val="single" w:color="auto" w:sz="10" w:space="0"/>
              <w:right w:val="single" w:color="auto" w:sz="10" w:space="0"/>
              <w:insideV w:val="single" w:sz="10" w:space="0"/>
            </w:tcBorders>
          </w:tcPr>
          <w:p w14:paraId="7B78AFBE"/>
        </w:tc>
        <w:tc>
          <w:tcPr>
            <w:tcW w:w="12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5B61">
            <w:pPr>
              <w:jc w:val="center"/>
            </w:pPr>
            <w:r>
              <w:rPr>
                <w:rFonts w:ascii="宋体" w:hAnsi="宋体" w:eastAsia="宋体"/>
                <w:sz w:val="16"/>
              </w:rPr>
              <w:t>打造会员企业示范点数量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360B">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1B875">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58B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D88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6D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6D665">
            <w:pPr>
              <w:jc w:val="center"/>
            </w:pPr>
            <w:r>
              <w:rPr>
                <w:rFonts w:ascii="宋体" w:hAnsi="宋体" w:eastAsia="宋体"/>
                <w:sz w:val="16"/>
              </w:rPr>
              <w:t>20</w:t>
            </w:r>
          </w:p>
        </w:tc>
      </w:tr>
      <w:tr w14:paraId="2924DA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47751"/>
        </w:tc>
        <w:tc>
          <w:tcPr>
            <w:tcW w:w="688" w:type="dxa"/>
            <w:vMerge w:val="continue"/>
            <w:tcBorders>
              <w:top w:val="single" w:color="auto" w:sz="10" w:space="0"/>
              <w:left w:val="single" w:color="auto" w:sz="10" w:space="0"/>
              <w:bottom w:val="single" w:color="auto" w:sz="10" w:space="0"/>
              <w:right w:val="single" w:color="auto" w:sz="10" w:space="0"/>
              <w:insideV w:val="single" w:sz="10" w:space="0"/>
            </w:tcBorders>
          </w:tcPr>
          <w:p w14:paraId="4DE34078"/>
        </w:tc>
        <w:tc>
          <w:tcPr>
            <w:tcW w:w="12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ABA0C">
            <w:pPr>
              <w:jc w:val="center"/>
            </w:pPr>
            <w:r>
              <w:rPr>
                <w:rFonts w:ascii="宋体" w:hAnsi="宋体" w:eastAsia="宋体"/>
                <w:sz w:val="16"/>
              </w:rPr>
              <w:t>具备帮扶条件的企业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889F">
            <w:pPr>
              <w:jc w:val="center"/>
            </w:pPr>
            <w:r>
              <w:rPr>
                <w:rFonts w:ascii="宋体" w:hAnsi="宋体" w:eastAsia="宋体"/>
                <w:sz w:val="16"/>
              </w:rPr>
              <w:t>&gt;=60家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ED711">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109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05359">
            <w:pPr>
              <w:jc w:val="center"/>
            </w:pPr>
            <w:r>
              <w:rPr>
                <w:rFonts w:ascii="宋体" w:hAnsi="宋体" w:eastAsia="宋体"/>
                <w:sz w:val="16"/>
              </w:rPr>
              <w:t>60家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1D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187B">
            <w:pPr>
              <w:jc w:val="center"/>
            </w:pPr>
            <w:r>
              <w:rPr>
                <w:rFonts w:ascii="宋体" w:hAnsi="宋体" w:eastAsia="宋体"/>
                <w:sz w:val="16"/>
              </w:rPr>
              <w:t>20</w:t>
            </w:r>
          </w:p>
        </w:tc>
      </w:tr>
      <w:tr w14:paraId="08C412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D32C0"/>
        </w:tc>
        <w:tc>
          <w:tcPr>
            <w:tcW w:w="688" w:type="dxa"/>
            <w:vMerge w:val="continue"/>
            <w:tcBorders>
              <w:top w:val="single" w:color="auto" w:sz="10" w:space="0"/>
              <w:left w:val="single" w:color="auto" w:sz="10" w:space="0"/>
              <w:bottom w:val="single" w:color="auto" w:sz="10" w:space="0"/>
              <w:right w:val="single" w:color="auto" w:sz="10" w:space="0"/>
              <w:insideV w:val="single" w:sz="10" w:space="0"/>
            </w:tcBorders>
          </w:tcPr>
          <w:p w14:paraId="07939A2C"/>
        </w:tc>
        <w:tc>
          <w:tcPr>
            <w:tcW w:w="12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2C3B">
            <w:pPr>
              <w:jc w:val="center"/>
            </w:pPr>
            <w:r>
              <w:rPr>
                <w:rFonts w:ascii="宋体" w:hAnsi="宋体" w:eastAsia="宋体"/>
                <w:sz w:val="16"/>
              </w:rPr>
              <w:t>组织召开企业优化营商环境警示教育大会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B160F">
            <w:pPr>
              <w:jc w:val="center"/>
            </w:pPr>
            <w:r>
              <w:rPr>
                <w:rFonts w:ascii="宋体" w:hAnsi="宋体" w:eastAsia="宋体"/>
                <w:sz w:val="16"/>
              </w:rPr>
              <w:t>&gt;=50家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83BC0">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B79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C507F">
            <w:pPr>
              <w:jc w:val="center"/>
            </w:pPr>
            <w:r>
              <w:rPr>
                <w:rFonts w:ascii="宋体" w:hAnsi="宋体" w:eastAsia="宋体"/>
                <w:sz w:val="16"/>
              </w:rPr>
              <w:t>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976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62F9">
            <w:pPr>
              <w:jc w:val="center"/>
            </w:pPr>
            <w:r>
              <w:rPr>
                <w:rFonts w:ascii="宋体" w:hAnsi="宋体" w:eastAsia="宋体"/>
                <w:sz w:val="16"/>
              </w:rPr>
              <w:t>10</w:t>
            </w:r>
          </w:p>
        </w:tc>
      </w:tr>
    </w:tbl>
    <w:p w14:paraId="5D4530AB">
      <w:r>
        <w:br w:type="page"/>
      </w:r>
    </w:p>
    <w:p w14:paraId="04A7E1C7">
      <w:pPr>
        <w:spacing w:line="640" w:lineRule="exact"/>
        <w:ind w:firstLine="640"/>
        <w:jc w:val="both"/>
        <w:outlineLvl w:val="2"/>
      </w:pPr>
      <w:r>
        <w:rPr>
          <w:rFonts w:ascii="黑体" w:hAnsi="黑体" w:eastAsia="黑体"/>
          <w:sz w:val="32"/>
        </w:rPr>
        <w:t>十二、其他需说明的事项</w:t>
      </w:r>
    </w:p>
    <w:p w14:paraId="7B477EDD">
      <w:pPr>
        <w:spacing w:line="580" w:lineRule="exact"/>
        <w:ind w:firstLine="640"/>
        <w:jc w:val="both"/>
      </w:pPr>
      <w:r>
        <w:rPr>
          <w:rFonts w:ascii="仿宋_GB2312" w:hAnsi="仿宋_GB2312" w:eastAsia="仿宋_GB2312"/>
          <w:b w:val="0"/>
          <w:sz w:val="32"/>
        </w:rPr>
        <w:t>本单位无其他需说明的事项。</w:t>
      </w:r>
    </w:p>
    <w:p w14:paraId="19673206">
      <w:r>
        <w:br w:type="page"/>
      </w:r>
    </w:p>
    <w:p w14:paraId="220632A2">
      <w:pPr>
        <w:spacing w:line="240" w:lineRule="auto"/>
        <w:jc w:val="center"/>
        <w:outlineLvl w:val="1"/>
      </w:pPr>
      <w:r>
        <w:rPr>
          <w:rFonts w:ascii="黑体" w:hAnsi="黑体" w:eastAsia="黑体"/>
          <w:sz w:val="32"/>
        </w:rPr>
        <w:t>第三部分 专业名词解释</w:t>
      </w:r>
    </w:p>
    <w:p w14:paraId="54674A6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832CDF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B283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6D541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21F43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00664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538C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BC039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0AF23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B1F47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5F446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53258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A957C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4D3FD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835C86">
      <w:r>
        <w:br w:type="page"/>
      </w:r>
    </w:p>
    <w:p w14:paraId="054C7058">
      <w:pPr>
        <w:spacing w:line="240" w:lineRule="auto"/>
        <w:jc w:val="center"/>
        <w:outlineLvl w:val="1"/>
      </w:pPr>
      <w:r>
        <w:rPr>
          <w:rFonts w:ascii="黑体" w:hAnsi="黑体" w:eastAsia="黑体"/>
          <w:sz w:val="32"/>
        </w:rPr>
        <w:t>第四部分 部门决算报表（见附表）</w:t>
      </w:r>
    </w:p>
    <w:p w14:paraId="6B47405B">
      <w:pPr>
        <w:spacing w:line="240" w:lineRule="auto"/>
        <w:ind w:firstLine="640"/>
        <w:jc w:val="both"/>
      </w:pPr>
      <w:r>
        <w:rPr>
          <w:rFonts w:ascii="仿宋_GB2312" w:hAnsi="仿宋_GB2312" w:eastAsia="仿宋_GB2312"/>
          <w:b w:val="0"/>
          <w:sz w:val="32"/>
        </w:rPr>
        <w:t>一、《收入支出决算总表》</w:t>
      </w:r>
    </w:p>
    <w:p w14:paraId="520D61D9">
      <w:pPr>
        <w:spacing w:line="240" w:lineRule="auto"/>
        <w:ind w:firstLine="640"/>
        <w:jc w:val="both"/>
      </w:pPr>
      <w:r>
        <w:rPr>
          <w:rFonts w:ascii="仿宋_GB2312" w:hAnsi="仿宋_GB2312" w:eastAsia="仿宋_GB2312"/>
          <w:b w:val="0"/>
          <w:sz w:val="32"/>
        </w:rPr>
        <w:t>二、《收入决算表》</w:t>
      </w:r>
    </w:p>
    <w:p w14:paraId="63DB084B">
      <w:pPr>
        <w:spacing w:line="240" w:lineRule="auto"/>
        <w:ind w:firstLine="640"/>
        <w:jc w:val="both"/>
      </w:pPr>
      <w:r>
        <w:rPr>
          <w:rFonts w:ascii="仿宋_GB2312" w:hAnsi="仿宋_GB2312" w:eastAsia="仿宋_GB2312"/>
          <w:b w:val="0"/>
          <w:sz w:val="32"/>
        </w:rPr>
        <w:t>三、《支出决算表》</w:t>
      </w:r>
    </w:p>
    <w:p w14:paraId="116922BB">
      <w:pPr>
        <w:spacing w:line="240" w:lineRule="auto"/>
        <w:ind w:firstLine="640"/>
        <w:jc w:val="both"/>
      </w:pPr>
      <w:r>
        <w:rPr>
          <w:rFonts w:ascii="仿宋_GB2312" w:hAnsi="仿宋_GB2312" w:eastAsia="仿宋_GB2312"/>
          <w:b w:val="0"/>
          <w:sz w:val="32"/>
        </w:rPr>
        <w:t>四、《财政拨款收入支出决算总表》</w:t>
      </w:r>
    </w:p>
    <w:p w14:paraId="39717287">
      <w:pPr>
        <w:spacing w:line="240" w:lineRule="auto"/>
        <w:ind w:firstLine="640"/>
        <w:jc w:val="both"/>
      </w:pPr>
      <w:r>
        <w:rPr>
          <w:rFonts w:ascii="仿宋_GB2312" w:hAnsi="仿宋_GB2312" w:eastAsia="仿宋_GB2312"/>
          <w:b w:val="0"/>
          <w:sz w:val="32"/>
        </w:rPr>
        <w:t>五、《一般公共预算财政拨款支出决算表》</w:t>
      </w:r>
    </w:p>
    <w:p w14:paraId="421CD1D4">
      <w:pPr>
        <w:spacing w:line="240" w:lineRule="auto"/>
        <w:ind w:firstLine="640"/>
        <w:jc w:val="both"/>
      </w:pPr>
      <w:r>
        <w:rPr>
          <w:rFonts w:ascii="仿宋_GB2312" w:hAnsi="仿宋_GB2312" w:eastAsia="仿宋_GB2312"/>
          <w:b w:val="0"/>
          <w:sz w:val="32"/>
        </w:rPr>
        <w:t>六、《一般公共预算财政拨款基本支出决算表》</w:t>
      </w:r>
    </w:p>
    <w:p w14:paraId="7C70EE65">
      <w:pPr>
        <w:spacing w:line="240" w:lineRule="auto"/>
        <w:ind w:firstLine="640"/>
        <w:jc w:val="both"/>
      </w:pPr>
      <w:r>
        <w:rPr>
          <w:rFonts w:ascii="仿宋_GB2312" w:hAnsi="仿宋_GB2312" w:eastAsia="仿宋_GB2312"/>
          <w:b w:val="0"/>
          <w:sz w:val="32"/>
        </w:rPr>
        <w:t>七、《政府性基金预算财政拨款收入支出决算表》</w:t>
      </w:r>
    </w:p>
    <w:p w14:paraId="1277FCC4">
      <w:pPr>
        <w:spacing w:line="240" w:lineRule="auto"/>
        <w:ind w:firstLine="640"/>
        <w:jc w:val="both"/>
      </w:pPr>
      <w:r>
        <w:rPr>
          <w:rFonts w:ascii="仿宋_GB2312" w:hAnsi="仿宋_GB2312" w:eastAsia="仿宋_GB2312"/>
          <w:b w:val="0"/>
          <w:sz w:val="32"/>
        </w:rPr>
        <w:t>八、《国有资本经营预算财政拨款收入支出决算表》</w:t>
      </w:r>
    </w:p>
    <w:p w14:paraId="4D6DE443">
      <w:pPr>
        <w:spacing w:line="240" w:lineRule="auto"/>
        <w:ind w:firstLine="640"/>
        <w:jc w:val="both"/>
      </w:pPr>
      <w:r>
        <w:rPr>
          <w:rFonts w:ascii="仿宋_GB2312" w:hAnsi="仿宋_GB2312" w:eastAsia="仿宋_GB2312"/>
          <w:b w:val="0"/>
          <w:sz w:val="32"/>
        </w:rPr>
        <w:t>九、《财政拨款“三公”经费支出决算表》</w:t>
      </w:r>
    </w:p>
    <w:p w14:paraId="6F9E7A95">
      <w:pPr>
        <w:spacing w:line="240" w:lineRule="auto"/>
        <w:ind w:firstLine="640"/>
        <w:jc w:val="both"/>
      </w:pPr>
    </w:p>
    <w:p w14:paraId="59578981">
      <w:pPr>
        <w:spacing w:line="240" w:lineRule="auto"/>
        <w:ind w:firstLine="640"/>
        <w:jc w:val="both"/>
      </w:pPr>
    </w:p>
    <w:p w14:paraId="39FA151B">
      <w:pPr>
        <w:spacing w:line="240" w:lineRule="auto"/>
        <w:ind w:firstLine="640"/>
        <w:jc w:val="both"/>
      </w:pPr>
    </w:p>
    <w:p w14:paraId="0E2D14FE">
      <w:pPr>
        <w:spacing w:line="240" w:lineRule="auto"/>
        <w:ind w:firstLine="640"/>
        <w:jc w:val="both"/>
      </w:pPr>
    </w:p>
    <w:p w14:paraId="671770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415F58"/>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4103</Words>
  <Characters>4710</Characters>
  <Lines>0</Lines>
  <Paragraphs>0</Paragraphs>
  <TotalTime>1</TotalTime>
  <ScaleCrop>false</ScaleCrop>
  <LinksUpToDate>false</LinksUpToDate>
  <CharactersWithSpaces>4718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2025-09-28T03:35:33Z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