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C6374E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叶城县总工会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9883D4">
      <w:r>
        <w:br w:type="page"/>
      </w:r>
    </w:p>
    <w:p w14:paraId="2F3CED6F">
      <w:pPr>
        <w:spacing w:line="640" w:lineRule="exact"/>
        <w:jc w:val="center"/>
        <w:outlineLvl w:val="1"/>
      </w:pPr>
      <w:r>
        <w:rPr>
          <w:rFonts w:ascii="黑体" w:hAnsi="黑体" w:eastAsia="黑体"/>
          <w:sz w:val="32"/>
        </w:rPr>
        <w:t>第一部分 单位概况</w:t>
      </w:r>
    </w:p>
    <w:p w14:paraId="459356D7">
      <w:pPr>
        <w:spacing w:line="640" w:lineRule="exact"/>
        <w:ind w:firstLine="640"/>
        <w:jc w:val="both"/>
        <w:outlineLvl w:val="2"/>
      </w:pPr>
      <w:r>
        <w:rPr>
          <w:rFonts w:ascii="黑体" w:hAnsi="黑体" w:eastAsia="黑体"/>
          <w:sz w:val="32"/>
        </w:rPr>
        <w:t>一、主要职能</w:t>
      </w:r>
    </w:p>
    <w:p w14:paraId="09310147">
      <w:pPr>
        <w:spacing w:line="580" w:lineRule="exact"/>
        <w:ind w:firstLine="640"/>
        <w:jc w:val="both"/>
      </w:pPr>
      <w:r>
        <w:rPr>
          <w:rFonts w:hint="eastAsia" w:ascii="仿宋_GB2312" w:hAnsi="仿宋_GB2312" w:eastAsia="仿宋_GB2312"/>
          <w:sz w:val="32"/>
          <w:lang w:eastAsia="zh-CN"/>
        </w:rPr>
        <w:t>（一）</w:t>
      </w:r>
      <w:r>
        <w:rPr>
          <w:rFonts w:ascii="仿宋_GB2312" w:hAnsi="仿宋_GB2312" w:eastAsia="仿宋_GB2312"/>
          <w:sz w:val="32"/>
        </w:rPr>
        <w:t>进一步突出和履行维护职工合法权益的职能。</w:t>
      </w:r>
    </w:p>
    <w:p w14:paraId="3A10BB15">
      <w:pPr>
        <w:spacing w:line="580" w:lineRule="exact"/>
        <w:ind w:firstLine="640"/>
        <w:jc w:val="both"/>
      </w:pPr>
      <w:r>
        <w:rPr>
          <w:rFonts w:hint="eastAsia" w:ascii="仿宋_GB2312" w:hAnsi="仿宋_GB2312" w:eastAsia="仿宋_GB2312"/>
          <w:sz w:val="32"/>
          <w:lang w:eastAsia="zh-CN"/>
        </w:rPr>
        <w:t>（二）</w:t>
      </w:r>
      <w:r>
        <w:rPr>
          <w:rFonts w:ascii="仿宋_GB2312" w:hAnsi="仿宋_GB2312" w:eastAsia="仿宋_GB2312"/>
          <w:sz w:val="32"/>
        </w:rPr>
        <w:t>指导各级工会组织开展以职工代表大会基本制度的民主选举、民主决策、</w:t>
      </w:r>
      <w:r>
        <w:rPr>
          <w:rFonts w:hint="eastAsia" w:ascii="仿宋_GB2312" w:hAnsi="仿宋_GB2312" w:eastAsia="仿宋_GB2312"/>
          <w:sz w:val="32"/>
          <w:lang w:eastAsia="zh-CN"/>
        </w:rPr>
        <w:t>民主管理、民主监督</w:t>
      </w:r>
      <w:r>
        <w:rPr>
          <w:rFonts w:ascii="仿宋_GB2312" w:hAnsi="仿宋_GB2312" w:eastAsia="仿宋_GB2312"/>
          <w:sz w:val="32"/>
        </w:rPr>
        <w:t>工作。</w:t>
      </w:r>
    </w:p>
    <w:p w14:paraId="7966B36F">
      <w:pPr>
        <w:spacing w:line="580" w:lineRule="exact"/>
        <w:ind w:firstLine="640"/>
        <w:jc w:val="both"/>
      </w:pPr>
      <w:r>
        <w:rPr>
          <w:rFonts w:hint="eastAsia" w:ascii="仿宋_GB2312" w:hAnsi="仿宋_GB2312" w:eastAsia="仿宋_GB2312"/>
          <w:sz w:val="32"/>
          <w:lang w:eastAsia="zh-CN"/>
        </w:rPr>
        <w:t>（三）</w:t>
      </w:r>
      <w:r>
        <w:rPr>
          <w:rFonts w:ascii="仿宋_GB2312" w:hAnsi="仿宋_GB2312" w:eastAsia="仿宋_GB2312"/>
          <w:sz w:val="32"/>
        </w:rPr>
        <w:t>推动工会组织建立平等协商、集体合同制度和监督保障机制。</w:t>
      </w:r>
    </w:p>
    <w:p w14:paraId="57E2D68C">
      <w:pPr>
        <w:spacing w:line="580" w:lineRule="exact"/>
        <w:ind w:firstLine="640"/>
        <w:jc w:val="both"/>
      </w:pPr>
      <w:r>
        <w:rPr>
          <w:rFonts w:hint="eastAsia" w:ascii="仿宋_GB2312" w:hAnsi="仿宋_GB2312" w:eastAsia="仿宋_GB2312"/>
          <w:sz w:val="32"/>
          <w:lang w:eastAsia="zh-CN"/>
        </w:rPr>
        <w:t>（四）</w:t>
      </w:r>
      <w:r>
        <w:rPr>
          <w:rFonts w:ascii="仿宋_GB2312" w:hAnsi="仿宋_GB2312" w:eastAsia="仿宋_GB2312"/>
          <w:sz w:val="32"/>
        </w:rPr>
        <w:t>加强新建企业工会组织组建工作，进一步健全工会组织，所有乡、镇及社区、私营企业都要成立工会，并逐步向个体工商户延伸。</w:t>
      </w:r>
    </w:p>
    <w:p w14:paraId="1F5BA813">
      <w:pPr>
        <w:spacing w:line="640" w:lineRule="exact"/>
        <w:ind w:firstLine="640"/>
        <w:jc w:val="both"/>
        <w:outlineLvl w:val="2"/>
      </w:pPr>
      <w:r>
        <w:rPr>
          <w:rFonts w:ascii="黑体" w:hAnsi="黑体" w:eastAsia="黑体"/>
          <w:sz w:val="32"/>
        </w:rPr>
        <w:t>二、机构设置及人员情况</w:t>
      </w:r>
    </w:p>
    <w:p w14:paraId="2C7AF67F">
      <w:pPr>
        <w:spacing w:line="580" w:lineRule="exact"/>
        <w:ind w:firstLine="640"/>
        <w:jc w:val="both"/>
      </w:pPr>
      <w:r>
        <w:rPr>
          <w:rFonts w:ascii="仿宋_GB2312" w:hAnsi="仿宋_GB2312" w:eastAsia="仿宋_GB2312"/>
          <w:sz w:val="32"/>
        </w:rPr>
        <w:t>叶城县总工会2024年度，实有人数11人，其中：在职人员5人，减少3人；离休人员0人，增加0人；退休人员6人</w:t>
      </w:r>
      <w:bookmarkStart w:id="0" w:name="_GoBack"/>
      <w:r>
        <w:rPr>
          <w:rFonts w:ascii="仿宋_GB2312" w:hAnsi="仿宋_GB2312" w:eastAsia="仿宋_GB2312"/>
          <w:sz w:val="32"/>
        </w:rPr>
        <w:t>,</w:t>
      </w:r>
      <w:bookmarkEnd w:id="0"/>
      <w:r>
        <w:rPr>
          <w:rFonts w:ascii="仿宋_GB2312" w:hAnsi="仿宋_GB2312" w:eastAsia="仿宋_GB2312"/>
          <w:sz w:val="32"/>
        </w:rPr>
        <w:t>增加2人。</w:t>
      </w:r>
    </w:p>
    <w:p w14:paraId="32502FFA">
      <w:pPr>
        <w:spacing w:line="580" w:lineRule="exact"/>
        <w:ind w:firstLine="640"/>
        <w:jc w:val="both"/>
      </w:pPr>
      <w:r>
        <w:rPr>
          <w:rFonts w:ascii="仿宋_GB2312" w:hAnsi="仿宋_GB2312" w:eastAsia="仿宋_GB2312"/>
          <w:sz w:val="32"/>
        </w:rPr>
        <w:t>叶城县总工会无下属预算单位，下设3个科室，分别是：党建办、财务室、业务室。</w:t>
      </w:r>
    </w:p>
    <w:p w14:paraId="240BE56F">
      <w:r>
        <w:br w:type="page"/>
      </w:r>
    </w:p>
    <w:p w14:paraId="6DBFBE6A">
      <w:pPr>
        <w:spacing w:line="240" w:lineRule="auto"/>
        <w:jc w:val="center"/>
        <w:outlineLvl w:val="1"/>
      </w:pPr>
      <w:r>
        <w:rPr>
          <w:rFonts w:ascii="黑体" w:hAnsi="黑体" w:eastAsia="黑体"/>
          <w:sz w:val="32"/>
        </w:rPr>
        <w:t>第二部分 部门决算情况说明</w:t>
      </w:r>
    </w:p>
    <w:p w14:paraId="6ABA48EE">
      <w:pPr>
        <w:spacing w:line="640" w:lineRule="exact"/>
        <w:ind w:firstLine="640"/>
        <w:jc w:val="both"/>
        <w:outlineLvl w:val="2"/>
      </w:pPr>
      <w:r>
        <w:rPr>
          <w:rFonts w:ascii="黑体" w:hAnsi="黑体" w:eastAsia="黑体"/>
          <w:sz w:val="32"/>
        </w:rPr>
        <w:t>一、收入支出决算总体情况说明</w:t>
      </w:r>
    </w:p>
    <w:p w14:paraId="4B7AF317">
      <w:pPr>
        <w:spacing w:line="580" w:lineRule="exact"/>
        <w:ind w:firstLine="640"/>
        <w:jc w:val="both"/>
      </w:pPr>
      <w:r>
        <w:rPr>
          <w:rFonts w:ascii="仿宋_GB2312" w:hAnsi="仿宋_GB2312" w:eastAsia="仿宋_GB2312"/>
          <w:b/>
          <w:sz w:val="32"/>
        </w:rPr>
        <w:t>2024年度收入总计155.99万元，</w:t>
      </w:r>
      <w:r>
        <w:rPr>
          <w:rFonts w:ascii="仿宋_GB2312" w:hAnsi="仿宋_GB2312" w:eastAsia="仿宋_GB2312"/>
          <w:b w:val="0"/>
          <w:sz w:val="32"/>
        </w:rPr>
        <w:t>其中：本年收入合计155.99万元，使用非财政拨款结余（含专用结余）0.00万元，年初结转和结余0.00万元。</w:t>
      </w:r>
    </w:p>
    <w:p w14:paraId="243BC4C1">
      <w:pPr>
        <w:spacing w:line="580" w:lineRule="exact"/>
        <w:ind w:firstLine="640"/>
        <w:jc w:val="both"/>
      </w:pPr>
      <w:r>
        <w:rPr>
          <w:rFonts w:ascii="仿宋_GB2312" w:hAnsi="仿宋_GB2312" w:eastAsia="仿宋_GB2312"/>
          <w:b/>
          <w:sz w:val="32"/>
        </w:rPr>
        <w:t>2024年度支出总计155.99万元，</w:t>
      </w:r>
      <w:r>
        <w:rPr>
          <w:rFonts w:ascii="仿宋_GB2312" w:hAnsi="仿宋_GB2312" w:eastAsia="仿宋_GB2312"/>
          <w:b w:val="0"/>
          <w:sz w:val="32"/>
        </w:rPr>
        <w:t>其中：本年支出合计155.99万元，结余分配0.00万元，年末结转和结余0.00万元。</w:t>
      </w:r>
    </w:p>
    <w:p w14:paraId="5B592C86">
      <w:pPr>
        <w:spacing w:line="580" w:lineRule="exact"/>
        <w:ind w:firstLine="640"/>
        <w:jc w:val="both"/>
      </w:pPr>
      <w:r>
        <w:rPr>
          <w:rFonts w:ascii="仿宋_GB2312" w:hAnsi="仿宋_GB2312" w:eastAsia="仿宋_GB2312"/>
          <w:b w:val="0"/>
          <w:sz w:val="32"/>
        </w:rPr>
        <w:t>收入支出总体与上年相比，减少20.30万元，下降11.52%，主要原因是：本年在职人员转退休，人员经费减少。</w:t>
      </w:r>
    </w:p>
    <w:p w14:paraId="0BFEE440">
      <w:pPr>
        <w:spacing w:line="640" w:lineRule="exact"/>
        <w:ind w:firstLine="640"/>
        <w:jc w:val="both"/>
        <w:outlineLvl w:val="2"/>
      </w:pPr>
      <w:r>
        <w:rPr>
          <w:rFonts w:ascii="黑体" w:hAnsi="黑体" w:eastAsia="黑体"/>
          <w:sz w:val="32"/>
        </w:rPr>
        <w:t>二、收入决算情况说明</w:t>
      </w:r>
    </w:p>
    <w:p w14:paraId="45AC37E6">
      <w:pPr>
        <w:spacing w:line="580" w:lineRule="exact"/>
        <w:ind w:firstLine="640"/>
        <w:jc w:val="both"/>
      </w:pPr>
      <w:r>
        <w:rPr>
          <w:rFonts w:ascii="仿宋_GB2312" w:hAnsi="仿宋_GB2312" w:eastAsia="仿宋_GB2312"/>
          <w:b/>
          <w:sz w:val="32"/>
        </w:rPr>
        <w:t>本年收入155.99万元，</w:t>
      </w:r>
      <w:r>
        <w:rPr>
          <w:rFonts w:ascii="仿宋_GB2312" w:hAnsi="仿宋_GB2312" w:eastAsia="仿宋_GB2312"/>
          <w:b w:val="0"/>
          <w:sz w:val="32"/>
        </w:rPr>
        <w:t>其中：财政拨款收入155.99万元，占100.00%；上级补助收入0.00万元，占0.00%；事业收入0.00万元，占0.00%；经营收入0.00万元，占0.00%；附属单位上缴收入0.00万元，占0.00%；其他收入0.00万元，占0.00%。</w:t>
      </w:r>
    </w:p>
    <w:p w14:paraId="1645C1E1">
      <w:pPr>
        <w:spacing w:line="640" w:lineRule="exact"/>
        <w:ind w:firstLine="640"/>
        <w:jc w:val="both"/>
        <w:outlineLvl w:val="2"/>
      </w:pPr>
      <w:r>
        <w:rPr>
          <w:rFonts w:ascii="黑体" w:hAnsi="黑体" w:eastAsia="黑体"/>
          <w:sz w:val="32"/>
        </w:rPr>
        <w:t>三、支出决算情况说明</w:t>
      </w:r>
    </w:p>
    <w:p w14:paraId="6E6B904B">
      <w:pPr>
        <w:spacing w:line="580" w:lineRule="exact"/>
        <w:ind w:firstLine="640"/>
        <w:jc w:val="both"/>
      </w:pPr>
      <w:r>
        <w:rPr>
          <w:rFonts w:ascii="仿宋_GB2312" w:hAnsi="仿宋_GB2312" w:eastAsia="仿宋_GB2312"/>
          <w:b/>
          <w:sz w:val="32"/>
        </w:rPr>
        <w:t>本年支出155.99万元，</w:t>
      </w:r>
      <w:r>
        <w:rPr>
          <w:rFonts w:ascii="仿宋_GB2312" w:hAnsi="仿宋_GB2312" w:eastAsia="仿宋_GB2312"/>
          <w:b w:val="0"/>
          <w:sz w:val="32"/>
        </w:rPr>
        <w:t>其中：基本支出155.99万元，占100.00%；项目支出0.00万元，占0.00%；上缴上级支出0.00万元，占0.00%；经营支出0.00万元，占0.00%；对附属单位补助支出0.00万元，占0.00%。</w:t>
      </w:r>
    </w:p>
    <w:p w14:paraId="5E89243E">
      <w:pPr>
        <w:spacing w:line="640" w:lineRule="exact"/>
        <w:ind w:firstLine="640"/>
        <w:jc w:val="both"/>
        <w:outlineLvl w:val="2"/>
      </w:pPr>
      <w:r>
        <w:rPr>
          <w:rFonts w:ascii="黑体" w:hAnsi="黑体" w:eastAsia="黑体"/>
          <w:sz w:val="32"/>
        </w:rPr>
        <w:t>四、财政拨款收入支出决算总体情况说明</w:t>
      </w:r>
    </w:p>
    <w:p w14:paraId="6B5F29DB">
      <w:pPr>
        <w:spacing w:line="580" w:lineRule="exact"/>
        <w:ind w:firstLine="640"/>
        <w:jc w:val="both"/>
      </w:pPr>
      <w:r>
        <w:rPr>
          <w:rFonts w:ascii="仿宋_GB2312" w:hAnsi="仿宋_GB2312" w:eastAsia="仿宋_GB2312"/>
          <w:b/>
          <w:sz w:val="32"/>
        </w:rPr>
        <w:t>2024年度财政拨款收入总计155.99万元，</w:t>
      </w:r>
      <w:r>
        <w:rPr>
          <w:rFonts w:ascii="仿宋_GB2312" w:hAnsi="仿宋_GB2312" w:eastAsia="仿宋_GB2312"/>
          <w:b w:val="0"/>
          <w:sz w:val="32"/>
        </w:rPr>
        <w:t>其中：年初财政拨款结转和结余0.00万元，本年财政拨款收入155.99万元。</w:t>
      </w:r>
      <w:r>
        <w:rPr>
          <w:rFonts w:ascii="仿宋_GB2312" w:hAnsi="仿宋_GB2312" w:eastAsia="仿宋_GB2312"/>
          <w:b/>
          <w:sz w:val="32"/>
        </w:rPr>
        <w:t>财政拨款支出总计155.99万元，</w:t>
      </w:r>
      <w:r>
        <w:rPr>
          <w:rFonts w:ascii="仿宋_GB2312" w:hAnsi="仿宋_GB2312" w:eastAsia="仿宋_GB2312"/>
          <w:b w:val="0"/>
          <w:sz w:val="32"/>
        </w:rPr>
        <w:t>其中：年末财政拨款结转和结余0.00万元，本年财政拨款支出155.99万元。</w:t>
      </w:r>
    </w:p>
    <w:p w14:paraId="71C16F9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减少20.30万元，下降11.52%，主要原因是：本年在职人员转退休，人员经费减少。</w:t>
      </w:r>
      <w:r>
        <w:rPr>
          <w:rFonts w:ascii="仿宋_GB2312" w:hAnsi="仿宋_GB2312" w:eastAsia="仿宋_GB2312"/>
          <w:b/>
          <w:sz w:val="32"/>
        </w:rPr>
        <w:t>与年初预算相比，</w:t>
      </w:r>
      <w:r>
        <w:rPr>
          <w:rFonts w:ascii="仿宋_GB2312" w:hAnsi="仿宋_GB2312" w:eastAsia="仿宋_GB2312"/>
          <w:b w:val="0"/>
          <w:sz w:val="32"/>
        </w:rPr>
        <w:t>年初预算数183.33万元，决算数155.99万元，预决算差异率-14.91%，主要原因是：本年在职人员减少，年中调减人员经费，导致预决算差异。</w:t>
      </w:r>
    </w:p>
    <w:p w14:paraId="20125CE6">
      <w:pPr>
        <w:spacing w:line="640" w:lineRule="exact"/>
        <w:ind w:firstLine="640"/>
        <w:jc w:val="both"/>
        <w:outlineLvl w:val="2"/>
      </w:pPr>
      <w:r>
        <w:rPr>
          <w:rFonts w:ascii="黑体" w:hAnsi="黑体" w:eastAsia="黑体"/>
          <w:sz w:val="32"/>
        </w:rPr>
        <w:t>五、一般公共预算财政拨款支出决算情况说明</w:t>
      </w:r>
    </w:p>
    <w:p w14:paraId="36118905">
      <w:pPr>
        <w:spacing w:line="640" w:lineRule="exact"/>
        <w:ind w:firstLine="640"/>
        <w:jc w:val="both"/>
        <w:outlineLvl w:val="3"/>
      </w:pPr>
      <w:r>
        <w:rPr>
          <w:rFonts w:ascii="楷体_GB2312" w:hAnsi="楷体_GB2312" w:eastAsia="楷体_GB2312"/>
          <w:b/>
          <w:sz w:val="32"/>
        </w:rPr>
        <w:t>（一）一般公共预算财政拨款支出决算总体情况</w:t>
      </w:r>
    </w:p>
    <w:p w14:paraId="1FFCED33">
      <w:pPr>
        <w:spacing w:line="580" w:lineRule="exact"/>
        <w:ind w:firstLine="640"/>
        <w:jc w:val="both"/>
      </w:pPr>
      <w:r>
        <w:rPr>
          <w:rFonts w:ascii="仿宋_GB2312" w:hAnsi="仿宋_GB2312" w:eastAsia="仿宋_GB2312"/>
          <w:b/>
          <w:sz w:val="32"/>
        </w:rPr>
        <w:t>2024年度一般公共预算财政拨款支出155.99万元，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减少20.30万元，下降11.52%，主要原因是：本年在职人员转退休，人员经费减少。</w:t>
      </w:r>
      <w:r>
        <w:rPr>
          <w:rFonts w:ascii="仿宋_GB2312" w:hAnsi="仿宋_GB2312" w:eastAsia="仿宋_GB2312"/>
          <w:b/>
          <w:sz w:val="32"/>
        </w:rPr>
        <w:t>与年初预算相比,</w:t>
      </w:r>
      <w:r>
        <w:rPr>
          <w:rFonts w:ascii="仿宋_GB2312" w:hAnsi="仿宋_GB2312" w:eastAsia="仿宋_GB2312"/>
          <w:b w:val="0"/>
          <w:sz w:val="32"/>
        </w:rPr>
        <w:t>年初预算数183.33万元，决算数155.99万元，预决算差异率-14.91%，主要原因是：年中调减人员经费，导致预决算差异。</w:t>
      </w:r>
    </w:p>
    <w:p w14:paraId="6C51FA44">
      <w:pPr>
        <w:spacing w:line="640" w:lineRule="exact"/>
        <w:ind w:firstLine="640"/>
        <w:jc w:val="both"/>
        <w:outlineLvl w:val="3"/>
      </w:pPr>
      <w:r>
        <w:rPr>
          <w:rFonts w:ascii="楷体_GB2312" w:hAnsi="楷体_GB2312" w:eastAsia="楷体_GB2312"/>
          <w:b/>
          <w:sz w:val="32"/>
        </w:rPr>
        <w:t>（二）一般公共预算财政拨款支出决算结构情况</w:t>
      </w:r>
    </w:p>
    <w:p w14:paraId="03574678">
      <w:pPr>
        <w:spacing w:line="580" w:lineRule="exact"/>
        <w:ind w:firstLine="640"/>
        <w:jc w:val="both"/>
      </w:pPr>
      <w:r>
        <w:rPr>
          <w:rFonts w:ascii="仿宋_GB2312" w:hAnsi="仿宋_GB2312" w:eastAsia="仿宋_GB2312"/>
          <w:b w:val="0"/>
          <w:sz w:val="32"/>
        </w:rPr>
        <w:t>1.一般公共服务支出(类)88.48万元,占56.72%。</w:t>
      </w:r>
    </w:p>
    <w:p w14:paraId="6C616012">
      <w:pPr>
        <w:spacing w:line="580" w:lineRule="exact"/>
        <w:ind w:firstLine="640"/>
        <w:jc w:val="both"/>
      </w:pPr>
      <w:r>
        <w:rPr>
          <w:rFonts w:ascii="仿宋_GB2312" w:hAnsi="仿宋_GB2312" w:eastAsia="仿宋_GB2312"/>
          <w:b w:val="0"/>
          <w:sz w:val="32"/>
        </w:rPr>
        <w:t>2.社会保障和就业支出(类)47.10万元,占30.19%。</w:t>
      </w:r>
    </w:p>
    <w:p w14:paraId="0403DB2C">
      <w:pPr>
        <w:spacing w:line="580" w:lineRule="exact"/>
        <w:ind w:firstLine="640"/>
        <w:jc w:val="both"/>
      </w:pPr>
      <w:r>
        <w:rPr>
          <w:rFonts w:ascii="仿宋_GB2312" w:hAnsi="仿宋_GB2312" w:eastAsia="仿宋_GB2312"/>
          <w:b w:val="0"/>
          <w:sz w:val="32"/>
        </w:rPr>
        <w:t>3.卫生健康支出(类)6.74万元,占4.32%。</w:t>
      </w:r>
    </w:p>
    <w:p w14:paraId="3D2F11B7">
      <w:pPr>
        <w:spacing w:line="580" w:lineRule="exact"/>
        <w:ind w:firstLine="640"/>
        <w:jc w:val="both"/>
      </w:pPr>
      <w:r>
        <w:rPr>
          <w:rFonts w:ascii="仿宋_GB2312" w:hAnsi="仿宋_GB2312" w:eastAsia="仿宋_GB2312"/>
          <w:b w:val="0"/>
          <w:sz w:val="32"/>
        </w:rPr>
        <w:t>4.住房保障支出(类)13.68万元,占8.77%。</w:t>
      </w:r>
    </w:p>
    <w:p w14:paraId="14A0F0B1">
      <w:pPr>
        <w:spacing w:line="640" w:lineRule="exact"/>
        <w:ind w:firstLine="640"/>
        <w:jc w:val="both"/>
        <w:outlineLvl w:val="3"/>
      </w:pPr>
      <w:r>
        <w:rPr>
          <w:rFonts w:ascii="楷体_GB2312" w:hAnsi="楷体_GB2312" w:eastAsia="楷体_GB2312"/>
          <w:b/>
          <w:sz w:val="32"/>
        </w:rPr>
        <w:t>（三）一般公共预算财政拨款支出决算具体情况</w:t>
      </w:r>
    </w:p>
    <w:p w14:paraId="314B9629">
      <w:pPr>
        <w:spacing w:line="580" w:lineRule="exact"/>
        <w:ind w:firstLine="640"/>
        <w:jc w:val="both"/>
      </w:pPr>
      <w:r>
        <w:rPr>
          <w:rFonts w:ascii="仿宋_GB2312" w:hAnsi="仿宋_GB2312" w:eastAsia="仿宋_GB2312"/>
          <w:b w:val="0"/>
          <w:sz w:val="32"/>
        </w:rPr>
        <w:t>1.一般公共服务支出(类)群众团体事务(款)行政运行(项):支出决算数为88.48万元，比上年决算减少31.09万元，下降26.00%,主要原因是：本年在职人员转退休，人员经费减少。</w:t>
      </w:r>
    </w:p>
    <w:p w14:paraId="27FB7DE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2.社会保障和就业支出(类)行政事业单位养老支出(款)行政单位离退休(项):支出决算数为6.48万元，比上年决算增加2.13万元，增长48.97%,主要原因是：本年</w:t>
      </w:r>
      <w:r>
        <w:rPr>
          <w:rFonts w:hint="eastAsia" w:ascii="仿宋_GB2312" w:hAnsi="仿宋_GB2312" w:eastAsia="仿宋_GB2312"/>
          <w:b w:val="0"/>
          <w:sz w:val="32"/>
          <w:lang w:val="en-US" w:eastAsia="zh-CN"/>
        </w:rPr>
        <w:t>退休人员增加，</w:t>
      </w:r>
      <w:r>
        <w:rPr>
          <w:rFonts w:ascii="仿宋_GB2312" w:hAnsi="仿宋_GB2312" w:eastAsia="仿宋_GB2312"/>
          <w:b w:val="0"/>
          <w:sz w:val="32"/>
        </w:rPr>
        <w:t>增加退休人员基础绩效奖，退休费支出增加。</w:t>
      </w:r>
    </w:p>
    <w:p w14:paraId="3F87959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12.25万元，比上年决算增加1.31万元，增长11.97%,主要原因是：本年在职人员工资基数调增，养老缴费基数上涨，相应支出增加。</w:t>
      </w:r>
    </w:p>
    <w:p w14:paraId="69ECDA9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4.社会保障和就业支出(类)行政事业单位养老支出(款)机关事业单位职业年金缴费支出(项):支出决算数为28.37万元，比上年决算增加28.37万元，增长100.00%,主要原因是：本年新增退休人员，职业年金缴费支出增加。</w:t>
      </w:r>
    </w:p>
    <w:p w14:paraId="118A942B">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5.社会保障和就业支出(类)抚恤(款)死亡抚恤(项):支出决算数为0.00万元，比上年决算减少27.20万元，下降100.00%,主要原因是：本年无新增死亡人员，死亡抚恤支出较上年减少。</w:t>
      </w:r>
    </w:p>
    <w:p w14:paraId="248FCDC5">
      <w:pPr>
        <w:spacing w:line="580" w:lineRule="exact"/>
        <w:ind w:firstLine="640"/>
        <w:jc w:val="both"/>
      </w:pPr>
      <w:r>
        <w:rPr>
          <w:rFonts w:ascii="仿宋_GB2312" w:hAnsi="仿宋_GB2312" w:eastAsia="仿宋_GB2312"/>
          <w:b w:val="0"/>
          <w:sz w:val="32"/>
        </w:rPr>
        <w:t>6.卫生健康支出(类)行政事业单位医疗(款)行政单位医疗(项):支出决算数为5.20万元，比上年决算增加0.56万元，增长12.07%,主要原因是：本年在职人员工资基数调增，医疗缴费基数上涨，相应支出增加。</w:t>
      </w:r>
    </w:p>
    <w:p w14:paraId="56546E93">
      <w:pPr>
        <w:spacing w:line="580" w:lineRule="exact"/>
        <w:ind w:firstLine="640"/>
        <w:jc w:val="both"/>
      </w:pPr>
      <w:r>
        <w:rPr>
          <w:rFonts w:ascii="仿宋_GB2312" w:hAnsi="仿宋_GB2312" w:eastAsia="仿宋_GB2312"/>
          <w:b w:val="0"/>
          <w:sz w:val="32"/>
        </w:rPr>
        <w:t>7.卫生健康支出(类)行政事业单位医疗(款)公务员医疗补助(项):支出决算数为1.53万元，比上年决算增加0.14万元，增长10.07%,主要原因是：本年在职人员工资基数调增，医疗缴费基数上涨，相应公务员医疗补助支出增加。</w:t>
      </w:r>
    </w:p>
    <w:p w14:paraId="5800E334">
      <w:pPr>
        <w:spacing w:line="580" w:lineRule="exact"/>
        <w:ind w:firstLine="640"/>
        <w:jc w:val="both"/>
      </w:pPr>
      <w:r>
        <w:rPr>
          <w:rFonts w:ascii="仿宋_GB2312" w:hAnsi="仿宋_GB2312" w:eastAsia="仿宋_GB2312"/>
          <w:b w:val="0"/>
          <w:sz w:val="32"/>
        </w:rPr>
        <w:t>8.住房保障支出(类)住房改革支出(款)住房公积金(项):支出决算数为13.68万元，比上年决算增加5.47万元，增长66.63%,主要原因是：本年在职人员工资基数调增，公积金缴费基数上涨，相应支出增加。</w:t>
      </w:r>
    </w:p>
    <w:p w14:paraId="0FDF8439">
      <w:pPr>
        <w:spacing w:line="640" w:lineRule="exact"/>
        <w:ind w:firstLine="640"/>
        <w:jc w:val="both"/>
        <w:outlineLvl w:val="2"/>
      </w:pPr>
      <w:r>
        <w:rPr>
          <w:rFonts w:ascii="黑体" w:hAnsi="黑体" w:eastAsia="黑体"/>
          <w:sz w:val="32"/>
        </w:rPr>
        <w:t>六、一般公共预算财政拨款基本支出决算情况说明</w:t>
      </w:r>
    </w:p>
    <w:p w14:paraId="72A4B81D">
      <w:pPr>
        <w:spacing w:line="580" w:lineRule="exact"/>
        <w:ind w:firstLine="640"/>
        <w:jc w:val="both"/>
      </w:pPr>
      <w:r>
        <w:rPr>
          <w:rFonts w:ascii="仿宋_GB2312" w:hAnsi="仿宋_GB2312" w:eastAsia="仿宋_GB2312"/>
          <w:b w:val="0"/>
          <w:sz w:val="32"/>
        </w:rPr>
        <w:t>2024年度一般公共预算财政拨款基本支出155.99万元，其中：</w:t>
      </w:r>
      <w:r>
        <w:rPr>
          <w:rFonts w:ascii="仿宋_GB2312" w:hAnsi="仿宋_GB2312" w:eastAsia="仿宋_GB2312"/>
          <w:b/>
          <w:sz w:val="32"/>
        </w:rPr>
        <w:t>人员经费154.49万元，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4D568E05">
      <w:pPr>
        <w:spacing w:line="580" w:lineRule="exact"/>
        <w:ind w:firstLine="640"/>
        <w:jc w:val="both"/>
      </w:pPr>
      <w:r>
        <w:rPr>
          <w:rFonts w:ascii="仿宋_GB2312" w:hAnsi="仿宋_GB2312" w:eastAsia="仿宋_GB2312"/>
          <w:b/>
          <w:sz w:val="32"/>
        </w:rPr>
        <w:t>公用经费1.51万元，</w:t>
      </w:r>
      <w:r>
        <w:rPr>
          <w:rFonts w:ascii="仿宋_GB2312" w:hAnsi="仿宋_GB2312" w:eastAsia="仿宋_GB2312"/>
          <w:b w:val="0"/>
          <w:sz w:val="32"/>
        </w:rPr>
        <w:t>包括：办公费、邮电费。</w:t>
      </w:r>
    </w:p>
    <w:p w14:paraId="0A0CAFB9">
      <w:pPr>
        <w:spacing w:line="640" w:lineRule="exact"/>
        <w:ind w:firstLine="640"/>
        <w:jc w:val="both"/>
        <w:outlineLvl w:val="2"/>
      </w:pPr>
      <w:r>
        <w:rPr>
          <w:rFonts w:ascii="黑体" w:hAnsi="黑体" w:eastAsia="黑体"/>
          <w:sz w:val="32"/>
        </w:rPr>
        <w:t>七、政府性基金预算财政拨款收入支出决算情况说明</w:t>
      </w:r>
    </w:p>
    <w:p w14:paraId="7E7F44E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3EC77D">
      <w:pPr>
        <w:spacing w:line="640" w:lineRule="exact"/>
        <w:ind w:firstLine="640"/>
        <w:jc w:val="both"/>
        <w:outlineLvl w:val="2"/>
      </w:pPr>
      <w:r>
        <w:rPr>
          <w:rFonts w:ascii="黑体" w:hAnsi="黑体" w:eastAsia="黑体"/>
          <w:sz w:val="32"/>
        </w:rPr>
        <w:t>八、国有资本经营预算财政拨款收入支出决算情况说明</w:t>
      </w:r>
    </w:p>
    <w:p w14:paraId="37F67D8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27F957">
      <w:pPr>
        <w:spacing w:line="640" w:lineRule="exact"/>
        <w:ind w:firstLine="640"/>
        <w:jc w:val="both"/>
        <w:outlineLvl w:val="2"/>
      </w:pPr>
      <w:r>
        <w:rPr>
          <w:rFonts w:ascii="黑体" w:hAnsi="黑体" w:eastAsia="黑体"/>
          <w:sz w:val="32"/>
        </w:rPr>
        <w:t>九、财政拨款“三公”经费支出决算情况说明</w:t>
      </w:r>
    </w:p>
    <w:p w14:paraId="2635B7B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D3FEB6C">
      <w:pPr>
        <w:spacing w:line="580" w:lineRule="exact"/>
        <w:ind w:firstLine="640"/>
        <w:jc w:val="both"/>
      </w:pPr>
      <w:r>
        <w:rPr>
          <w:rFonts w:ascii="仿宋_GB2312" w:hAnsi="仿宋_GB2312" w:eastAsia="仿宋_GB2312"/>
          <w:b/>
          <w:sz w:val="32"/>
        </w:rPr>
        <w:t>具体情况如下：</w:t>
      </w:r>
    </w:p>
    <w:p w14:paraId="4E88BCB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F53B9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车辆借用其他单位使用，由使用单位支付相应费用。</w:t>
      </w:r>
    </w:p>
    <w:p w14:paraId="0FFFC5F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08F60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7F8CDB6">
      <w:pPr>
        <w:spacing w:line="640" w:lineRule="exact"/>
        <w:ind w:firstLine="640"/>
        <w:jc w:val="both"/>
        <w:outlineLvl w:val="2"/>
      </w:pPr>
      <w:r>
        <w:rPr>
          <w:rFonts w:ascii="黑体" w:hAnsi="黑体" w:eastAsia="黑体"/>
          <w:sz w:val="32"/>
        </w:rPr>
        <w:t>十、其他重要事项的情况说明</w:t>
      </w:r>
    </w:p>
    <w:p w14:paraId="40F7202E">
      <w:pPr>
        <w:spacing w:line="640" w:lineRule="exact"/>
        <w:ind w:firstLine="640"/>
        <w:jc w:val="both"/>
        <w:outlineLvl w:val="3"/>
      </w:pPr>
      <w:r>
        <w:rPr>
          <w:rFonts w:ascii="楷体_GB2312" w:hAnsi="楷体_GB2312" w:eastAsia="楷体_GB2312"/>
          <w:b/>
          <w:sz w:val="32"/>
        </w:rPr>
        <w:t>（一）机关运行经费及公用经费支出情况</w:t>
      </w:r>
    </w:p>
    <w:p w14:paraId="6C759B85">
      <w:pPr>
        <w:spacing w:line="580" w:lineRule="exact"/>
        <w:ind w:firstLine="640"/>
        <w:jc w:val="both"/>
      </w:pPr>
      <w:r>
        <w:rPr>
          <w:rFonts w:ascii="仿宋_GB2312" w:hAnsi="仿宋_GB2312" w:eastAsia="仿宋_GB2312"/>
          <w:b w:val="0"/>
          <w:sz w:val="32"/>
        </w:rPr>
        <w:t>2024年度叶城县总工会（行政单位和参照公务员法管理事业单位）机关运行经费支出1.51万元，比上年增加0.21万元，增长16.15%，主要原因是：本年更新、维护补充办公用品，导致机关运行经费较上年增加。</w:t>
      </w:r>
    </w:p>
    <w:p w14:paraId="294B96E4">
      <w:pPr>
        <w:spacing w:line="640" w:lineRule="exact"/>
        <w:ind w:firstLine="640"/>
        <w:jc w:val="both"/>
        <w:outlineLvl w:val="3"/>
      </w:pPr>
      <w:r>
        <w:rPr>
          <w:rFonts w:ascii="楷体_GB2312" w:hAnsi="楷体_GB2312" w:eastAsia="楷体_GB2312"/>
          <w:b/>
          <w:sz w:val="32"/>
        </w:rPr>
        <w:t>（二）政府采购情况</w:t>
      </w:r>
    </w:p>
    <w:p w14:paraId="7E82DEB5">
      <w:pPr>
        <w:spacing w:line="580" w:lineRule="exact"/>
        <w:ind w:firstLine="640"/>
        <w:jc w:val="both"/>
      </w:pPr>
      <w:r>
        <w:rPr>
          <w:rFonts w:ascii="仿宋_GB2312" w:hAnsi="仿宋_GB2312" w:eastAsia="仿宋_GB2312"/>
          <w:b w:val="0"/>
          <w:sz w:val="32"/>
        </w:rPr>
        <w:t>2024年度政府采购支出总额29.62万元，其中：政府采购货物支出23.63万元、政府采购工程支出0.00万元、政府采购服务支出6.00万元。</w:t>
      </w:r>
    </w:p>
    <w:p w14:paraId="03DB109A">
      <w:pPr>
        <w:spacing w:line="580" w:lineRule="exact"/>
        <w:ind w:firstLine="640"/>
        <w:jc w:val="both"/>
      </w:pPr>
      <w:r>
        <w:rPr>
          <w:rFonts w:ascii="仿宋_GB2312" w:hAnsi="仿宋_GB2312" w:eastAsia="仿宋_GB2312"/>
          <w:b w:val="0"/>
          <w:sz w:val="32"/>
        </w:rPr>
        <w:t>授予中小企业合同金额29.05万元，占政府采购支出总额的98.08%，其中：授予小微企业合同金额21.81万元，占政府采购支出总额的73.63%。</w:t>
      </w:r>
    </w:p>
    <w:p w14:paraId="39E89B7F">
      <w:pPr>
        <w:spacing w:line="640" w:lineRule="exact"/>
        <w:ind w:firstLine="640"/>
        <w:jc w:val="both"/>
        <w:outlineLvl w:val="3"/>
      </w:pPr>
      <w:r>
        <w:rPr>
          <w:rFonts w:ascii="楷体_GB2312" w:hAnsi="楷体_GB2312" w:eastAsia="楷体_GB2312"/>
          <w:b/>
          <w:sz w:val="32"/>
        </w:rPr>
        <w:t>（三）国有资产占用情况说明</w:t>
      </w:r>
    </w:p>
    <w:p w14:paraId="3045FAC1">
      <w:pPr>
        <w:spacing w:line="580" w:lineRule="exact"/>
        <w:ind w:firstLine="640"/>
        <w:jc w:val="both"/>
      </w:pPr>
      <w:r>
        <w:rPr>
          <w:rFonts w:ascii="仿宋_GB2312" w:hAnsi="仿宋_GB2312" w:eastAsia="仿宋_GB2312"/>
          <w:b w:val="0"/>
          <w:sz w:val="32"/>
        </w:rPr>
        <w:t>截至2024年12月31日，房屋929.46平方米，价值277.73万元。车辆1辆，价值16.73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业务用车。单价100万元（含）以上设备（不含车辆）0台（套）。</w:t>
      </w:r>
    </w:p>
    <w:p w14:paraId="3763E633">
      <w:pPr>
        <w:spacing w:line="640" w:lineRule="exact"/>
        <w:ind w:firstLine="640"/>
        <w:jc w:val="both"/>
        <w:outlineLvl w:val="2"/>
      </w:pPr>
      <w:r>
        <w:rPr>
          <w:rFonts w:ascii="黑体" w:hAnsi="黑体" w:eastAsia="黑体"/>
          <w:sz w:val="32"/>
        </w:rPr>
        <w:t>十一、预算绩效的情况说明</w:t>
      </w:r>
    </w:p>
    <w:p w14:paraId="7974D54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155.99万元，实际执行总额155.99万元；预算绩效评价项目0个，全年预算数0.00万元，全年执行数0.00万元。预算绩效管理取得的成效：本年</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无绩效自评项目。发现的问题及原因：本年</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无绩效自评项目。下一步改进措施：本年</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3CFFA49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32D933">
        <w:tblPrEx>
          <w:tblCellMar>
            <w:top w:w="0" w:type="dxa"/>
            <w:left w:w="108" w:type="dxa"/>
            <w:bottom w:w="0" w:type="dxa"/>
            <w:right w:w="108" w:type="dxa"/>
          </w:tblCellMar>
        </w:tblPrEx>
        <w:tc>
          <w:tcPr>
            <w:tcW w:w="8847" w:type="dxa"/>
            <w:gridSpan w:val="9"/>
            <w:vAlign w:val="center"/>
          </w:tcPr>
          <w:p w14:paraId="4AEC6525">
            <w:pPr>
              <w:jc w:val="center"/>
            </w:pPr>
            <w:r>
              <w:rPr>
                <w:rFonts w:ascii="宋体" w:hAnsi="宋体" w:eastAsia="宋体"/>
                <w:sz w:val="24"/>
              </w:rPr>
              <w:t>单位整体支出绩效自评表</w:t>
            </w:r>
          </w:p>
        </w:tc>
      </w:tr>
      <w:tr w14:paraId="3F4AC6E6">
        <w:tblPrEx>
          <w:tblCellMar>
            <w:top w:w="0" w:type="dxa"/>
            <w:left w:w="108" w:type="dxa"/>
            <w:bottom w:w="0" w:type="dxa"/>
            <w:right w:w="108" w:type="dxa"/>
          </w:tblCellMar>
        </w:tblPrEx>
        <w:tc>
          <w:tcPr>
            <w:tcW w:w="8847" w:type="dxa"/>
            <w:gridSpan w:val="9"/>
            <w:vAlign w:val="center"/>
          </w:tcPr>
          <w:p w14:paraId="3D079462">
            <w:pPr>
              <w:jc w:val="center"/>
            </w:pPr>
            <w:r>
              <w:rPr>
                <w:rFonts w:ascii="宋体" w:hAnsi="宋体" w:eastAsia="宋体"/>
                <w:sz w:val="24"/>
              </w:rPr>
              <w:t>（2024年度）</w:t>
            </w:r>
          </w:p>
        </w:tc>
      </w:tr>
      <w:tr w14:paraId="48FAAF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C08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DCC6C6">
            <w:pPr>
              <w:jc w:val="center"/>
            </w:pPr>
            <w:r>
              <w:rPr>
                <w:rFonts w:ascii="宋体" w:hAnsi="宋体" w:eastAsia="宋体"/>
                <w:sz w:val="16"/>
              </w:rPr>
              <w:t>叶城县总工会</w:t>
            </w:r>
          </w:p>
        </w:tc>
      </w:tr>
      <w:tr w14:paraId="28B1FC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CF5C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AB10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864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39C6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153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149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144A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B76BD">
            <w:pPr>
              <w:jc w:val="center"/>
            </w:pPr>
            <w:r>
              <w:rPr>
                <w:rFonts w:ascii="宋体" w:hAnsi="宋体" w:eastAsia="宋体"/>
                <w:sz w:val="16"/>
              </w:rPr>
              <w:t>得分</w:t>
            </w:r>
          </w:p>
        </w:tc>
      </w:tr>
      <w:tr w14:paraId="06CC87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D7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7759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086A9">
            <w:pPr>
              <w:jc w:val="center"/>
            </w:pPr>
            <w:r>
              <w:rPr>
                <w:rFonts w:ascii="宋体" w:hAnsi="宋体" w:eastAsia="宋体"/>
                <w:sz w:val="16"/>
              </w:rPr>
              <w:t>183.34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0F863">
            <w:pPr>
              <w:jc w:val="center"/>
            </w:pPr>
            <w:r>
              <w:rPr>
                <w:rFonts w:ascii="宋体" w:hAnsi="宋体" w:eastAsia="宋体"/>
                <w:sz w:val="16"/>
              </w:rPr>
              <w:t>155.99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BE27">
            <w:pPr>
              <w:jc w:val="center"/>
            </w:pPr>
            <w:r>
              <w:rPr>
                <w:rFonts w:ascii="宋体" w:hAnsi="宋体" w:eastAsia="宋体"/>
                <w:sz w:val="16"/>
              </w:rPr>
              <w:t>155.99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1D7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6FF3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EBAA">
            <w:pPr>
              <w:jc w:val="center"/>
            </w:pPr>
            <w:r>
              <w:rPr>
                <w:rFonts w:ascii="宋体" w:hAnsi="宋体" w:eastAsia="宋体"/>
                <w:sz w:val="16"/>
              </w:rPr>
              <w:t>10</w:t>
            </w:r>
          </w:p>
        </w:tc>
      </w:tr>
      <w:tr w14:paraId="5C6E5B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444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46E1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3D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0A1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03D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CC3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D88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57813">
            <w:pPr>
              <w:jc w:val="center"/>
            </w:pPr>
            <w:r>
              <w:rPr>
                <w:rFonts w:ascii="宋体" w:hAnsi="宋体" w:eastAsia="宋体"/>
                <w:sz w:val="16"/>
              </w:rPr>
              <w:t>—</w:t>
            </w:r>
          </w:p>
        </w:tc>
      </w:tr>
      <w:tr w14:paraId="562861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825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E7FA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A18E3">
            <w:pPr>
              <w:jc w:val="center"/>
            </w:pPr>
            <w:r>
              <w:rPr>
                <w:rFonts w:ascii="宋体" w:hAnsi="宋体" w:eastAsia="宋体"/>
                <w:sz w:val="16"/>
              </w:rPr>
              <w:t>183.34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D902E">
            <w:pPr>
              <w:jc w:val="center"/>
            </w:pPr>
            <w:r>
              <w:rPr>
                <w:rFonts w:ascii="宋体" w:hAnsi="宋体" w:eastAsia="宋体"/>
                <w:sz w:val="16"/>
              </w:rPr>
              <w:t>155.99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D2254">
            <w:pPr>
              <w:jc w:val="center"/>
            </w:pPr>
            <w:r>
              <w:rPr>
                <w:rFonts w:ascii="宋体" w:hAnsi="宋体" w:eastAsia="宋体"/>
                <w:sz w:val="16"/>
              </w:rPr>
              <w:t>155.99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83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D90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93A07">
            <w:pPr>
              <w:jc w:val="center"/>
            </w:pPr>
            <w:r>
              <w:rPr>
                <w:rFonts w:ascii="宋体" w:hAnsi="宋体" w:eastAsia="宋体"/>
                <w:sz w:val="16"/>
              </w:rPr>
              <w:t>—</w:t>
            </w:r>
          </w:p>
        </w:tc>
      </w:tr>
      <w:tr w14:paraId="6D4ED7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EA9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B96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19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E7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297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A1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49C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8442">
            <w:pPr>
              <w:jc w:val="center"/>
            </w:pPr>
            <w:r>
              <w:rPr>
                <w:rFonts w:ascii="宋体" w:hAnsi="宋体" w:eastAsia="宋体"/>
                <w:sz w:val="16"/>
              </w:rPr>
              <w:t>—</w:t>
            </w:r>
          </w:p>
        </w:tc>
      </w:tr>
      <w:tr w14:paraId="3810C5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5DDA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4CB4B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91B411">
            <w:pPr>
              <w:jc w:val="center"/>
            </w:pPr>
            <w:r>
              <w:rPr>
                <w:rFonts w:ascii="宋体" w:hAnsi="宋体" w:eastAsia="宋体"/>
                <w:sz w:val="16"/>
              </w:rPr>
              <w:t>实际完成情况</w:t>
            </w:r>
          </w:p>
        </w:tc>
      </w:tr>
      <w:tr w14:paraId="442C75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A7BA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3ADB78">
            <w:pPr>
              <w:jc w:val="both"/>
            </w:pPr>
            <w:r>
              <w:rPr>
                <w:rFonts w:ascii="宋体" w:hAnsi="宋体" w:eastAsia="宋体"/>
                <w:sz w:val="16"/>
              </w:rPr>
              <w:t>新疆维吾尔自治区喀什地区叶城县总工会机关在改革中要改进运行机制，一是履行工会的维护职能，加强为基层和职工群众服务，密切联系职工群众，推进工会组织的群众化、民主化和法治化。二是改进机关工作作风和活动方式。三是坚持从群众中来，到群众中去的工作方法，贴近实际，贴近群众，逐步形成充分体现工会代表职工、为基层和职工群众服务的运行机制。</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C22FC0">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2024年全年预算金额为155.99万元，执行金额为155.99万元，执行率为100%，职工保障权益政策宣传覆盖面100%、基层工会组建改选规范性100%、提高基层和职工群众服务水平100%，贴近实际，贴近群众，逐步形成充分体现工会代表职工、为基层和职工群众服务的运行机制。</w:t>
            </w:r>
          </w:p>
        </w:tc>
      </w:tr>
      <w:tr w14:paraId="4B24FD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E07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72B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6EB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C491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636D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528D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A891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6E0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A9BA8">
            <w:pPr>
              <w:jc w:val="center"/>
            </w:pPr>
            <w:r>
              <w:rPr>
                <w:rFonts w:ascii="宋体" w:hAnsi="宋体" w:eastAsia="宋体"/>
                <w:sz w:val="16"/>
              </w:rPr>
              <w:t>得分</w:t>
            </w:r>
          </w:p>
        </w:tc>
      </w:tr>
      <w:tr w14:paraId="6F7066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3B286">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0DF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56259">
            <w:pPr>
              <w:jc w:val="center"/>
            </w:pPr>
            <w:r>
              <w:rPr>
                <w:rFonts w:ascii="宋体" w:hAnsi="宋体" w:eastAsia="宋体"/>
                <w:sz w:val="16"/>
              </w:rPr>
              <w:t>示范工会组织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5A80">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2537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444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D7D3">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C33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BE24">
            <w:pPr>
              <w:jc w:val="center"/>
            </w:pPr>
            <w:r>
              <w:rPr>
                <w:rFonts w:ascii="宋体" w:hAnsi="宋体" w:eastAsia="宋体"/>
                <w:sz w:val="16"/>
              </w:rPr>
              <w:t>18</w:t>
            </w:r>
          </w:p>
        </w:tc>
      </w:tr>
      <w:tr w14:paraId="4470F3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9BFD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286F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68270">
            <w:pPr>
              <w:jc w:val="center"/>
            </w:pPr>
            <w:r>
              <w:rPr>
                <w:rFonts w:ascii="宋体" w:hAnsi="宋体" w:eastAsia="宋体"/>
                <w:sz w:val="16"/>
              </w:rPr>
              <w:t>提高基层和职工群众服务水平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C77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6470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D4CC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A4C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ED9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1350">
            <w:pPr>
              <w:jc w:val="center"/>
            </w:pPr>
            <w:r>
              <w:rPr>
                <w:rFonts w:ascii="宋体" w:hAnsi="宋体" w:eastAsia="宋体"/>
                <w:sz w:val="16"/>
              </w:rPr>
              <w:t>18</w:t>
            </w:r>
          </w:p>
        </w:tc>
      </w:tr>
      <w:tr w14:paraId="15662D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23F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CFA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A377">
            <w:pPr>
              <w:jc w:val="center"/>
            </w:pPr>
            <w:r>
              <w:rPr>
                <w:rFonts w:ascii="宋体" w:hAnsi="宋体" w:eastAsia="宋体"/>
                <w:sz w:val="16"/>
              </w:rPr>
              <w:t>基层工会组建改选规范性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24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953F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D1E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278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61C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47DBF">
            <w:pPr>
              <w:jc w:val="center"/>
            </w:pPr>
            <w:r>
              <w:rPr>
                <w:rFonts w:ascii="宋体" w:hAnsi="宋体" w:eastAsia="宋体"/>
                <w:sz w:val="16"/>
              </w:rPr>
              <w:t>18</w:t>
            </w:r>
          </w:p>
        </w:tc>
      </w:tr>
      <w:tr w14:paraId="403E9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5F5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092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9BF24">
            <w:pPr>
              <w:jc w:val="center"/>
            </w:pPr>
            <w:r>
              <w:rPr>
                <w:rFonts w:ascii="宋体" w:hAnsi="宋体" w:eastAsia="宋体"/>
                <w:sz w:val="16"/>
              </w:rPr>
              <w:t>职工保障权益政策宣传覆盖面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73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1DB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A018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C60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DD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BA58">
            <w:pPr>
              <w:jc w:val="center"/>
            </w:pPr>
            <w:r>
              <w:rPr>
                <w:rFonts w:ascii="宋体" w:hAnsi="宋体" w:eastAsia="宋体"/>
                <w:sz w:val="16"/>
              </w:rPr>
              <w:t>18</w:t>
            </w:r>
          </w:p>
        </w:tc>
      </w:tr>
      <w:tr w14:paraId="6A8435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F00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FE6E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AFC6">
            <w:pPr>
              <w:jc w:val="center"/>
            </w:pPr>
            <w:r>
              <w:rPr>
                <w:rFonts w:ascii="宋体" w:hAnsi="宋体" w:eastAsia="宋体"/>
                <w:sz w:val="16"/>
              </w:rPr>
              <w:t>职工矛盾</w:t>
            </w:r>
            <w:r>
              <w:rPr>
                <w:rFonts w:hint="eastAsia" w:ascii="宋体" w:hAnsi="宋体"/>
                <w:sz w:val="16"/>
                <w:lang w:eastAsia="zh-CN"/>
              </w:rPr>
              <w:t>调解</w:t>
            </w:r>
            <w:r>
              <w:rPr>
                <w:rFonts w:ascii="宋体" w:hAnsi="宋体" w:eastAsia="宋体"/>
                <w:sz w:val="16"/>
              </w:rPr>
              <w:t>化解及时率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5C7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B8D6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F30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7AE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017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9FCAC">
            <w:pPr>
              <w:jc w:val="center"/>
            </w:pPr>
            <w:r>
              <w:rPr>
                <w:rFonts w:ascii="宋体" w:hAnsi="宋体" w:eastAsia="宋体"/>
                <w:sz w:val="16"/>
              </w:rPr>
              <w:t>18</w:t>
            </w:r>
          </w:p>
        </w:tc>
      </w:tr>
    </w:tbl>
    <w:p w14:paraId="0FEFA6FB">
      <w:r>
        <w:br w:type="page"/>
      </w:r>
    </w:p>
    <w:p w14:paraId="1D022C77">
      <w:pPr>
        <w:spacing w:line="640" w:lineRule="exact"/>
        <w:ind w:firstLine="640"/>
        <w:jc w:val="both"/>
        <w:outlineLvl w:val="2"/>
      </w:pPr>
      <w:r>
        <w:rPr>
          <w:rFonts w:ascii="黑体" w:hAnsi="黑体" w:eastAsia="黑体"/>
          <w:sz w:val="32"/>
        </w:rPr>
        <w:t>十二、其他需说明的事项</w:t>
      </w:r>
    </w:p>
    <w:p w14:paraId="410BC8E7">
      <w:pPr>
        <w:spacing w:line="580" w:lineRule="exact"/>
        <w:ind w:firstLine="640"/>
        <w:jc w:val="both"/>
      </w:pPr>
      <w:r>
        <w:rPr>
          <w:rFonts w:hint="eastAsia" w:ascii="仿宋_GB2312" w:hAnsi="仿宋_GB2312" w:eastAsia="仿宋_GB2312"/>
          <w:b w:val="0"/>
          <w:sz w:val="32"/>
        </w:rPr>
        <w:t>本单位无其他需说明的事项。</w:t>
      </w:r>
    </w:p>
    <w:p w14:paraId="1B5E1DA3">
      <w:r>
        <w:br w:type="page"/>
      </w:r>
    </w:p>
    <w:p w14:paraId="779BED58">
      <w:pPr>
        <w:spacing w:line="240" w:lineRule="auto"/>
        <w:jc w:val="center"/>
        <w:outlineLvl w:val="1"/>
      </w:pPr>
      <w:r>
        <w:rPr>
          <w:rFonts w:ascii="黑体" w:hAnsi="黑体" w:eastAsia="黑体"/>
          <w:sz w:val="32"/>
        </w:rPr>
        <w:t>第三部分 专业名词解释</w:t>
      </w:r>
    </w:p>
    <w:p w14:paraId="395D761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8C9698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32CA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E30C9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64B91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E5C1F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E2169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E15C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A7272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4E84E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1DB46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56097B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F0838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58E34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D75DD7">
      <w:r>
        <w:br w:type="page"/>
      </w:r>
    </w:p>
    <w:p w14:paraId="2DE4179B">
      <w:pPr>
        <w:spacing w:line="240" w:lineRule="auto"/>
        <w:jc w:val="center"/>
        <w:outlineLvl w:val="1"/>
      </w:pPr>
      <w:r>
        <w:rPr>
          <w:rFonts w:ascii="黑体" w:hAnsi="黑体" w:eastAsia="黑体"/>
          <w:sz w:val="32"/>
        </w:rPr>
        <w:t>第四部分 部门决算报表（见附表）</w:t>
      </w:r>
    </w:p>
    <w:p w14:paraId="29931C75">
      <w:pPr>
        <w:spacing w:line="240" w:lineRule="auto"/>
        <w:ind w:firstLine="640"/>
        <w:jc w:val="both"/>
      </w:pPr>
      <w:r>
        <w:rPr>
          <w:rFonts w:ascii="仿宋_GB2312" w:hAnsi="仿宋_GB2312" w:eastAsia="仿宋_GB2312"/>
          <w:b w:val="0"/>
          <w:sz w:val="32"/>
        </w:rPr>
        <w:t>一、《收入支出决算总表》</w:t>
      </w:r>
    </w:p>
    <w:p w14:paraId="10A4D8D9">
      <w:pPr>
        <w:spacing w:line="240" w:lineRule="auto"/>
        <w:ind w:firstLine="640"/>
        <w:jc w:val="both"/>
      </w:pPr>
      <w:r>
        <w:rPr>
          <w:rFonts w:ascii="仿宋_GB2312" w:hAnsi="仿宋_GB2312" w:eastAsia="仿宋_GB2312"/>
          <w:b w:val="0"/>
          <w:sz w:val="32"/>
        </w:rPr>
        <w:t>二、《收入决算表》</w:t>
      </w:r>
    </w:p>
    <w:p w14:paraId="2E95B303">
      <w:pPr>
        <w:spacing w:line="240" w:lineRule="auto"/>
        <w:ind w:firstLine="640"/>
        <w:jc w:val="both"/>
      </w:pPr>
      <w:r>
        <w:rPr>
          <w:rFonts w:ascii="仿宋_GB2312" w:hAnsi="仿宋_GB2312" w:eastAsia="仿宋_GB2312"/>
          <w:b w:val="0"/>
          <w:sz w:val="32"/>
        </w:rPr>
        <w:t>三、《支出决算表》</w:t>
      </w:r>
    </w:p>
    <w:p w14:paraId="24390152">
      <w:pPr>
        <w:spacing w:line="240" w:lineRule="auto"/>
        <w:ind w:firstLine="640"/>
        <w:jc w:val="both"/>
      </w:pPr>
      <w:r>
        <w:rPr>
          <w:rFonts w:ascii="仿宋_GB2312" w:hAnsi="仿宋_GB2312" w:eastAsia="仿宋_GB2312"/>
          <w:b w:val="0"/>
          <w:sz w:val="32"/>
        </w:rPr>
        <w:t>四、《财政拨款收入支出决算总表》</w:t>
      </w:r>
    </w:p>
    <w:p w14:paraId="07CC8188">
      <w:pPr>
        <w:spacing w:line="240" w:lineRule="auto"/>
        <w:ind w:firstLine="640"/>
        <w:jc w:val="both"/>
      </w:pPr>
      <w:r>
        <w:rPr>
          <w:rFonts w:ascii="仿宋_GB2312" w:hAnsi="仿宋_GB2312" w:eastAsia="仿宋_GB2312"/>
          <w:b w:val="0"/>
          <w:sz w:val="32"/>
        </w:rPr>
        <w:t>五、《一般公共预算财政拨款支出决算表》</w:t>
      </w:r>
    </w:p>
    <w:p w14:paraId="3E3B38B4">
      <w:pPr>
        <w:spacing w:line="240" w:lineRule="auto"/>
        <w:ind w:firstLine="640"/>
        <w:jc w:val="both"/>
      </w:pPr>
      <w:r>
        <w:rPr>
          <w:rFonts w:ascii="仿宋_GB2312" w:hAnsi="仿宋_GB2312" w:eastAsia="仿宋_GB2312"/>
          <w:b w:val="0"/>
          <w:sz w:val="32"/>
        </w:rPr>
        <w:t>六、《一般公共预算财政拨款基本支出决算表》</w:t>
      </w:r>
    </w:p>
    <w:p w14:paraId="76B17F94">
      <w:pPr>
        <w:spacing w:line="240" w:lineRule="auto"/>
        <w:ind w:firstLine="640"/>
        <w:jc w:val="both"/>
      </w:pPr>
      <w:r>
        <w:rPr>
          <w:rFonts w:ascii="仿宋_GB2312" w:hAnsi="仿宋_GB2312" w:eastAsia="仿宋_GB2312"/>
          <w:b w:val="0"/>
          <w:sz w:val="32"/>
        </w:rPr>
        <w:t>七、《政府性基金预算财政拨款收入支出决算表》</w:t>
      </w:r>
    </w:p>
    <w:p w14:paraId="124D54B8">
      <w:pPr>
        <w:spacing w:line="240" w:lineRule="auto"/>
        <w:ind w:firstLine="640"/>
        <w:jc w:val="both"/>
      </w:pPr>
      <w:r>
        <w:rPr>
          <w:rFonts w:ascii="仿宋_GB2312" w:hAnsi="仿宋_GB2312" w:eastAsia="仿宋_GB2312"/>
          <w:b w:val="0"/>
          <w:sz w:val="32"/>
        </w:rPr>
        <w:t>八、《国有资本经营预算财政拨款收入支出决算表》</w:t>
      </w:r>
    </w:p>
    <w:p w14:paraId="50272CCE">
      <w:pPr>
        <w:spacing w:line="240" w:lineRule="auto"/>
        <w:ind w:firstLine="640"/>
        <w:jc w:val="both"/>
      </w:pPr>
      <w:r>
        <w:rPr>
          <w:rFonts w:ascii="仿宋_GB2312" w:hAnsi="仿宋_GB2312" w:eastAsia="仿宋_GB2312"/>
          <w:b w:val="0"/>
          <w:sz w:val="32"/>
        </w:rPr>
        <w:t>九、《财政拨款“三公”经费支出决算表》</w:t>
      </w:r>
    </w:p>
    <w:p w14:paraId="3D09F6CA">
      <w:pPr>
        <w:spacing w:line="240" w:lineRule="auto"/>
        <w:ind w:firstLine="640"/>
        <w:jc w:val="both"/>
      </w:pPr>
    </w:p>
    <w:p w14:paraId="4B88D84D">
      <w:pPr>
        <w:spacing w:line="240" w:lineRule="auto"/>
        <w:ind w:firstLine="640"/>
        <w:jc w:val="both"/>
      </w:pPr>
    </w:p>
    <w:p w14:paraId="5A6E4281">
      <w:pPr>
        <w:spacing w:line="240" w:lineRule="auto"/>
        <w:ind w:firstLine="640"/>
        <w:jc w:val="both"/>
      </w:pPr>
    </w:p>
    <w:p w14:paraId="2492299C">
      <w:pPr>
        <w:spacing w:line="240" w:lineRule="auto"/>
        <w:ind w:firstLine="640"/>
        <w:jc w:val="both"/>
      </w:pPr>
    </w:p>
    <w:p w14:paraId="653FE3C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CA5FC0"/>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E75A3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5654</Words>
  <Characters>6463</Characters>
  <Lines>0</Lines>
  <Paragraphs>0</Paragraphs>
  <TotalTime>9</TotalTime>
  <ScaleCrop>false</ScaleCrop>
  <LinksUpToDate>false</LinksUpToDate>
  <CharactersWithSpaces>6473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