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叶城县行政服务中心2024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085EC89">
      <w:r>
        <w:br w:type="page"/>
      </w:r>
    </w:p>
    <w:p w14:paraId="1B296891">
      <w:pPr>
        <w:spacing w:line="640" w:lineRule="exact"/>
        <w:jc w:val="center"/>
        <w:outlineLvl w:val="1"/>
      </w:pPr>
      <w:r>
        <w:rPr>
          <w:rFonts w:ascii="黑体" w:hAnsi="黑体" w:eastAsia="黑体"/>
          <w:sz w:val="32"/>
        </w:rPr>
        <w:t>第一部分 单位概况</w:t>
      </w:r>
    </w:p>
    <w:p w14:paraId="0BDC9A63">
      <w:pPr>
        <w:spacing w:line="640" w:lineRule="exact"/>
        <w:ind w:firstLine="640"/>
        <w:jc w:val="both"/>
        <w:outlineLvl w:val="2"/>
      </w:pPr>
      <w:r>
        <w:rPr>
          <w:rFonts w:ascii="黑体" w:hAnsi="黑体" w:eastAsia="黑体"/>
          <w:sz w:val="32"/>
        </w:rPr>
        <w:t>一、主要职能</w:t>
      </w:r>
    </w:p>
    <w:p w14:paraId="5263DC0E">
      <w:pPr>
        <w:spacing w:line="580" w:lineRule="exact"/>
        <w:ind w:firstLine="640"/>
        <w:jc w:val="both"/>
      </w:pPr>
      <w:r>
        <w:rPr>
          <w:rFonts w:ascii="仿宋_GB2312" w:hAnsi="仿宋_GB2312" w:eastAsia="仿宋_GB2312"/>
          <w:sz w:val="32"/>
        </w:rPr>
        <w:t>贯彻落实国家、自治区、地区深化“放管服”改革有关线下“只进一扇门”，现场办理“最多跑一次”，政务服务“一网通办”的工作要求，负责一站式服务平台和政务</w:t>
      </w:r>
      <w:r>
        <w:rPr>
          <w:rFonts w:hint="eastAsia" w:ascii="仿宋_GB2312" w:hAnsi="仿宋_GB2312" w:eastAsia="仿宋_GB2312"/>
          <w:sz w:val="32"/>
          <w:lang w:eastAsia="zh-CN"/>
        </w:rPr>
        <w:t>电子信息</w:t>
      </w:r>
      <w:r>
        <w:rPr>
          <w:rFonts w:ascii="仿宋_GB2312" w:hAnsi="仿宋_GB2312" w:eastAsia="仿宋_GB2312"/>
          <w:sz w:val="32"/>
        </w:rPr>
        <w:t>系统的建设管理；负责对进驻单位事项办理实施组织、协调、监督管理，简化、优化办事流程；制定政务服务窗口事项办理考核评价体系，对进驻的窗口工作人员进行业务培训、考核。</w:t>
      </w:r>
    </w:p>
    <w:p w14:paraId="0FA4EB2D">
      <w:pPr>
        <w:spacing w:line="640" w:lineRule="exact"/>
        <w:ind w:firstLine="640"/>
        <w:jc w:val="both"/>
        <w:outlineLvl w:val="2"/>
      </w:pPr>
      <w:r>
        <w:rPr>
          <w:rFonts w:ascii="黑体" w:hAnsi="黑体" w:eastAsia="黑体"/>
          <w:sz w:val="32"/>
        </w:rPr>
        <w:t>二、机构设置及人员情况</w:t>
      </w:r>
    </w:p>
    <w:p w14:paraId="300AD63C">
      <w:pPr>
        <w:spacing w:line="580" w:lineRule="exact"/>
        <w:ind w:firstLine="640"/>
        <w:jc w:val="both"/>
      </w:pPr>
      <w:r>
        <w:rPr>
          <w:rFonts w:ascii="仿宋_GB2312" w:hAnsi="仿宋_GB2312" w:eastAsia="仿宋_GB2312"/>
          <w:sz w:val="32"/>
        </w:rPr>
        <w:t>叶城县行政服务中心2024年度，实有人数9人，其中：在职人员9人，增加4人；离休人员0人，增加0人；退休人员0人,增加0人。</w:t>
      </w:r>
    </w:p>
    <w:p w14:paraId="5DF1005B">
      <w:pPr>
        <w:spacing w:line="580" w:lineRule="exact"/>
        <w:ind w:firstLine="640"/>
        <w:jc w:val="both"/>
      </w:pPr>
      <w:r>
        <w:rPr>
          <w:rFonts w:ascii="仿宋_GB2312" w:hAnsi="仿宋_GB2312" w:eastAsia="仿宋_GB2312"/>
          <w:sz w:val="32"/>
        </w:rPr>
        <w:t>叶城县行政服务中心无下属预算单位，下设1个科室，分别是：办公室。</w:t>
      </w:r>
    </w:p>
    <w:p w14:paraId="19BBD992">
      <w:r>
        <w:br w:type="page"/>
      </w:r>
    </w:p>
    <w:p w14:paraId="16B99657">
      <w:pPr>
        <w:spacing w:line="240" w:lineRule="auto"/>
        <w:jc w:val="center"/>
        <w:outlineLvl w:val="1"/>
      </w:pPr>
      <w:r>
        <w:rPr>
          <w:rFonts w:ascii="黑体" w:hAnsi="黑体" w:eastAsia="黑体"/>
          <w:sz w:val="32"/>
        </w:rPr>
        <w:t>第二部分 部门决算情况说明</w:t>
      </w:r>
    </w:p>
    <w:p w14:paraId="38D40DFE">
      <w:pPr>
        <w:spacing w:line="640" w:lineRule="exact"/>
        <w:ind w:firstLine="640"/>
        <w:jc w:val="both"/>
        <w:outlineLvl w:val="2"/>
      </w:pPr>
      <w:r>
        <w:rPr>
          <w:rFonts w:ascii="黑体" w:hAnsi="黑体" w:eastAsia="黑体"/>
          <w:sz w:val="32"/>
        </w:rPr>
        <w:t>一、收入支出决算总体情况说明</w:t>
      </w:r>
    </w:p>
    <w:p w14:paraId="1DFC84FE">
      <w:pPr>
        <w:spacing w:line="580" w:lineRule="exact"/>
        <w:ind w:firstLine="640"/>
        <w:jc w:val="both"/>
      </w:pPr>
      <w:r>
        <w:rPr>
          <w:rFonts w:ascii="仿宋_GB2312" w:hAnsi="仿宋_GB2312" w:eastAsia="仿宋_GB2312"/>
          <w:b/>
          <w:sz w:val="32"/>
        </w:rPr>
        <w:t>2024年度收入总计341.08万元，</w:t>
      </w:r>
      <w:r>
        <w:rPr>
          <w:rFonts w:ascii="仿宋_GB2312" w:hAnsi="仿宋_GB2312" w:eastAsia="仿宋_GB2312"/>
          <w:b w:val="0"/>
          <w:sz w:val="32"/>
        </w:rPr>
        <w:t>其中：本年收入合计341.08万元，使用非财政拨款结余（含专用结余）0.00万元，年初结转和结余0.00万元。</w:t>
      </w:r>
    </w:p>
    <w:p w14:paraId="31EBD4FA">
      <w:pPr>
        <w:spacing w:line="580" w:lineRule="exact"/>
        <w:ind w:firstLine="640"/>
        <w:jc w:val="both"/>
      </w:pPr>
      <w:r>
        <w:rPr>
          <w:rFonts w:ascii="仿宋_GB2312" w:hAnsi="仿宋_GB2312" w:eastAsia="仿宋_GB2312"/>
          <w:b/>
          <w:sz w:val="32"/>
        </w:rPr>
        <w:t>2024年度支出总计341.08万元，</w:t>
      </w:r>
      <w:r>
        <w:rPr>
          <w:rFonts w:ascii="仿宋_GB2312" w:hAnsi="仿宋_GB2312" w:eastAsia="仿宋_GB2312"/>
          <w:b w:val="0"/>
          <w:sz w:val="32"/>
        </w:rPr>
        <w:t>其中：本年支出合计341.08万元，结余分配0.00万元，年末结转和结余0.00万元。</w:t>
      </w:r>
    </w:p>
    <w:p w14:paraId="1E4CBC7F">
      <w:pPr>
        <w:spacing w:line="580" w:lineRule="exact"/>
        <w:ind w:firstLine="640"/>
        <w:jc w:val="both"/>
      </w:pPr>
      <w:r>
        <w:rPr>
          <w:rFonts w:ascii="仿宋_GB2312" w:hAnsi="仿宋_GB2312" w:eastAsia="仿宋_GB2312"/>
          <w:b w:val="0"/>
          <w:sz w:val="32"/>
        </w:rPr>
        <w:t>收入支出总体与上年相比，增加21.81万元，增长6.83%，主要原因是：一是本年增加叶城县行政服务中心运转经费项目（第二批）、叶城县行政服务中心运转工作经费等项目；二是本年在职人员增加，在职人员工资调增、社保、公积金基数调增，人员经费增加。</w:t>
      </w:r>
    </w:p>
    <w:p w14:paraId="7001B7F9">
      <w:pPr>
        <w:spacing w:line="640" w:lineRule="exact"/>
        <w:ind w:firstLine="640"/>
        <w:jc w:val="both"/>
        <w:outlineLvl w:val="2"/>
      </w:pPr>
      <w:r>
        <w:rPr>
          <w:rFonts w:ascii="黑体" w:hAnsi="黑体" w:eastAsia="黑体"/>
          <w:sz w:val="32"/>
        </w:rPr>
        <w:t>二、收入决算情况说明</w:t>
      </w:r>
    </w:p>
    <w:p w14:paraId="3F0C50A3">
      <w:pPr>
        <w:spacing w:line="580" w:lineRule="exact"/>
        <w:ind w:firstLine="640"/>
        <w:jc w:val="both"/>
      </w:pPr>
      <w:r>
        <w:rPr>
          <w:rFonts w:ascii="仿宋_GB2312" w:hAnsi="仿宋_GB2312" w:eastAsia="仿宋_GB2312"/>
          <w:b/>
          <w:sz w:val="32"/>
        </w:rPr>
        <w:t>本年收入341.08万元，</w:t>
      </w:r>
      <w:r>
        <w:rPr>
          <w:rFonts w:ascii="仿宋_GB2312" w:hAnsi="仿宋_GB2312" w:eastAsia="仿宋_GB2312"/>
          <w:b w:val="0"/>
          <w:sz w:val="32"/>
        </w:rPr>
        <w:t>其中：财政拨款收入281.20万元，占82.44%；上级补助收入0.00万元，占0.00%；事业收入0.00万元，占0.00%；经营收入0.00万元，占0.00%；附属单位上缴收入0.00万元，占0.00%；其他收入59.88万元，占17.56%。</w:t>
      </w:r>
    </w:p>
    <w:p w14:paraId="5DF1D0CF">
      <w:pPr>
        <w:spacing w:line="640" w:lineRule="exact"/>
        <w:ind w:firstLine="640"/>
        <w:jc w:val="both"/>
        <w:outlineLvl w:val="2"/>
      </w:pPr>
      <w:r>
        <w:rPr>
          <w:rFonts w:ascii="黑体" w:hAnsi="黑体" w:eastAsia="黑体"/>
          <w:sz w:val="32"/>
        </w:rPr>
        <w:t>三、支出决算情况说明</w:t>
      </w:r>
    </w:p>
    <w:p w14:paraId="7D92BBC5">
      <w:pPr>
        <w:spacing w:line="580" w:lineRule="exact"/>
        <w:ind w:firstLine="640"/>
        <w:jc w:val="both"/>
      </w:pPr>
      <w:r>
        <w:rPr>
          <w:rFonts w:ascii="仿宋_GB2312" w:hAnsi="仿宋_GB2312" w:eastAsia="仿宋_GB2312"/>
          <w:b/>
          <w:sz w:val="32"/>
        </w:rPr>
        <w:t>本年支出341.08万元，</w:t>
      </w:r>
      <w:r>
        <w:rPr>
          <w:rFonts w:ascii="仿宋_GB2312" w:hAnsi="仿宋_GB2312" w:eastAsia="仿宋_GB2312"/>
          <w:b w:val="0"/>
          <w:sz w:val="32"/>
        </w:rPr>
        <w:t>其中：基本支出186.35万元，占54.64%；项目支出154.73万元，占45.36%；上缴上级支出0.00万元，占0.00%；经营支出0.00万元，占0.00%；对附属单位补助支出0.00万元，占0.00%。</w:t>
      </w:r>
    </w:p>
    <w:p w14:paraId="09A8774D">
      <w:pPr>
        <w:spacing w:line="640" w:lineRule="exact"/>
        <w:ind w:firstLine="640"/>
        <w:jc w:val="both"/>
        <w:outlineLvl w:val="2"/>
      </w:pPr>
      <w:r>
        <w:rPr>
          <w:rFonts w:ascii="黑体" w:hAnsi="黑体" w:eastAsia="黑体"/>
          <w:sz w:val="32"/>
        </w:rPr>
        <w:t>四、财政拨款收入支出决算总体情况说明</w:t>
      </w:r>
    </w:p>
    <w:p w14:paraId="24295CEB">
      <w:pPr>
        <w:spacing w:line="580" w:lineRule="exact"/>
        <w:ind w:firstLine="640"/>
        <w:jc w:val="both"/>
      </w:pPr>
      <w:r>
        <w:rPr>
          <w:rFonts w:ascii="仿宋_GB2312" w:hAnsi="仿宋_GB2312" w:eastAsia="仿宋_GB2312"/>
          <w:b/>
          <w:sz w:val="32"/>
        </w:rPr>
        <w:t>2024年度财政拨款收入总计281.20万元，</w:t>
      </w:r>
      <w:r>
        <w:rPr>
          <w:rFonts w:ascii="仿宋_GB2312" w:hAnsi="仿宋_GB2312" w:eastAsia="仿宋_GB2312"/>
          <w:b w:val="0"/>
          <w:sz w:val="32"/>
        </w:rPr>
        <w:t>其中：年初财政拨款结转和结余0.00万元，本年财政拨款收入281.20万元。</w:t>
      </w:r>
      <w:r>
        <w:rPr>
          <w:rFonts w:ascii="仿宋_GB2312" w:hAnsi="仿宋_GB2312" w:eastAsia="仿宋_GB2312"/>
          <w:b/>
          <w:sz w:val="32"/>
        </w:rPr>
        <w:t>财政拨款支出总计281.20万元，</w:t>
      </w:r>
      <w:r>
        <w:rPr>
          <w:rFonts w:ascii="仿宋_GB2312" w:hAnsi="仿宋_GB2312" w:eastAsia="仿宋_GB2312"/>
          <w:b w:val="0"/>
          <w:sz w:val="32"/>
        </w:rPr>
        <w:t>其中：年末财政拨款结转和结余0.00万元，本年财政拨款支出281.20万元。</w:t>
      </w:r>
    </w:p>
    <w:p w14:paraId="142B2F6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98.18万元，增长53.64%，主要原因是：一是本年增加叶城县行政服务中心运转经费项目（第二批）、叶城县行政服务中心运转工作经费等项目；二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年初预算数206.62万元，决算数281.20万元，预决算差异率36.10%，主要原因是：年中追加叶城县行政服务中心运转经费项目（第二批）、叶城县行政服务中心运转工作经费等项目，导致预决算存在差异。</w:t>
      </w:r>
    </w:p>
    <w:p w14:paraId="73B7102F">
      <w:pPr>
        <w:spacing w:line="640" w:lineRule="exact"/>
        <w:ind w:firstLine="640"/>
        <w:jc w:val="both"/>
        <w:outlineLvl w:val="2"/>
      </w:pPr>
      <w:r>
        <w:rPr>
          <w:rFonts w:ascii="黑体" w:hAnsi="黑体" w:eastAsia="黑体"/>
          <w:sz w:val="32"/>
        </w:rPr>
        <w:t>五、一般公共预算财政拨款支出决算情况说明</w:t>
      </w:r>
    </w:p>
    <w:p w14:paraId="718DC5A0">
      <w:pPr>
        <w:spacing w:line="640" w:lineRule="exact"/>
        <w:ind w:firstLine="640"/>
        <w:jc w:val="both"/>
        <w:outlineLvl w:val="3"/>
      </w:pPr>
      <w:r>
        <w:rPr>
          <w:rFonts w:ascii="楷体_GB2312" w:hAnsi="楷体_GB2312" w:eastAsia="楷体_GB2312"/>
          <w:b/>
          <w:sz w:val="32"/>
        </w:rPr>
        <w:t>（一）一般公共预算财政拨款支出决算总体情况</w:t>
      </w:r>
    </w:p>
    <w:p w14:paraId="4ED2AF87">
      <w:pPr>
        <w:spacing w:line="580" w:lineRule="exact"/>
        <w:ind w:firstLine="640"/>
        <w:jc w:val="both"/>
      </w:pPr>
      <w:r>
        <w:rPr>
          <w:rFonts w:ascii="仿宋_GB2312" w:hAnsi="仿宋_GB2312" w:eastAsia="仿宋_GB2312"/>
          <w:b/>
          <w:sz w:val="32"/>
        </w:rPr>
        <w:t>2024年度一般公共预算财政拨款支出281.20万元，</w:t>
      </w:r>
      <w:r>
        <w:rPr>
          <w:rFonts w:ascii="仿宋_GB2312" w:hAnsi="仿宋_GB2312" w:eastAsia="仿宋_GB2312"/>
          <w:b w:val="0"/>
          <w:sz w:val="32"/>
        </w:rPr>
        <w:t>占本年支出合计的82.44%。</w:t>
      </w:r>
      <w:r>
        <w:rPr>
          <w:rFonts w:ascii="仿宋_GB2312" w:hAnsi="仿宋_GB2312" w:eastAsia="仿宋_GB2312"/>
          <w:b/>
          <w:sz w:val="32"/>
        </w:rPr>
        <w:t>与上年相比，</w:t>
      </w:r>
      <w:r>
        <w:rPr>
          <w:rFonts w:ascii="仿宋_GB2312" w:hAnsi="仿宋_GB2312" w:eastAsia="仿宋_GB2312"/>
          <w:b w:val="0"/>
          <w:sz w:val="32"/>
        </w:rPr>
        <w:t>增加98.18万元，增长53.64%，主要原因是：一是本年增加叶城县行政服务中心运转经费项目（第二批）、叶城县行政服务中心运转工作经费等项目；二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年初预算数206.62万元，决算数281.20万元，预决算差异率36.10%，主要原因是：年中追加叶城县行政服务中心运转经费项目（第二批）、叶城县行政服务中心运转工作经费等项目，导致预决算存在差异。</w:t>
      </w:r>
    </w:p>
    <w:p w14:paraId="01982393">
      <w:pPr>
        <w:spacing w:line="640" w:lineRule="exact"/>
        <w:ind w:firstLine="640"/>
        <w:jc w:val="both"/>
        <w:outlineLvl w:val="3"/>
      </w:pPr>
      <w:r>
        <w:rPr>
          <w:rFonts w:ascii="楷体_GB2312" w:hAnsi="楷体_GB2312" w:eastAsia="楷体_GB2312"/>
          <w:b/>
          <w:sz w:val="32"/>
        </w:rPr>
        <w:t>（二）一般公共预算财政拨款支出决算结构情况</w:t>
      </w:r>
    </w:p>
    <w:p w14:paraId="5BDD9E5A">
      <w:pPr>
        <w:spacing w:line="580" w:lineRule="exact"/>
        <w:ind w:firstLine="640"/>
        <w:jc w:val="both"/>
      </w:pPr>
      <w:r>
        <w:rPr>
          <w:rFonts w:ascii="仿宋_GB2312" w:hAnsi="仿宋_GB2312" w:eastAsia="仿宋_GB2312"/>
          <w:b w:val="0"/>
          <w:sz w:val="32"/>
        </w:rPr>
        <w:t>1.一般公共服务支出(类)237.80万元,占84.57%。</w:t>
      </w:r>
    </w:p>
    <w:p w14:paraId="3F59BEB4">
      <w:pPr>
        <w:spacing w:line="580" w:lineRule="exact"/>
        <w:ind w:firstLine="640"/>
        <w:jc w:val="both"/>
      </w:pPr>
      <w:r>
        <w:rPr>
          <w:rFonts w:ascii="仿宋_GB2312" w:hAnsi="仿宋_GB2312" w:eastAsia="仿宋_GB2312"/>
          <w:b w:val="0"/>
          <w:sz w:val="32"/>
        </w:rPr>
        <w:t>2.社会保障和就业支出(类)19.66万元,占6.99%。</w:t>
      </w:r>
    </w:p>
    <w:p w14:paraId="3EB4E8A6">
      <w:pPr>
        <w:spacing w:line="580" w:lineRule="exact"/>
        <w:ind w:firstLine="640"/>
        <w:jc w:val="both"/>
      </w:pPr>
      <w:r>
        <w:rPr>
          <w:rFonts w:ascii="仿宋_GB2312" w:hAnsi="仿宋_GB2312" w:eastAsia="仿宋_GB2312"/>
          <w:b w:val="0"/>
          <w:sz w:val="32"/>
        </w:rPr>
        <w:t>3.卫生健康支出(类)8.36万元,占2.97%。</w:t>
      </w:r>
    </w:p>
    <w:p w14:paraId="764D14AB">
      <w:pPr>
        <w:spacing w:line="580" w:lineRule="exact"/>
        <w:ind w:firstLine="640"/>
        <w:jc w:val="both"/>
      </w:pPr>
      <w:r>
        <w:rPr>
          <w:rFonts w:ascii="仿宋_GB2312" w:hAnsi="仿宋_GB2312" w:eastAsia="仿宋_GB2312"/>
          <w:b w:val="0"/>
          <w:sz w:val="32"/>
        </w:rPr>
        <w:t>4.住房保障支出(类)15.38万元,占5.47%。</w:t>
      </w:r>
    </w:p>
    <w:p w14:paraId="55F37B87">
      <w:pPr>
        <w:spacing w:line="640" w:lineRule="exact"/>
        <w:ind w:firstLine="640"/>
        <w:jc w:val="both"/>
        <w:outlineLvl w:val="3"/>
      </w:pPr>
      <w:r>
        <w:rPr>
          <w:rFonts w:ascii="楷体_GB2312" w:hAnsi="楷体_GB2312" w:eastAsia="楷体_GB2312"/>
          <w:b/>
          <w:sz w:val="32"/>
        </w:rPr>
        <w:t>（三）一般公共预算财政拨款支出决算具体情况</w:t>
      </w:r>
    </w:p>
    <w:p w14:paraId="5DEF55B6">
      <w:pPr>
        <w:spacing w:line="580" w:lineRule="exact"/>
        <w:ind w:firstLine="640"/>
        <w:jc w:val="both"/>
      </w:pPr>
      <w:r>
        <w:rPr>
          <w:rFonts w:ascii="仿宋_GB2312" w:hAnsi="仿宋_GB2312" w:eastAsia="仿宋_GB2312"/>
          <w:b w:val="0"/>
          <w:sz w:val="32"/>
        </w:rPr>
        <w:t>1.一般公共服务支出(类)政府办公厅（室）及相关机构事务(款)一般行政管理事务(项):支出决算数为77.20万元，比上年决算增加77.20万元，增长100.00%,主要原因是：本年增加叶城县行政服务中心运转经费项目（第二批）、叶城县行政服务中心运转工作经费项目等项目。</w:t>
      </w:r>
    </w:p>
    <w:p w14:paraId="50CF7E97">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142.95万元，比上年决算增加8.94万元，增长6.67%,主要原因是：本年在职人员增加，在职人员工资调增，导致相关人员经费较上年有所增加。</w:t>
      </w:r>
    </w:p>
    <w:p w14:paraId="4216CACD">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17.65万元，比上年决算增加17.65万元，增长100.00%,主要原因是：本年增加叶城县行政服务中心工勤人员工资项目。</w:t>
      </w:r>
    </w:p>
    <w:p w14:paraId="2DA0DBCC">
      <w:pPr>
        <w:spacing w:line="580" w:lineRule="exact"/>
        <w:ind w:firstLine="640"/>
        <w:jc w:val="both"/>
      </w:pPr>
      <w:r>
        <w:rPr>
          <w:rFonts w:ascii="仿宋_GB2312" w:hAnsi="仿宋_GB2312" w:eastAsia="仿宋_GB2312"/>
          <w:b w:val="0"/>
          <w:sz w:val="32"/>
        </w:rPr>
        <w:t>4.一般公共服务支出(类)其他一般公共服务支出(款)其他一般公共服务支出(项):支出决算数为0.00万元，比上年决算减少21.79万元，下降100.00%,主要原因是：本年减少公益性岗位医保、社保项目。</w:t>
      </w:r>
    </w:p>
    <w:p w14:paraId="1B1D1FD8">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19.66万元，比上年决算增加7.17万元，增长57.41%,主要原因是：本年在职人员增加，在职人员工资调增，养老缴费基数上涨，相应支出增加。</w:t>
      </w:r>
    </w:p>
    <w:p w14:paraId="7D2B41EE">
      <w:pPr>
        <w:spacing w:line="580" w:lineRule="exact"/>
        <w:ind w:firstLine="640"/>
        <w:jc w:val="both"/>
      </w:pPr>
      <w:r>
        <w:rPr>
          <w:rFonts w:ascii="仿宋_GB2312" w:hAnsi="仿宋_GB2312" w:eastAsia="仿宋_GB2312"/>
          <w:b w:val="0"/>
          <w:sz w:val="32"/>
        </w:rPr>
        <w:t>6.卫生健康支出(类)行政事业单位医疗(款)事业单位医疗(项):支出决算数为8.36万元，比上年决算增加2.99万元，增长55.68%,主要原因是：本年在职人员增加，在职人员工资调增，医疗缴费基数上涨，相应支出增加。</w:t>
      </w:r>
    </w:p>
    <w:p w14:paraId="19A2EBE7">
      <w:pPr>
        <w:spacing w:line="580" w:lineRule="exact"/>
        <w:ind w:firstLine="640"/>
        <w:jc w:val="both"/>
      </w:pPr>
      <w:r>
        <w:rPr>
          <w:rFonts w:ascii="仿宋_GB2312" w:hAnsi="仿宋_GB2312" w:eastAsia="仿宋_GB2312"/>
          <w:b w:val="0"/>
          <w:sz w:val="32"/>
        </w:rPr>
        <w:t>7.住房保障支出(类)住房改革支出(款)住房公积金(项):支出决算数为15.38万元，比上年决算增加6.03万元，增长64.49%,主要原因是：本年在职人员增加，在职人员工资调增，公积金缴费基数上涨，相应支出增加。</w:t>
      </w:r>
    </w:p>
    <w:p w14:paraId="6E006D7F">
      <w:pPr>
        <w:spacing w:line="640" w:lineRule="exact"/>
        <w:ind w:firstLine="640"/>
        <w:jc w:val="both"/>
        <w:outlineLvl w:val="2"/>
      </w:pPr>
      <w:r>
        <w:rPr>
          <w:rFonts w:ascii="黑体" w:hAnsi="黑体" w:eastAsia="黑体"/>
          <w:sz w:val="32"/>
        </w:rPr>
        <w:t>六、一般公共预算财政拨款基本支出决算情况说明</w:t>
      </w:r>
    </w:p>
    <w:p w14:paraId="124B39D3">
      <w:pPr>
        <w:spacing w:line="580" w:lineRule="exact"/>
        <w:ind w:firstLine="640"/>
        <w:jc w:val="both"/>
      </w:pPr>
      <w:r>
        <w:rPr>
          <w:rFonts w:ascii="仿宋_GB2312" w:hAnsi="仿宋_GB2312" w:eastAsia="仿宋_GB2312"/>
          <w:b w:val="0"/>
          <w:sz w:val="32"/>
        </w:rPr>
        <w:t>2024年度一般公共预算财政拨款基本支出186.35万元，其中：</w:t>
      </w:r>
      <w:r>
        <w:rPr>
          <w:rFonts w:ascii="仿宋_GB2312" w:hAnsi="仿宋_GB2312" w:eastAsia="仿宋_GB2312"/>
          <w:b/>
          <w:sz w:val="32"/>
        </w:rPr>
        <w:t>人员经费181.50万元，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0F47E0EE">
      <w:pPr>
        <w:spacing w:line="580" w:lineRule="exact"/>
        <w:ind w:firstLine="640"/>
        <w:jc w:val="both"/>
      </w:pPr>
      <w:r>
        <w:rPr>
          <w:rFonts w:ascii="仿宋_GB2312" w:hAnsi="仿宋_GB2312" w:eastAsia="仿宋_GB2312"/>
          <w:b/>
          <w:sz w:val="32"/>
        </w:rPr>
        <w:t>公用经费4.85万元，</w:t>
      </w:r>
      <w:r>
        <w:rPr>
          <w:rFonts w:ascii="仿宋_GB2312" w:hAnsi="仿宋_GB2312" w:eastAsia="仿宋_GB2312"/>
          <w:b w:val="0"/>
          <w:sz w:val="32"/>
        </w:rPr>
        <w:t>包括：办公费、印刷费、邮电费、差旅费、维修（护）费。</w:t>
      </w:r>
    </w:p>
    <w:p w14:paraId="15124E9C">
      <w:pPr>
        <w:spacing w:line="640" w:lineRule="exact"/>
        <w:ind w:firstLine="640"/>
        <w:jc w:val="both"/>
        <w:outlineLvl w:val="2"/>
      </w:pPr>
      <w:r>
        <w:rPr>
          <w:rFonts w:ascii="黑体" w:hAnsi="黑体" w:eastAsia="黑体"/>
          <w:sz w:val="32"/>
        </w:rPr>
        <w:t>七、政府性基金预算财政拨款收入支出决算情况说明</w:t>
      </w:r>
    </w:p>
    <w:p w14:paraId="376F6D1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A87C57C">
      <w:pPr>
        <w:spacing w:line="640" w:lineRule="exact"/>
        <w:ind w:firstLine="640"/>
        <w:jc w:val="both"/>
        <w:outlineLvl w:val="2"/>
      </w:pPr>
      <w:r>
        <w:rPr>
          <w:rFonts w:ascii="黑体" w:hAnsi="黑体" w:eastAsia="黑体"/>
          <w:sz w:val="32"/>
        </w:rPr>
        <w:t>八、国有资本经营预算财政拨款收入支出决算情况说明</w:t>
      </w:r>
    </w:p>
    <w:p w14:paraId="74A8FF7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D4D84E5">
      <w:pPr>
        <w:spacing w:line="640" w:lineRule="exact"/>
        <w:ind w:firstLine="640"/>
        <w:jc w:val="both"/>
        <w:outlineLvl w:val="2"/>
      </w:pPr>
      <w:r>
        <w:rPr>
          <w:rFonts w:ascii="黑体" w:hAnsi="黑体" w:eastAsia="黑体"/>
          <w:sz w:val="32"/>
        </w:rPr>
        <w:t>九、财政拨款“三公”经费支出决算情况说明</w:t>
      </w:r>
    </w:p>
    <w:p w14:paraId="31EDB6B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FC89CCA">
      <w:pPr>
        <w:spacing w:line="580" w:lineRule="exact"/>
        <w:ind w:firstLine="640"/>
        <w:jc w:val="both"/>
      </w:pPr>
      <w:r>
        <w:rPr>
          <w:rFonts w:ascii="仿宋_GB2312" w:hAnsi="仿宋_GB2312" w:eastAsia="仿宋_GB2312"/>
          <w:b/>
          <w:sz w:val="32"/>
        </w:rPr>
        <w:t>具体情况如下：</w:t>
      </w:r>
    </w:p>
    <w:p w14:paraId="3BB8206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835EE5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A48FEB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F63B0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AF0FE57">
      <w:pPr>
        <w:spacing w:line="640" w:lineRule="exact"/>
        <w:ind w:firstLine="640"/>
        <w:jc w:val="both"/>
        <w:outlineLvl w:val="2"/>
      </w:pPr>
      <w:r>
        <w:rPr>
          <w:rFonts w:ascii="黑体" w:hAnsi="黑体" w:eastAsia="黑体"/>
          <w:sz w:val="32"/>
        </w:rPr>
        <w:t>十、其他重要事项的情况说明</w:t>
      </w:r>
    </w:p>
    <w:p w14:paraId="3E2AB3DC">
      <w:pPr>
        <w:spacing w:line="640" w:lineRule="exact"/>
        <w:ind w:firstLine="640"/>
        <w:jc w:val="both"/>
        <w:outlineLvl w:val="3"/>
      </w:pPr>
      <w:r>
        <w:rPr>
          <w:rFonts w:ascii="楷体_GB2312" w:hAnsi="楷体_GB2312" w:eastAsia="楷体_GB2312"/>
          <w:b/>
          <w:sz w:val="32"/>
        </w:rPr>
        <w:t>（一）机关运行经费及公用经费支出情况</w:t>
      </w:r>
    </w:p>
    <w:p w14:paraId="3C83334E">
      <w:pPr>
        <w:spacing w:line="580" w:lineRule="exact"/>
        <w:ind w:firstLine="640"/>
        <w:jc w:val="both"/>
      </w:pPr>
      <w:r>
        <w:rPr>
          <w:rFonts w:ascii="仿宋_GB2312" w:hAnsi="仿宋_GB2312" w:eastAsia="仿宋_GB2312"/>
          <w:b w:val="0"/>
          <w:sz w:val="32"/>
        </w:rPr>
        <w:t>2024年度叶城县行政服务中心（事业单位）公用经费支出4.85万元，比上年增加3.55万元，增长273.08%，主要原因是：本年在职人员增加，办公费用增加。</w:t>
      </w:r>
    </w:p>
    <w:p w14:paraId="4954C559">
      <w:pPr>
        <w:spacing w:line="640" w:lineRule="exact"/>
        <w:ind w:firstLine="640"/>
        <w:jc w:val="both"/>
        <w:outlineLvl w:val="3"/>
      </w:pPr>
      <w:r>
        <w:rPr>
          <w:rFonts w:ascii="楷体_GB2312" w:hAnsi="楷体_GB2312" w:eastAsia="楷体_GB2312"/>
          <w:b/>
          <w:sz w:val="32"/>
        </w:rPr>
        <w:t>（二）政府采购情况</w:t>
      </w:r>
    </w:p>
    <w:p w14:paraId="7CA13A3B">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A5122A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490A91B">
      <w:pPr>
        <w:spacing w:line="640" w:lineRule="exact"/>
        <w:ind w:firstLine="640"/>
        <w:jc w:val="both"/>
        <w:outlineLvl w:val="3"/>
      </w:pPr>
      <w:r>
        <w:rPr>
          <w:rFonts w:ascii="楷体_GB2312" w:hAnsi="楷体_GB2312" w:eastAsia="楷体_GB2312"/>
          <w:b/>
          <w:sz w:val="32"/>
        </w:rPr>
        <w:t>（三）国有资产占用情况说明</w:t>
      </w:r>
    </w:p>
    <w:p w14:paraId="5E9F2887">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E7EE456">
      <w:pPr>
        <w:spacing w:line="640" w:lineRule="exact"/>
        <w:ind w:firstLine="640"/>
        <w:jc w:val="both"/>
        <w:outlineLvl w:val="2"/>
      </w:pPr>
      <w:r>
        <w:rPr>
          <w:rFonts w:ascii="黑体" w:hAnsi="黑体" w:eastAsia="黑体"/>
          <w:sz w:val="32"/>
        </w:rPr>
        <w:t>十一、预算绩效的情况说明</w:t>
      </w:r>
    </w:p>
    <w:p w14:paraId="0CEB201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341.08万元，实际执行总额341.08万元；预算绩效评价项目3个，全年预算数173.83万元，全年执行数115.87万元。预算绩效管理取得的成效：一是</w:t>
      </w:r>
      <w:bookmarkStart w:id="0" w:name="_GoBack"/>
      <w:r>
        <w:rPr>
          <w:rFonts w:ascii="仿宋_GB2312" w:hAnsi="仿宋_GB2312" w:eastAsia="仿宋_GB2312"/>
          <w:b w:val="0"/>
          <w:sz w:val="32"/>
        </w:rPr>
        <w:t>本单位从预算收支管理、资产管理、政府采购管理、合同管理等方面，健全和完善单位财务管理制度、坚定实施各项内部控制制度；为加强预算管理，规范财务行为，已制定《叶城县行政服务中心部门单位预算绩效管理工作实施办法》，《叶城县行政服务中心单位财务管理制度》等健全完整的各项管理制度，有效保障了我单位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促进事业发展；二是部门预算资金使用符合国家法规和财务管理制度；预算资金拨付有完整的审批程序和手续，符合项目预算批复或合同规定的用途；不存在截留、挤占、挪用、虚列支出等情况</w:t>
      </w:r>
      <w:bookmarkEnd w:id="0"/>
      <w:r>
        <w:rPr>
          <w:rFonts w:ascii="仿宋_GB2312" w:hAnsi="仿宋_GB2312" w:eastAsia="仿宋_GB2312"/>
          <w:b w:val="0"/>
          <w:sz w:val="32"/>
        </w:rPr>
        <w:t>，确保我单位预算资金规范运行。发现的问题及原因：一是对于业务工作认识不够深刻，绩效意识不够强，尤其是新参加工作的年轻同志，还应继续加强学习；二是对绩效工作的认识和学习不到位，还应继续加强学习和了解；三是预算编制、执行方面存在差异，预算编制不够详细、执行不够及时。下一步改进措施：一是深入贯彻实施单位项目绩效体系，不断完善单位相关绩效管理制度，提升单位资金管理水平；二是进一步加强全员学习、培训，共同参与。通过加强宣传、培训等方式，促进单位各科室人员深刻领悟绩效规范体系要求，在全单位形成“人人学绩效、人人讲绩效”的良好气氛，促进单位建立系统、规范、高效的绩效管理机制。具体附整体支出绩效自评表，项目支出绩效自评表和评价报告。</w:t>
      </w:r>
    </w:p>
    <w:p w14:paraId="493C8DEE">
      <w:r>
        <w:br w:type="page"/>
      </w:r>
    </w:p>
    <w:tbl>
      <w:tblPr>
        <w:tblStyle w:val="9"/>
        <w:tblW w:w="9240" w:type="dxa"/>
        <w:tblInd w:w="0" w:type="dxa"/>
        <w:tblLayout w:type="autofit"/>
        <w:tblCellMar>
          <w:top w:w="0" w:type="dxa"/>
          <w:left w:w="108" w:type="dxa"/>
          <w:bottom w:w="0" w:type="dxa"/>
          <w:right w:w="108" w:type="dxa"/>
        </w:tblCellMar>
      </w:tblPr>
      <w:tblGrid>
        <w:gridCol w:w="1026"/>
        <w:gridCol w:w="1026"/>
        <w:gridCol w:w="1026"/>
        <w:gridCol w:w="1026"/>
        <w:gridCol w:w="1026"/>
        <w:gridCol w:w="1026"/>
        <w:gridCol w:w="1026"/>
        <w:gridCol w:w="1026"/>
        <w:gridCol w:w="1032"/>
      </w:tblGrid>
      <w:tr w14:paraId="207FBB20">
        <w:tblPrEx>
          <w:tblCellMar>
            <w:top w:w="0" w:type="dxa"/>
            <w:left w:w="108" w:type="dxa"/>
            <w:bottom w:w="0" w:type="dxa"/>
            <w:right w:w="108" w:type="dxa"/>
          </w:tblCellMar>
        </w:tblPrEx>
        <w:trPr>
          <w:trHeight w:val="141" w:hRule="atLeast"/>
        </w:trPr>
        <w:tc>
          <w:tcPr>
            <w:tcW w:w="9240" w:type="dxa"/>
            <w:gridSpan w:val="9"/>
            <w:vAlign w:val="center"/>
          </w:tcPr>
          <w:p w14:paraId="190A5DAD">
            <w:pPr>
              <w:jc w:val="center"/>
            </w:pPr>
            <w:r>
              <w:rPr>
                <w:rFonts w:ascii="宋体" w:hAnsi="宋体" w:eastAsia="宋体"/>
                <w:sz w:val="24"/>
              </w:rPr>
              <w:t>单位整体支出绩效自评表</w:t>
            </w:r>
          </w:p>
        </w:tc>
      </w:tr>
      <w:tr w14:paraId="3D11C913">
        <w:tblPrEx>
          <w:tblCellMar>
            <w:top w:w="0" w:type="dxa"/>
            <w:left w:w="108" w:type="dxa"/>
            <w:bottom w:w="0" w:type="dxa"/>
            <w:right w:w="108" w:type="dxa"/>
          </w:tblCellMar>
        </w:tblPrEx>
        <w:trPr>
          <w:trHeight w:val="141" w:hRule="atLeast"/>
        </w:trPr>
        <w:tc>
          <w:tcPr>
            <w:tcW w:w="9240" w:type="dxa"/>
            <w:gridSpan w:val="9"/>
            <w:vAlign w:val="center"/>
          </w:tcPr>
          <w:p w14:paraId="6993E059">
            <w:pPr>
              <w:jc w:val="center"/>
            </w:pPr>
            <w:r>
              <w:rPr>
                <w:rFonts w:ascii="宋体" w:hAnsi="宋体" w:eastAsia="宋体"/>
                <w:sz w:val="24"/>
              </w:rPr>
              <w:t>（2024年度）</w:t>
            </w:r>
          </w:p>
        </w:tc>
      </w:tr>
      <w:tr w14:paraId="60F9666A">
        <w:tblPrEx>
          <w:tblCellMar>
            <w:top w:w="0" w:type="dxa"/>
            <w:left w:w="108" w:type="dxa"/>
            <w:bottom w:w="0" w:type="dxa"/>
            <w:right w:w="108" w:type="dxa"/>
          </w:tblCellMar>
        </w:tblPrEx>
        <w:trPr>
          <w:trHeight w:val="152" w:hRule="atLeast"/>
        </w:trPr>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CACDFF0">
            <w:pPr>
              <w:jc w:val="center"/>
            </w:pPr>
            <w:r>
              <w:rPr>
                <w:rFonts w:ascii="宋体" w:hAnsi="宋体" w:eastAsia="宋体"/>
                <w:sz w:val="16"/>
              </w:rPr>
              <w:t>单位名称</w:t>
            </w:r>
          </w:p>
        </w:tc>
        <w:tc>
          <w:tcPr>
            <w:tcW w:w="821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9DF35A">
            <w:pPr>
              <w:jc w:val="center"/>
            </w:pPr>
            <w:r>
              <w:rPr>
                <w:rFonts w:ascii="宋体" w:hAnsi="宋体" w:eastAsia="宋体"/>
                <w:sz w:val="16"/>
              </w:rPr>
              <w:t>叶城县行政服务中心</w:t>
            </w:r>
          </w:p>
        </w:tc>
      </w:tr>
      <w:tr w14:paraId="058D52FC">
        <w:tblPrEx>
          <w:tblCellMar>
            <w:top w:w="0" w:type="dxa"/>
            <w:left w:w="108" w:type="dxa"/>
            <w:bottom w:w="0" w:type="dxa"/>
            <w:right w:w="108" w:type="dxa"/>
          </w:tblCellMar>
        </w:tblPrEx>
        <w:trPr>
          <w:trHeight w:val="292" w:hRule="atLeast"/>
        </w:trPr>
        <w:tc>
          <w:tcPr>
            <w:tcW w:w="10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05E8C">
            <w:pPr>
              <w:jc w:val="center"/>
            </w:pPr>
            <w:r>
              <w:rPr>
                <w:rFonts w:ascii="宋体" w:hAnsi="宋体" w:eastAsia="宋体"/>
                <w:sz w:val="16"/>
              </w:rPr>
              <w:t>部门资金（万元）</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B26AB55">
            <w:pPr>
              <w:jc w:val="center"/>
            </w:pPr>
            <w:r>
              <w:rPr>
                <w:rFonts w:ascii="宋体" w:hAnsi="宋体" w:eastAsia="宋体"/>
                <w:sz w:val="16"/>
              </w:rPr>
              <w:t>资金来源</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46A2BC67">
            <w:pPr>
              <w:jc w:val="center"/>
            </w:pPr>
            <w:r>
              <w:rPr>
                <w:rFonts w:ascii="宋体" w:hAnsi="宋体" w:eastAsia="宋体"/>
                <w:sz w:val="16"/>
              </w:rPr>
              <w:t>年初预算数</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021CA4B1">
            <w:pPr>
              <w:jc w:val="center"/>
            </w:pPr>
            <w:r>
              <w:rPr>
                <w:rFonts w:ascii="宋体" w:hAnsi="宋体" w:eastAsia="宋体"/>
                <w:sz w:val="16"/>
              </w:rPr>
              <w:t>预算数（调整后）</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0F49C205">
            <w:pPr>
              <w:jc w:val="center"/>
            </w:pPr>
            <w:r>
              <w:rPr>
                <w:rFonts w:ascii="宋体" w:hAnsi="宋体" w:eastAsia="宋体"/>
                <w:sz w:val="16"/>
              </w:rPr>
              <w:t>执行数</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7DF6D57A">
            <w:pPr>
              <w:jc w:val="center"/>
            </w:pPr>
            <w:r>
              <w:rPr>
                <w:rFonts w:ascii="宋体" w:hAnsi="宋体" w:eastAsia="宋体"/>
                <w:sz w:val="16"/>
              </w:rPr>
              <w:t>分值权重</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5A034D38">
            <w:pPr>
              <w:jc w:val="center"/>
            </w:pPr>
            <w:r>
              <w:rPr>
                <w:rFonts w:ascii="宋体" w:hAnsi="宋体" w:eastAsia="宋体"/>
                <w:sz w:val="16"/>
              </w:rPr>
              <w:t>执行率</w:t>
            </w:r>
          </w:p>
        </w:tc>
        <w:tc>
          <w:tcPr>
            <w:tcW w:w="20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1BA04">
            <w:pPr>
              <w:jc w:val="center"/>
            </w:pPr>
            <w:r>
              <w:rPr>
                <w:rFonts w:ascii="宋体" w:hAnsi="宋体" w:eastAsia="宋体"/>
                <w:sz w:val="16"/>
              </w:rPr>
              <w:t>得分</w:t>
            </w:r>
          </w:p>
        </w:tc>
      </w:tr>
      <w:tr w14:paraId="28EFD55D">
        <w:tblPrEx>
          <w:tblCellMar>
            <w:top w:w="0" w:type="dxa"/>
            <w:left w:w="108" w:type="dxa"/>
            <w:bottom w:w="0" w:type="dxa"/>
            <w:right w:w="108" w:type="dxa"/>
          </w:tblCellMar>
        </w:tblPrEx>
        <w:trPr>
          <w:trHeight w:val="292" w:hRule="atLeast"/>
        </w:trPr>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78BE32BE"/>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00603DE">
            <w:pPr>
              <w:jc w:val="center"/>
            </w:pPr>
            <w:r>
              <w:rPr>
                <w:rFonts w:ascii="宋体" w:hAnsi="宋体" w:eastAsia="宋体"/>
                <w:sz w:val="16"/>
              </w:rPr>
              <w:t>年度总资金：</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40AF2AAB">
            <w:pPr>
              <w:jc w:val="center"/>
            </w:pPr>
            <w:r>
              <w:rPr>
                <w:rFonts w:ascii="宋体" w:hAnsi="宋体" w:eastAsia="宋体"/>
                <w:sz w:val="16"/>
              </w:rPr>
              <w:t>206.62</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ADD60B2">
            <w:pPr>
              <w:jc w:val="center"/>
            </w:pPr>
            <w:r>
              <w:rPr>
                <w:rFonts w:ascii="宋体" w:hAnsi="宋体" w:eastAsia="宋体"/>
                <w:sz w:val="16"/>
              </w:rPr>
              <w:t>341.08</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6E3C668F">
            <w:pPr>
              <w:jc w:val="center"/>
            </w:pPr>
            <w:r>
              <w:rPr>
                <w:rFonts w:ascii="宋体" w:hAnsi="宋体" w:eastAsia="宋体"/>
                <w:sz w:val="16"/>
              </w:rPr>
              <w:t>341.08</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6925CF0D">
            <w:pPr>
              <w:jc w:val="center"/>
            </w:pPr>
            <w:r>
              <w:rPr>
                <w:rFonts w:ascii="宋体" w:hAnsi="宋体" w:eastAsia="宋体"/>
                <w:sz w:val="16"/>
              </w:rPr>
              <w:t>10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691CA49D">
            <w:pPr>
              <w:jc w:val="center"/>
            </w:pPr>
            <w:r>
              <w:rPr>
                <w:rFonts w:ascii="宋体" w:hAnsi="宋体" w:eastAsia="宋体"/>
                <w:sz w:val="16"/>
              </w:rPr>
              <w:t>100.00%</w:t>
            </w:r>
          </w:p>
        </w:tc>
        <w:tc>
          <w:tcPr>
            <w:tcW w:w="20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5C12C">
            <w:pPr>
              <w:jc w:val="center"/>
            </w:pPr>
            <w:r>
              <w:rPr>
                <w:rFonts w:ascii="宋体" w:hAnsi="宋体" w:eastAsia="宋体"/>
                <w:sz w:val="16"/>
              </w:rPr>
              <w:t>10</w:t>
            </w:r>
          </w:p>
        </w:tc>
      </w:tr>
      <w:tr w14:paraId="35EE6648">
        <w:tblPrEx>
          <w:tblCellMar>
            <w:top w:w="0" w:type="dxa"/>
            <w:left w:w="108" w:type="dxa"/>
            <w:bottom w:w="0" w:type="dxa"/>
            <w:right w:w="108" w:type="dxa"/>
          </w:tblCellMar>
        </w:tblPrEx>
        <w:trPr>
          <w:trHeight w:val="152" w:hRule="atLeast"/>
        </w:trPr>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6A406D1B"/>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3EB45A6">
            <w:pPr>
              <w:jc w:val="center"/>
            </w:pPr>
            <w:r>
              <w:rPr>
                <w:rFonts w:ascii="宋体" w:hAnsi="宋体" w:eastAsia="宋体"/>
                <w:sz w:val="16"/>
              </w:rPr>
              <w:t>上级资金：</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0AC31313">
            <w:pPr>
              <w:jc w:val="center"/>
            </w:pPr>
            <w:r>
              <w:rPr>
                <w:rFonts w:ascii="宋体" w:hAnsi="宋体" w:eastAsia="宋体"/>
                <w:sz w:val="16"/>
              </w:rPr>
              <w:t>0.00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36F3DA53">
            <w:pPr>
              <w:jc w:val="center"/>
            </w:pPr>
            <w:r>
              <w:rPr>
                <w:rFonts w:ascii="宋体" w:hAnsi="宋体" w:eastAsia="宋体"/>
                <w:sz w:val="16"/>
              </w:rPr>
              <w:t>0.00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6CDF0BB0">
            <w:pPr>
              <w:jc w:val="center"/>
            </w:pPr>
            <w:r>
              <w:rPr>
                <w:rFonts w:ascii="宋体" w:hAnsi="宋体" w:eastAsia="宋体"/>
                <w:sz w:val="16"/>
              </w:rPr>
              <w:t>0.00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05457B4A">
            <w:pPr>
              <w:jc w:val="center"/>
            </w:pPr>
            <w:r>
              <w:rPr>
                <w:rFonts w:ascii="宋体" w:hAnsi="宋体" w:eastAsia="宋体"/>
                <w:sz w:val="16"/>
              </w:rPr>
              <w:t>—</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15B3A7CE">
            <w:pPr>
              <w:jc w:val="center"/>
            </w:pPr>
            <w:r>
              <w:rPr>
                <w:rFonts w:ascii="宋体" w:hAnsi="宋体" w:eastAsia="宋体"/>
                <w:sz w:val="16"/>
              </w:rPr>
              <w:t>—</w:t>
            </w:r>
          </w:p>
        </w:tc>
        <w:tc>
          <w:tcPr>
            <w:tcW w:w="20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829CE">
            <w:pPr>
              <w:jc w:val="center"/>
            </w:pPr>
            <w:r>
              <w:rPr>
                <w:rFonts w:ascii="宋体" w:hAnsi="宋体" w:eastAsia="宋体"/>
                <w:sz w:val="16"/>
              </w:rPr>
              <w:t>—</w:t>
            </w:r>
          </w:p>
        </w:tc>
      </w:tr>
      <w:tr w14:paraId="22F6A813">
        <w:tblPrEx>
          <w:tblCellMar>
            <w:top w:w="0" w:type="dxa"/>
            <w:left w:w="108" w:type="dxa"/>
            <w:bottom w:w="0" w:type="dxa"/>
            <w:right w:w="108" w:type="dxa"/>
          </w:tblCellMar>
        </w:tblPrEx>
        <w:trPr>
          <w:trHeight w:val="152" w:hRule="atLeast"/>
        </w:trPr>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6854A30D"/>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3278D103">
            <w:pPr>
              <w:jc w:val="center"/>
            </w:pPr>
            <w:r>
              <w:rPr>
                <w:rFonts w:ascii="宋体" w:hAnsi="宋体" w:eastAsia="宋体"/>
                <w:sz w:val="16"/>
              </w:rPr>
              <w:t>本级资金：</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9D2386D">
            <w:pPr>
              <w:jc w:val="center"/>
            </w:pPr>
            <w:r>
              <w:rPr>
                <w:rFonts w:ascii="宋体" w:hAnsi="宋体" w:eastAsia="宋体"/>
                <w:sz w:val="16"/>
              </w:rPr>
              <w:t>206.62</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0229FF0F">
            <w:pPr>
              <w:jc w:val="center"/>
            </w:pPr>
            <w:r>
              <w:rPr>
                <w:rFonts w:ascii="宋体" w:hAnsi="宋体" w:eastAsia="宋体"/>
                <w:sz w:val="16"/>
              </w:rPr>
              <w:t>281.20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41673B28">
            <w:pPr>
              <w:jc w:val="center"/>
            </w:pPr>
            <w:r>
              <w:rPr>
                <w:rFonts w:ascii="宋体" w:hAnsi="宋体" w:eastAsia="宋体"/>
                <w:sz w:val="16"/>
              </w:rPr>
              <w:t>281.20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5D3F846D">
            <w:pPr>
              <w:jc w:val="center"/>
            </w:pPr>
            <w:r>
              <w:rPr>
                <w:rFonts w:ascii="宋体" w:hAnsi="宋体" w:eastAsia="宋体"/>
                <w:sz w:val="16"/>
              </w:rPr>
              <w:t>—</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F01FC6E">
            <w:pPr>
              <w:jc w:val="center"/>
            </w:pPr>
            <w:r>
              <w:rPr>
                <w:rFonts w:ascii="宋体" w:hAnsi="宋体" w:eastAsia="宋体"/>
                <w:sz w:val="16"/>
              </w:rPr>
              <w:t>—</w:t>
            </w:r>
          </w:p>
        </w:tc>
        <w:tc>
          <w:tcPr>
            <w:tcW w:w="20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96944">
            <w:pPr>
              <w:jc w:val="center"/>
            </w:pPr>
            <w:r>
              <w:rPr>
                <w:rFonts w:ascii="宋体" w:hAnsi="宋体" w:eastAsia="宋体"/>
                <w:sz w:val="16"/>
              </w:rPr>
              <w:t>—</w:t>
            </w:r>
          </w:p>
        </w:tc>
      </w:tr>
      <w:tr w14:paraId="7DF836E0">
        <w:tblPrEx>
          <w:tblCellMar>
            <w:top w:w="0" w:type="dxa"/>
            <w:left w:w="108" w:type="dxa"/>
            <w:bottom w:w="0" w:type="dxa"/>
            <w:right w:w="108" w:type="dxa"/>
          </w:tblCellMar>
        </w:tblPrEx>
        <w:trPr>
          <w:trHeight w:val="152" w:hRule="atLeast"/>
        </w:trPr>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685626B0"/>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3D244607">
            <w:pPr>
              <w:jc w:val="center"/>
            </w:pPr>
            <w:r>
              <w:rPr>
                <w:rFonts w:ascii="宋体" w:hAnsi="宋体" w:eastAsia="宋体"/>
                <w:sz w:val="16"/>
              </w:rPr>
              <w:t>其他资金：</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16998544">
            <w:pPr>
              <w:jc w:val="center"/>
            </w:pPr>
            <w:r>
              <w:rPr>
                <w:rFonts w:ascii="宋体" w:hAnsi="宋体" w:eastAsia="宋体"/>
                <w:sz w:val="16"/>
              </w:rPr>
              <w:t>0.00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4E51C42F">
            <w:pPr>
              <w:jc w:val="center"/>
            </w:pPr>
            <w:r>
              <w:rPr>
                <w:rFonts w:ascii="宋体" w:hAnsi="宋体" w:eastAsia="宋体"/>
                <w:sz w:val="16"/>
              </w:rPr>
              <w:t>59.88</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064B45D0">
            <w:pPr>
              <w:jc w:val="center"/>
            </w:pPr>
            <w:r>
              <w:rPr>
                <w:rFonts w:ascii="宋体" w:hAnsi="宋体" w:eastAsia="宋体"/>
                <w:sz w:val="16"/>
              </w:rPr>
              <w:t>59.88</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78DDC287">
            <w:pPr>
              <w:jc w:val="center"/>
            </w:pPr>
            <w:r>
              <w:rPr>
                <w:rFonts w:ascii="宋体" w:hAnsi="宋体" w:eastAsia="宋体"/>
                <w:sz w:val="16"/>
              </w:rPr>
              <w:t>—</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1E483E52">
            <w:pPr>
              <w:jc w:val="center"/>
            </w:pPr>
            <w:r>
              <w:rPr>
                <w:rFonts w:ascii="宋体" w:hAnsi="宋体" w:eastAsia="宋体"/>
                <w:sz w:val="16"/>
              </w:rPr>
              <w:t>—</w:t>
            </w:r>
          </w:p>
        </w:tc>
        <w:tc>
          <w:tcPr>
            <w:tcW w:w="20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8DCA9">
            <w:pPr>
              <w:jc w:val="center"/>
            </w:pPr>
            <w:r>
              <w:rPr>
                <w:rFonts w:ascii="宋体" w:hAnsi="宋体" w:eastAsia="宋体"/>
                <w:sz w:val="16"/>
              </w:rPr>
              <w:t>—</w:t>
            </w:r>
          </w:p>
        </w:tc>
      </w:tr>
      <w:tr w14:paraId="09D5A24E">
        <w:tblPrEx>
          <w:tblCellMar>
            <w:top w:w="0" w:type="dxa"/>
            <w:left w:w="108" w:type="dxa"/>
            <w:bottom w:w="0" w:type="dxa"/>
            <w:right w:w="108" w:type="dxa"/>
          </w:tblCellMar>
        </w:tblPrEx>
        <w:trPr>
          <w:trHeight w:val="152" w:hRule="atLeast"/>
        </w:trPr>
        <w:tc>
          <w:tcPr>
            <w:tcW w:w="10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53AAB">
            <w:pPr>
              <w:jc w:val="center"/>
            </w:pPr>
            <w:r>
              <w:rPr>
                <w:rFonts w:ascii="宋体" w:hAnsi="宋体" w:eastAsia="宋体"/>
                <w:sz w:val="16"/>
              </w:rPr>
              <w:t>年度总体目标</w:t>
            </w:r>
          </w:p>
        </w:tc>
        <w:tc>
          <w:tcPr>
            <w:tcW w:w="307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50B50E">
            <w:pPr>
              <w:jc w:val="center"/>
            </w:pPr>
            <w:r>
              <w:rPr>
                <w:rFonts w:ascii="宋体" w:hAnsi="宋体" w:eastAsia="宋体"/>
                <w:sz w:val="16"/>
              </w:rPr>
              <w:t>预期目标</w:t>
            </w:r>
          </w:p>
        </w:tc>
        <w:tc>
          <w:tcPr>
            <w:tcW w:w="513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18E1F3">
            <w:pPr>
              <w:jc w:val="center"/>
            </w:pPr>
            <w:r>
              <w:rPr>
                <w:rFonts w:ascii="宋体" w:hAnsi="宋体" w:eastAsia="宋体"/>
                <w:sz w:val="16"/>
              </w:rPr>
              <w:t>实际完成情况</w:t>
            </w:r>
          </w:p>
        </w:tc>
      </w:tr>
      <w:tr w14:paraId="5B42C951">
        <w:tblPrEx>
          <w:tblCellMar>
            <w:top w:w="0" w:type="dxa"/>
            <w:left w:w="108" w:type="dxa"/>
            <w:bottom w:w="0" w:type="dxa"/>
            <w:right w:w="108" w:type="dxa"/>
          </w:tblCellMar>
        </w:tblPrEx>
        <w:trPr>
          <w:trHeight w:val="1834" w:hRule="atLeast"/>
        </w:trPr>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02E18BF8"/>
        </w:tc>
        <w:tc>
          <w:tcPr>
            <w:tcW w:w="307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915CF9">
            <w:pPr>
              <w:jc w:val="both"/>
            </w:pPr>
            <w:r>
              <w:rPr>
                <w:rFonts w:ascii="宋体" w:hAnsi="宋体" w:eastAsia="宋体"/>
                <w:sz w:val="16"/>
              </w:rPr>
              <w:t>推动公共教育、劳动就业、社会保险、医疗卫生、养老服务、社会服务、户籍管理等领域群众经常办理且基层能有效承接的政务服务事项以委托受理、授权办理、帮办代办等方式下沉至便民服务中心（站）办理。推广24小时自助服务，推动集成式自助终端向村（社区）、园区、商场、楼宇和银行、邮政、电信网点等场所延伸，鼓励各乡镇（区）整合公安、税务、社会保障、医疗保障等自助服务功能，推动更多事项全程自助办理，实现政务服务“就近办、家门口办”。</w:t>
            </w:r>
          </w:p>
        </w:tc>
        <w:tc>
          <w:tcPr>
            <w:tcW w:w="513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23D584">
            <w:pPr>
              <w:jc w:val="both"/>
            </w:pPr>
            <w:r>
              <w:rPr>
                <w:rFonts w:hint="eastAsia" w:ascii="宋体" w:hAnsi="宋体"/>
                <w:sz w:val="16"/>
                <w:lang w:eastAsia="zh-CN"/>
              </w:rPr>
              <w:t>截至2024</w:t>
            </w:r>
            <w:r>
              <w:rPr>
                <w:rFonts w:ascii="宋体" w:hAnsi="宋体" w:eastAsia="宋体"/>
                <w:sz w:val="16"/>
              </w:rPr>
              <w:t>年12月31日，本单位召开县级督办会6次，增设综合咨询窗口数量1个，增设综合办事窗口数量1个，组织开展“政务服务小课堂”场次12次，工程建设并联审批办理服务事项73件；贯彻落实自治区党委、地委决策部署和县委、县政府工作安排，县行政服务中心严格按照“规范、便民、高效、廉洁”服务宗旨，以推进政务服务标准化规范化便利化为目标，认真履行“监督、管理、协调、服务”职能，切实加强管理，提高服务水平，规范行政行为，优化营商环境，全力为我县经济发展提供优质、高效的服务。</w:t>
            </w:r>
          </w:p>
        </w:tc>
      </w:tr>
      <w:tr w14:paraId="69F92B4E">
        <w:tblPrEx>
          <w:tblCellMar>
            <w:top w:w="0" w:type="dxa"/>
            <w:left w:w="108" w:type="dxa"/>
            <w:bottom w:w="0" w:type="dxa"/>
            <w:right w:w="108" w:type="dxa"/>
          </w:tblCellMar>
        </w:tblPrEx>
        <w:trPr>
          <w:trHeight w:val="292" w:hRule="atLeast"/>
        </w:trPr>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1975D260">
            <w:pPr>
              <w:jc w:val="center"/>
            </w:pPr>
            <w:r>
              <w:rPr>
                <w:rFonts w:ascii="宋体" w:hAnsi="宋体" w:eastAsia="宋体"/>
                <w:sz w:val="16"/>
              </w:rPr>
              <w:t>一级指标</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13E2BF34">
            <w:pPr>
              <w:jc w:val="center"/>
            </w:pPr>
            <w:r>
              <w:rPr>
                <w:rFonts w:ascii="宋体" w:hAnsi="宋体" w:eastAsia="宋体"/>
                <w:sz w:val="16"/>
              </w:rPr>
              <w:t>二级指标</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0D6FE404">
            <w:pPr>
              <w:jc w:val="center"/>
            </w:pPr>
            <w:r>
              <w:rPr>
                <w:rFonts w:ascii="宋体" w:hAnsi="宋体" w:eastAsia="宋体"/>
                <w:sz w:val="16"/>
              </w:rPr>
              <w:t>三级指标</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46C7205C">
            <w:pPr>
              <w:jc w:val="center"/>
            </w:pPr>
            <w:r>
              <w:rPr>
                <w:rFonts w:ascii="宋体" w:hAnsi="宋体" w:eastAsia="宋体"/>
                <w:sz w:val="16"/>
              </w:rPr>
              <w:t>指标值</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34ADB70">
            <w:pPr>
              <w:jc w:val="center"/>
            </w:pPr>
            <w:r>
              <w:rPr>
                <w:rFonts w:ascii="宋体" w:hAnsi="宋体" w:eastAsia="宋体"/>
                <w:sz w:val="16"/>
              </w:rPr>
              <w:t>指标值设定依据</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4D258118">
            <w:pPr>
              <w:jc w:val="center"/>
            </w:pPr>
            <w:r>
              <w:rPr>
                <w:rFonts w:ascii="宋体" w:hAnsi="宋体" w:eastAsia="宋体"/>
                <w:sz w:val="16"/>
              </w:rPr>
              <w:t>分值权重</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DDD4641">
            <w:pPr>
              <w:jc w:val="center"/>
            </w:pPr>
            <w:r>
              <w:rPr>
                <w:rFonts w:ascii="宋体" w:hAnsi="宋体" w:eastAsia="宋体"/>
                <w:sz w:val="16"/>
              </w:rPr>
              <w:t>实际完成值</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5816ED86">
            <w:pPr>
              <w:jc w:val="center"/>
            </w:pPr>
            <w:r>
              <w:rPr>
                <w:rFonts w:ascii="宋体" w:hAnsi="宋体" w:eastAsia="宋体"/>
                <w:sz w:val="16"/>
              </w:rPr>
              <w:t>完成率</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1C2E005">
            <w:pPr>
              <w:jc w:val="center"/>
            </w:pPr>
            <w:r>
              <w:rPr>
                <w:rFonts w:ascii="宋体" w:hAnsi="宋体" w:eastAsia="宋体"/>
                <w:sz w:val="16"/>
              </w:rPr>
              <w:t>得分</w:t>
            </w:r>
          </w:p>
        </w:tc>
      </w:tr>
      <w:tr w14:paraId="20AF39D2">
        <w:tblPrEx>
          <w:tblCellMar>
            <w:top w:w="0" w:type="dxa"/>
            <w:left w:w="108" w:type="dxa"/>
            <w:bottom w:w="0" w:type="dxa"/>
            <w:right w:w="108" w:type="dxa"/>
          </w:tblCellMar>
        </w:tblPrEx>
        <w:trPr>
          <w:trHeight w:val="292" w:hRule="atLeast"/>
        </w:trPr>
        <w:tc>
          <w:tcPr>
            <w:tcW w:w="10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9E8A3">
            <w:pPr>
              <w:jc w:val="center"/>
            </w:pPr>
            <w:r>
              <w:rPr>
                <w:rFonts w:ascii="宋体" w:hAnsi="宋体" w:eastAsia="宋体"/>
                <w:sz w:val="16"/>
              </w:rPr>
              <w:t>履职效能</w:t>
            </w:r>
          </w:p>
        </w:tc>
        <w:tc>
          <w:tcPr>
            <w:tcW w:w="10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A4E03">
            <w:pPr>
              <w:jc w:val="center"/>
            </w:pPr>
            <w:r>
              <w:rPr>
                <w:rFonts w:ascii="宋体" w:hAnsi="宋体" w:eastAsia="宋体"/>
                <w:sz w:val="16"/>
              </w:rPr>
              <w:t>数量指标</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00C644BD">
            <w:pPr>
              <w:jc w:val="center"/>
            </w:pPr>
            <w:r>
              <w:rPr>
                <w:rFonts w:ascii="宋体" w:hAnsi="宋体" w:eastAsia="宋体"/>
                <w:sz w:val="16"/>
              </w:rPr>
              <w:t>召开县级督办会</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12A90EF7">
            <w:pPr>
              <w:jc w:val="center"/>
            </w:pPr>
            <w:r>
              <w:rPr>
                <w:rFonts w:ascii="宋体" w:hAnsi="宋体" w:eastAsia="宋体"/>
                <w:sz w:val="16"/>
              </w:rPr>
              <w:t>&gt;=6次</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6ABF43FA">
            <w:pPr>
              <w:jc w:val="center"/>
            </w:pPr>
            <w:r>
              <w:rPr>
                <w:rFonts w:ascii="宋体" w:hAnsi="宋体" w:eastAsia="宋体"/>
                <w:sz w:val="16"/>
              </w:rPr>
              <w:t>工作总结及计划</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5B4C59B1">
            <w:pPr>
              <w:jc w:val="center"/>
            </w:pPr>
            <w:r>
              <w:rPr>
                <w:rFonts w:ascii="宋体" w:hAnsi="宋体" w:eastAsia="宋体"/>
                <w:sz w:val="16"/>
              </w:rPr>
              <w:t>20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4A855181">
            <w:pPr>
              <w:jc w:val="center"/>
            </w:pPr>
            <w:r>
              <w:rPr>
                <w:rFonts w:ascii="宋体" w:hAnsi="宋体" w:eastAsia="宋体"/>
                <w:sz w:val="16"/>
              </w:rPr>
              <w:t>6次</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55633C74">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974126F">
            <w:pPr>
              <w:jc w:val="center"/>
            </w:pPr>
            <w:r>
              <w:rPr>
                <w:rFonts w:ascii="宋体" w:hAnsi="宋体" w:eastAsia="宋体"/>
                <w:sz w:val="16"/>
              </w:rPr>
              <w:t>20</w:t>
            </w:r>
          </w:p>
        </w:tc>
      </w:tr>
      <w:tr w14:paraId="262DD6BA">
        <w:tblPrEx>
          <w:tblCellMar>
            <w:top w:w="0" w:type="dxa"/>
            <w:left w:w="108" w:type="dxa"/>
            <w:bottom w:w="0" w:type="dxa"/>
            <w:right w:w="108" w:type="dxa"/>
          </w:tblCellMar>
        </w:tblPrEx>
        <w:trPr>
          <w:trHeight w:val="432" w:hRule="atLeast"/>
        </w:trPr>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135A3F7D"/>
        </w:tc>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561D61D7"/>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760EA4C">
            <w:pPr>
              <w:jc w:val="center"/>
            </w:pPr>
            <w:r>
              <w:rPr>
                <w:rFonts w:ascii="宋体" w:hAnsi="宋体" w:eastAsia="宋体"/>
                <w:sz w:val="16"/>
              </w:rPr>
              <w:t>增设综合咨询窗口数量</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6910B515">
            <w:pPr>
              <w:jc w:val="center"/>
            </w:pPr>
            <w:r>
              <w:rPr>
                <w:rFonts w:ascii="宋体" w:hAnsi="宋体" w:eastAsia="宋体"/>
                <w:sz w:val="16"/>
              </w:rPr>
              <w:t>=1个</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56C9AD98">
            <w:pPr>
              <w:jc w:val="center"/>
            </w:pPr>
            <w:r>
              <w:rPr>
                <w:rFonts w:ascii="宋体" w:hAnsi="宋体" w:eastAsia="宋体"/>
                <w:sz w:val="16"/>
              </w:rPr>
              <w:t>工作总结及计划</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1FD0FE42">
            <w:pPr>
              <w:jc w:val="center"/>
            </w:pPr>
            <w:r>
              <w:rPr>
                <w:rFonts w:ascii="宋体" w:hAnsi="宋体" w:eastAsia="宋体"/>
                <w:sz w:val="16"/>
              </w:rPr>
              <w:t>20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492E060">
            <w:pPr>
              <w:jc w:val="center"/>
            </w:pPr>
            <w:r>
              <w:rPr>
                <w:rFonts w:ascii="宋体" w:hAnsi="宋体" w:eastAsia="宋体"/>
                <w:sz w:val="16"/>
              </w:rPr>
              <w:t>1个</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3D17F9DA">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ADC3B17">
            <w:pPr>
              <w:jc w:val="center"/>
            </w:pPr>
            <w:r>
              <w:rPr>
                <w:rFonts w:ascii="宋体" w:hAnsi="宋体" w:eastAsia="宋体"/>
                <w:sz w:val="16"/>
              </w:rPr>
              <w:t>20</w:t>
            </w:r>
          </w:p>
        </w:tc>
      </w:tr>
      <w:tr w14:paraId="6AFC5087">
        <w:tblPrEx>
          <w:tblCellMar>
            <w:top w:w="0" w:type="dxa"/>
            <w:left w:w="108" w:type="dxa"/>
            <w:bottom w:w="0" w:type="dxa"/>
            <w:right w:w="108" w:type="dxa"/>
          </w:tblCellMar>
        </w:tblPrEx>
        <w:trPr>
          <w:trHeight w:val="432" w:hRule="atLeast"/>
        </w:trPr>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7446A4F2"/>
        </w:tc>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3051C192"/>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66C4F383">
            <w:pPr>
              <w:jc w:val="center"/>
            </w:pPr>
            <w:r>
              <w:rPr>
                <w:rFonts w:ascii="宋体" w:hAnsi="宋体" w:eastAsia="宋体"/>
                <w:sz w:val="16"/>
              </w:rPr>
              <w:t>增设综合办事窗口数量</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4284AF4A">
            <w:pPr>
              <w:jc w:val="center"/>
            </w:pPr>
            <w:r>
              <w:rPr>
                <w:rFonts w:ascii="宋体" w:hAnsi="宋体" w:eastAsia="宋体"/>
                <w:sz w:val="16"/>
              </w:rPr>
              <w:t>=2个</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3A8983FB">
            <w:pPr>
              <w:jc w:val="center"/>
            </w:pPr>
            <w:r>
              <w:rPr>
                <w:rFonts w:ascii="宋体" w:hAnsi="宋体" w:eastAsia="宋体"/>
                <w:sz w:val="16"/>
              </w:rPr>
              <w:t>工作总结及计划</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789ABF0B">
            <w:pPr>
              <w:jc w:val="center"/>
            </w:pPr>
            <w:r>
              <w:rPr>
                <w:rFonts w:ascii="宋体" w:hAnsi="宋体" w:eastAsia="宋体"/>
                <w:sz w:val="16"/>
              </w:rPr>
              <w:t>20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76053241">
            <w:pPr>
              <w:jc w:val="center"/>
            </w:pPr>
            <w:r>
              <w:rPr>
                <w:rFonts w:ascii="宋体" w:hAnsi="宋体" w:eastAsia="宋体"/>
                <w:sz w:val="16"/>
              </w:rPr>
              <w:t>2个</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3F0347C8">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7CBD711">
            <w:pPr>
              <w:jc w:val="center"/>
            </w:pPr>
            <w:r>
              <w:rPr>
                <w:rFonts w:ascii="宋体" w:hAnsi="宋体" w:eastAsia="宋体"/>
                <w:sz w:val="16"/>
              </w:rPr>
              <w:t>20</w:t>
            </w:r>
          </w:p>
        </w:tc>
      </w:tr>
      <w:tr w14:paraId="50033D26">
        <w:tblPrEx>
          <w:tblCellMar>
            <w:top w:w="0" w:type="dxa"/>
            <w:left w:w="108" w:type="dxa"/>
            <w:bottom w:w="0" w:type="dxa"/>
            <w:right w:w="108" w:type="dxa"/>
          </w:tblCellMar>
        </w:tblPrEx>
        <w:trPr>
          <w:trHeight w:val="572" w:hRule="atLeast"/>
        </w:trPr>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0685703D"/>
        </w:tc>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6854B9C0"/>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6E73F736">
            <w:pPr>
              <w:jc w:val="center"/>
            </w:pPr>
            <w:r>
              <w:rPr>
                <w:rFonts w:ascii="宋体" w:hAnsi="宋体" w:eastAsia="宋体"/>
                <w:sz w:val="16"/>
              </w:rPr>
              <w:t>组织开展“政务服务小课堂”场次</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4442F088">
            <w:pPr>
              <w:jc w:val="center"/>
            </w:pPr>
            <w:r>
              <w:rPr>
                <w:rFonts w:ascii="宋体" w:hAnsi="宋体" w:eastAsia="宋体"/>
                <w:sz w:val="16"/>
              </w:rPr>
              <w:t>&gt;=12次</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0B8D62EE">
            <w:pPr>
              <w:jc w:val="center"/>
            </w:pPr>
            <w:r>
              <w:rPr>
                <w:rFonts w:ascii="宋体" w:hAnsi="宋体" w:eastAsia="宋体"/>
                <w:sz w:val="16"/>
              </w:rPr>
              <w:t>工作总结及计划</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5799EDE4">
            <w:pPr>
              <w:jc w:val="center"/>
            </w:pPr>
            <w:r>
              <w:rPr>
                <w:rFonts w:ascii="宋体" w:hAnsi="宋体" w:eastAsia="宋体"/>
                <w:sz w:val="16"/>
              </w:rPr>
              <w:t>20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53F959B6">
            <w:pPr>
              <w:jc w:val="center"/>
            </w:pPr>
            <w:r>
              <w:rPr>
                <w:rFonts w:ascii="宋体" w:hAnsi="宋体" w:eastAsia="宋体"/>
                <w:sz w:val="16"/>
              </w:rPr>
              <w:t>12次</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65E34A8D">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77002A5">
            <w:pPr>
              <w:jc w:val="center"/>
            </w:pPr>
            <w:r>
              <w:rPr>
                <w:rFonts w:ascii="宋体" w:hAnsi="宋体" w:eastAsia="宋体"/>
                <w:sz w:val="16"/>
              </w:rPr>
              <w:t>20</w:t>
            </w:r>
          </w:p>
        </w:tc>
      </w:tr>
      <w:tr w14:paraId="3E7008EE">
        <w:tblPrEx>
          <w:tblCellMar>
            <w:top w:w="0" w:type="dxa"/>
            <w:left w:w="108" w:type="dxa"/>
            <w:bottom w:w="0" w:type="dxa"/>
            <w:right w:w="108" w:type="dxa"/>
          </w:tblCellMar>
        </w:tblPrEx>
        <w:trPr>
          <w:trHeight w:val="163" w:hRule="atLeast"/>
        </w:trPr>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51D6D67B"/>
        </w:tc>
        <w:tc>
          <w:tcPr>
            <w:tcW w:w="1026" w:type="dxa"/>
            <w:vMerge w:val="continue"/>
            <w:tcBorders>
              <w:top w:val="single" w:color="auto" w:sz="10" w:space="0"/>
              <w:left w:val="single" w:color="auto" w:sz="10" w:space="0"/>
              <w:bottom w:val="single" w:color="auto" w:sz="10" w:space="0"/>
              <w:right w:val="single" w:color="auto" w:sz="10" w:space="0"/>
              <w:insideV w:val="single" w:sz="10" w:space="0"/>
            </w:tcBorders>
          </w:tcPr>
          <w:p w14:paraId="13A8848A"/>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01FF6E12">
            <w:pPr>
              <w:jc w:val="center"/>
            </w:pPr>
            <w:r>
              <w:rPr>
                <w:rFonts w:ascii="宋体" w:hAnsi="宋体" w:eastAsia="宋体"/>
                <w:sz w:val="16"/>
              </w:rPr>
              <w:t>工程建设并联审批办理服务事项</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73839CFC">
            <w:pPr>
              <w:jc w:val="center"/>
            </w:pPr>
            <w:r>
              <w:rPr>
                <w:rFonts w:ascii="宋体" w:hAnsi="宋体" w:eastAsia="宋体"/>
                <w:sz w:val="16"/>
              </w:rPr>
              <w:t>&gt;=73件</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2EB8AB1D">
            <w:pPr>
              <w:jc w:val="center"/>
            </w:pPr>
            <w:r>
              <w:rPr>
                <w:rFonts w:ascii="宋体" w:hAnsi="宋体" w:eastAsia="宋体"/>
                <w:sz w:val="16"/>
              </w:rPr>
              <w:t>工作总结及计划</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4EC793FC">
            <w:pPr>
              <w:jc w:val="center"/>
            </w:pPr>
            <w:r>
              <w:rPr>
                <w:rFonts w:ascii="宋体" w:hAnsi="宋体" w:eastAsia="宋体"/>
                <w:sz w:val="16"/>
              </w:rPr>
              <w:t>10</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34B4A3EE">
            <w:pPr>
              <w:jc w:val="center"/>
            </w:pPr>
            <w:r>
              <w:rPr>
                <w:rFonts w:ascii="宋体" w:hAnsi="宋体" w:eastAsia="宋体"/>
                <w:sz w:val="16"/>
              </w:rPr>
              <w:t>73件</w:t>
            </w:r>
          </w:p>
        </w:tc>
        <w:tc>
          <w:tcPr>
            <w:tcW w:w="1026" w:type="dxa"/>
            <w:tcBorders>
              <w:top w:val="single" w:color="auto" w:sz="10" w:space="0"/>
              <w:left w:val="single" w:color="auto" w:sz="10" w:space="0"/>
              <w:bottom w:val="single" w:color="auto" w:sz="10" w:space="0"/>
              <w:right w:val="single" w:color="auto" w:sz="10" w:space="0"/>
              <w:insideV w:val="single" w:sz="10" w:space="0"/>
            </w:tcBorders>
            <w:vAlign w:val="center"/>
          </w:tcPr>
          <w:p w14:paraId="354A4200">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D62E839">
            <w:pPr>
              <w:jc w:val="center"/>
            </w:pPr>
            <w:r>
              <w:rPr>
                <w:rFonts w:ascii="宋体" w:hAnsi="宋体" w:eastAsia="宋体"/>
                <w:sz w:val="16"/>
              </w:rPr>
              <w:t>10</w:t>
            </w:r>
          </w:p>
        </w:tc>
      </w:tr>
    </w:tbl>
    <w:p w14:paraId="202CCA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A21EAF2">
        <w:tblPrEx>
          <w:tblCellMar>
            <w:top w:w="0" w:type="dxa"/>
            <w:left w:w="108" w:type="dxa"/>
            <w:bottom w:w="0" w:type="dxa"/>
            <w:right w:w="108" w:type="dxa"/>
          </w:tblCellMar>
        </w:tblPrEx>
        <w:tc>
          <w:tcPr>
            <w:tcW w:w="8848" w:type="dxa"/>
            <w:gridSpan w:val="14"/>
            <w:vAlign w:val="center"/>
          </w:tcPr>
          <w:p w14:paraId="0D114941">
            <w:pPr>
              <w:jc w:val="center"/>
            </w:pPr>
            <w:r>
              <w:rPr>
                <w:rFonts w:ascii="宋体" w:hAnsi="宋体" w:eastAsia="宋体"/>
                <w:sz w:val="24"/>
              </w:rPr>
              <w:t>项目支出绩效自评表</w:t>
            </w:r>
          </w:p>
        </w:tc>
      </w:tr>
      <w:tr w14:paraId="61359B8C">
        <w:tblPrEx>
          <w:tblCellMar>
            <w:top w:w="0" w:type="dxa"/>
            <w:left w:w="108" w:type="dxa"/>
            <w:bottom w:w="0" w:type="dxa"/>
            <w:right w:w="108" w:type="dxa"/>
          </w:tblCellMar>
        </w:tblPrEx>
        <w:tc>
          <w:tcPr>
            <w:tcW w:w="8848" w:type="dxa"/>
            <w:gridSpan w:val="14"/>
            <w:vAlign w:val="center"/>
          </w:tcPr>
          <w:p w14:paraId="4B02AEEE">
            <w:pPr>
              <w:jc w:val="center"/>
            </w:pPr>
            <w:r>
              <w:rPr>
                <w:rFonts w:ascii="宋体" w:hAnsi="宋体" w:eastAsia="宋体"/>
                <w:sz w:val="24"/>
              </w:rPr>
              <w:t>(2024年度)</w:t>
            </w:r>
          </w:p>
        </w:tc>
      </w:tr>
      <w:tr w14:paraId="74D50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BA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86F7BD">
            <w:pPr>
              <w:jc w:val="center"/>
            </w:pPr>
            <w:r>
              <w:rPr>
                <w:rFonts w:ascii="宋体" w:hAnsi="宋体" w:eastAsia="宋体"/>
                <w:sz w:val="16"/>
              </w:rPr>
              <w:t>叶城县行政服务中心工勤人员工资项目</w:t>
            </w:r>
          </w:p>
        </w:tc>
      </w:tr>
      <w:tr w14:paraId="51D9BE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9A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30F038">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3B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C17DDF">
            <w:pPr>
              <w:jc w:val="center"/>
            </w:pPr>
            <w:r>
              <w:rPr>
                <w:rFonts w:ascii="宋体" w:hAnsi="宋体" w:eastAsia="宋体"/>
                <w:sz w:val="16"/>
              </w:rPr>
              <w:t>叶城县行政服务中心</w:t>
            </w:r>
          </w:p>
        </w:tc>
      </w:tr>
      <w:tr w14:paraId="1DCAF4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FB4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6EE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A40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A39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81F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01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266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FE41">
            <w:pPr>
              <w:jc w:val="center"/>
            </w:pPr>
            <w:r>
              <w:rPr>
                <w:rFonts w:ascii="宋体" w:hAnsi="宋体" w:eastAsia="宋体"/>
                <w:sz w:val="16"/>
              </w:rPr>
              <w:t>得分</w:t>
            </w:r>
          </w:p>
        </w:tc>
      </w:tr>
      <w:tr w14:paraId="7AE64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670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32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D0099">
            <w:pPr>
              <w:jc w:val="center"/>
            </w:pPr>
            <w:r>
              <w:rPr>
                <w:rFonts w:ascii="宋体" w:hAnsi="宋体" w:eastAsia="宋体"/>
                <w:sz w:val="16"/>
              </w:rPr>
              <w:t>14.95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A535E">
            <w:pPr>
              <w:jc w:val="center"/>
            </w:pPr>
            <w:r>
              <w:rPr>
                <w:rFonts w:ascii="宋体" w:hAnsi="宋体" w:eastAsia="宋体"/>
                <w:sz w:val="16"/>
              </w:rPr>
              <w:t>14.95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02B6D">
            <w:pPr>
              <w:jc w:val="center"/>
            </w:pPr>
            <w:r>
              <w:rPr>
                <w:rFonts w:ascii="宋体" w:hAnsi="宋体" w:eastAsia="宋体"/>
                <w:sz w:val="16"/>
              </w:rPr>
              <w:t>13.80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16D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A3191">
            <w:pPr>
              <w:jc w:val="center"/>
            </w:pPr>
            <w:r>
              <w:rPr>
                <w:rFonts w:ascii="宋体" w:hAnsi="宋体" w:eastAsia="宋体"/>
                <w:sz w:val="16"/>
              </w:rPr>
              <w:t>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A547">
            <w:pPr>
              <w:jc w:val="center"/>
            </w:pPr>
            <w:r>
              <w:rPr>
                <w:rFonts w:ascii="宋体" w:hAnsi="宋体" w:eastAsia="宋体"/>
                <w:sz w:val="16"/>
              </w:rPr>
              <w:t>8.08分</w:t>
            </w:r>
          </w:p>
        </w:tc>
      </w:tr>
      <w:tr w14:paraId="79513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37E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AE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62203">
            <w:pPr>
              <w:jc w:val="center"/>
            </w:pPr>
            <w:r>
              <w:rPr>
                <w:rFonts w:ascii="宋体" w:hAnsi="宋体" w:eastAsia="宋体"/>
                <w:sz w:val="16"/>
              </w:rPr>
              <w:t>14.95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A12A2">
            <w:pPr>
              <w:jc w:val="center"/>
            </w:pPr>
            <w:r>
              <w:rPr>
                <w:rFonts w:ascii="宋体" w:hAnsi="宋体" w:eastAsia="宋体"/>
                <w:sz w:val="16"/>
              </w:rPr>
              <w:t>14.95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A65EB">
            <w:pPr>
              <w:jc w:val="center"/>
            </w:pPr>
            <w:r>
              <w:rPr>
                <w:rFonts w:ascii="宋体" w:hAnsi="宋体" w:eastAsia="宋体"/>
                <w:sz w:val="16"/>
              </w:rPr>
              <w:t>13.80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3CE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CEC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51E2">
            <w:pPr>
              <w:jc w:val="center"/>
            </w:pPr>
            <w:r>
              <w:rPr>
                <w:rFonts w:ascii="宋体" w:hAnsi="宋体" w:eastAsia="宋体"/>
                <w:sz w:val="16"/>
              </w:rPr>
              <w:t>—</w:t>
            </w:r>
          </w:p>
        </w:tc>
      </w:tr>
      <w:tr w14:paraId="0E000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DA5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EAEB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218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97E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068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4E3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CEC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20C5">
            <w:pPr>
              <w:jc w:val="center"/>
            </w:pPr>
            <w:r>
              <w:rPr>
                <w:rFonts w:ascii="宋体" w:hAnsi="宋体" w:eastAsia="宋体"/>
                <w:sz w:val="16"/>
              </w:rPr>
              <w:t>—</w:t>
            </w:r>
          </w:p>
        </w:tc>
      </w:tr>
      <w:tr w14:paraId="416704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FF69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926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79D472">
            <w:pPr>
              <w:jc w:val="center"/>
            </w:pPr>
            <w:r>
              <w:rPr>
                <w:rFonts w:ascii="宋体" w:hAnsi="宋体" w:eastAsia="宋体"/>
                <w:sz w:val="16"/>
              </w:rPr>
              <w:t>实际完成情况</w:t>
            </w:r>
          </w:p>
        </w:tc>
      </w:tr>
      <w:tr w14:paraId="61AF4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39A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B56391">
            <w:pPr>
              <w:jc w:val="both"/>
            </w:pPr>
            <w:r>
              <w:rPr>
                <w:rFonts w:ascii="宋体" w:hAnsi="宋体" w:eastAsia="宋体"/>
                <w:sz w:val="16"/>
              </w:rPr>
              <w:t>项目安排资金14.95万元，发放叶城县行政服务中心4个人2023年12月-2024年12月份的工资，人均工资为2875元/月，按时发放人员工资，提高工作人员积极性，有效保障叶城县行政服务中心后勤工作正常开展。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8A3853">
            <w:pPr>
              <w:jc w:val="both"/>
            </w:pPr>
            <w:r>
              <w:rPr>
                <w:rFonts w:hint="eastAsia" w:ascii="宋体" w:hAnsi="宋体"/>
                <w:sz w:val="16"/>
                <w:lang w:eastAsia="zh-CN"/>
              </w:rPr>
              <w:t>截至2024</w:t>
            </w:r>
            <w:r>
              <w:rPr>
                <w:rFonts w:ascii="宋体" w:hAnsi="宋体" w:eastAsia="宋体"/>
                <w:sz w:val="16"/>
              </w:rPr>
              <w:t>年12月31日，该项目实际支出13.8万元，发放了叶城县行政服务中心4个人2023年12月-2024年11月份的工资，按时发放人员工资，提高工作人员积极性，有效保障叶城县行政服务中心后勤工作正常开展。</w:t>
            </w:r>
          </w:p>
        </w:tc>
      </w:tr>
      <w:tr w14:paraId="5D5D6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E73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7C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F1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6D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B8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E3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E4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E5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98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2A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12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DA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1280C">
            <w:pPr>
              <w:jc w:val="center"/>
            </w:pPr>
            <w:r>
              <w:rPr>
                <w:rFonts w:ascii="宋体" w:hAnsi="宋体" w:eastAsia="宋体"/>
                <w:sz w:val="16"/>
              </w:rPr>
              <w:t>偏差原因分析及改进措施</w:t>
            </w:r>
          </w:p>
        </w:tc>
      </w:tr>
      <w:tr w14:paraId="26F9A0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1B5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D04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AF5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372F">
            <w:pPr>
              <w:jc w:val="center"/>
            </w:pPr>
            <w:r>
              <w:rPr>
                <w:rFonts w:ascii="宋体" w:hAnsi="宋体" w:eastAsia="宋体"/>
                <w:sz w:val="16"/>
              </w:rPr>
              <w:t>后勤工作人员人数（人）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C98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7A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654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CB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8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54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CAAE">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5E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FBBA8">
            <w:pPr>
              <w:jc w:val="center"/>
            </w:pPr>
          </w:p>
        </w:tc>
      </w:tr>
      <w:tr w14:paraId="67EC5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C1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9A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B1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894D">
            <w:pPr>
              <w:jc w:val="center"/>
            </w:pPr>
            <w:r>
              <w:rPr>
                <w:rFonts w:ascii="宋体" w:hAnsi="宋体" w:eastAsia="宋体"/>
                <w:sz w:val="16"/>
              </w:rPr>
              <w:t>发放月数(个)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A7F4">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A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E218">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DD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1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7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A121">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ED2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95F02">
            <w:pPr>
              <w:jc w:val="center"/>
            </w:pPr>
            <w:r>
              <w:rPr>
                <w:rFonts w:ascii="宋体" w:hAnsi="宋体" w:eastAsia="宋体"/>
                <w:sz w:val="16"/>
              </w:rPr>
              <w:t>偏差原因：该项目已发放12个月工资，最后一笔钱未能在财政轧账前支付完毕；改进措施：加快支付进度。</w:t>
            </w:r>
          </w:p>
        </w:tc>
      </w:tr>
      <w:tr w14:paraId="7F800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C80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AC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E8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1D9C">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7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C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A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E7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BA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7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7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8C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A48BB">
            <w:pPr>
              <w:jc w:val="center"/>
            </w:pPr>
          </w:p>
        </w:tc>
      </w:tr>
      <w:tr w14:paraId="14CA5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2A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61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16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46D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7F3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DC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9EBA">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B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8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46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7A61">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4165">
            <w:pPr>
              <w:jc w:val="center"/>
            </w:pPr>
            <w:r>
              <w:rPr>
                <w:rFonts w:ascii="宋体" w:hAnsi="宋体" w:eastAsia="宋体"/>
                <w:sz w:val="16"/>
              </w:rPr>
              <w:t>8.07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BE83">
            <w:pPr>
              <w:jc w:val="center"/>
            </w:pPr>
            <w:r>
              <w:rPr>
                <w:rFonts w:ascii="宋体" w:hAnsi="宋体" w:eastAsia="宋体"/>
                <w:sz w:val="16"/>
              </w:rPr>
              <w:t>偏差原因：该项目已发放12个月工资，最后一笔钱未能在财政轧账前支付完毕；改进措施：加快支付进度。</w:t>
            </w:r>
          </w:p>
        </w:tc>
      </w:tr>
      <w:tr w14:paraId="616B9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1D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41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6F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38FE">
            <w:pPr>
              <w:jc w:val="center"/>
            </w:pPr>
            <w:r>
              <w:rPr>
                <w:rFonts w:ascii="宋体" w:hAnsi="宋体" w:eastAsia="宋体"/>
                <w:sz w:val="16"/>
              </w:rPr>
              <w:t>后勤人员人均工资成本（元/人/月）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D9AC">
            <w:pPr>
              <w:jc w:val="center"/>
            </w:pPr>
            <w:r>
              <w:rPr>
                <w:rFonts w:ascii="宋体" w:hAnsi="宋体" w:eastAsia="宋体"/>
                <w:sz w:val="16"/>
              </w:rPr>
              <w:t>&lt;=2875元/人/月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B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7FDD">
            <w:pPr>
              <w:jc w:val="center"/>
            </w:pPr>
            <w:r>
              <w:rPr>
                <w:rFonts w:ascii="宋体" w:hAnsi="宋体" w:eastAsia="宋体"/>
                <w:sz w:val="16"/>
              </w:rPr>
              <w:t>2875元/人/月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47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83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0A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7854">
            <w:pPr>
              <w:jc w:val="center"/>
            </w:pPr>
            <w:r>
              <w:rPr>
                <w:rFonts w:ascii="宋体" w:hAnsi="宋体" w:eastAsia="宋体"/>
                <w:sz w:val="16"/>
              </w:rPr>
              <w:t>=2875元/人/月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554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0F628">
            <w:pPr>
              <w:jc w:val="center"/>
            </w:pPr>
          </w:p>
        </w:tc>
      </w:tr>
      <w:tr w14:paraId="68C53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4E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89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B2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7A62">
            <w:pPr>
              <w:jc w:val="center"/>
            </w:pPr>
            <w:r>
              <w:rPr>
                <w:rFonts w:ascii="宋体" w:hAnsi="宋体" w:eastAsia="宋体"/>
                <w:sz w:val="16"/>
              </w:rPr>
              <w:t>有效保障叶城县行政服务中心后勤工作正常开展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CF5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A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009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9C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F8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6F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DD8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A8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5BD8F">
            <w:pPr>
              <w:jc w:val="center"/>
            </w:pPr>
          </w:p>
        </w:tc>
      </w:tr>
      <w:tr w14:paraId="6FA1B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6A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DC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9D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0B10">
            <w:pPr>
              <w:jc w:val="center"/>
            </w:pPr>
            <w:r>
              <w:rPr>
                <w:rFonts w:ascii="宋体" w:hAnsi="宋体" w:eastAsia="宋体"/>
                <w:sz w:val="16"/>
              </w:rPr>
              <w:t>后勤人员满意度（%）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B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5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D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B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A5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5CE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D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E8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5F042">
            <w:pPr>
              <w:jc w:val="center"/>
            </w:pPr>
          </w:p>
        </w:tc>
      </w:tr>
      <w:tr w14:paraId="05C35E3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338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3A1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85BA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9F23">
            <w:pPr>
              <w:jc w:val="center"/>
            </w:pPr>
            <w:r>
              <w:rPr>
                <w:rFonts w:ascii="宋体" w:hAnsi="宋体" w:eastAsia="宋体"/>
                <w:sz w:val="16"/>
              </w:rPr>
              <w:t>94.15分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18D179"/>
        </w:tc>
      </w:tr>
    </w:tbl>
    <w:p w14:paraId="02943B61">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226B401F">
        <w:tblPrEx>
          <w:tblCellMar>
            <w:top w:w="0" w:type="dxa"/>
            <w:left w:w="108" w:type="dxa"/>
            <w:bottom w:w="0" w:type="dxa"/>
            <w:right w:w="108" w:type="dxa"/>
          </w:tblCellMar>
        </w:tblPrEx>
        <w:tc>
          <w:tcPr>
            <w:tcW w:w="8848" w:type="dxa"/>
            <w:gridSpan w:val="14"/>
            <w:vAlign w:val="center"/>
          </w:tcPr>
          <w:p w14:paraId="2DA5CE5C">
            <w:pPr>
              <w:jc w:val="center"/>
            </w:pPr>
            <w:r>
              <w:rPr>
                <w:rFonts w:ascii="宋体" w:hAnsi="宋体" w:eastAsia="宋体"/>
                <w:sz w:val="24"/>
              </w:rPr>
              <w:t>项目支出绩效自评表</w:t>
            </w:r>
          </w:p>
        </w:tc>
      </w:tr>
      <w:tr w14:paraId="1E1BF26D">
        <w:tblPrEx>
          <w:tblCellMar>
            <w:top w:w="0" w:type="dxa"/>
            <w:left w:w="108" w:type="dxa"/>
            <w:bottom w:w="0" w:type="dxa"/>
            <w:right w:w="108" w:type="dxa"/>
          </w:tblCellMar>
        </w:tblPrEx>
        <w:tc>
          <w:tcPr>
            <w:tcW w:w="8848" w:type="dxa"/>
            <w:gridSpan w:val="14"/>
            <w:vAlign w:val="center"/>
          </w:tcPr>
          <w:p w14:paraId="733B52AC">
            <w:pPr>
              <w:jc w:val="center"/>
            </w:pPr>
            <w:r>
              <w:rPr>
                <w:rFonts w:ascii="宋体" w:hAnsi="宋体" w:eastAsia="宋体"/>
                <w:sz w:val="24"/>
              </w:rPr>
              <w:t>(2024年度)</w:t>
            </w:r>
          </w:p>
        </w:tc>
      </w:tr>
      <w:tr w14:paraId="6157E8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E8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D2BE60">
            <w:pPr>
              <w:jc w:val="center"/>
            </w:pPr>
            <w:r>
              <w:rPr>
                <w:rFonts w:ascii="宋体" w:hAnsi="宋体" w:eastAsia="宋体"/>
                <w:sz w:val="16"/>
              </w:rPr>
              <w:t>叶城县行政服务中心运转工作经费项目</w:t>
            </w:r>
          </w:p>
        </w:tc>
      </w:tr>
      <w:tr w14:paraId="79DCD0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7B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475FD">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69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ECB9A3">
            <w:pPr>
              <w:jc w:val="center"/>
            </w:pPr>
            <w:r>
              <w:rPr>
                <w:rFonts w:ascii="宋体" w:hAnsi="宋体" w:eastAsia="宋体"/>
                <w:sz w:val="16"/>
              </w:rPr>
              <w:t>叶城县行政服务中心</w:t>
            </w:r>
          </w:p>
        </w:tc>
      </w:tr>
      <w:tr w14:paraId="7C511F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6FE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DFD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A4E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0AF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517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B8E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09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C16F">
            <w:pPr>
              <w:jc w:val="center"/>
            </w:pPr>
            <w:r>
              <w:rPr>
                <w:rFonts w:ascii="宋体" w:hAnsi="宋体" w:eastAsia="宋体"/>
                <w:sz w:val="16"/>
              </w:rPr>
              <w:t>得分</w:t>
            </w:r>
          </w:p>
        </w:tc>
      </w:tr>
      <w:tr w14:paraId="1C930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1BE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0D2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4991">
            <w:pPr>
              <w:jc w:val="center"/>
            </w:pPr>
            <w:r>
              <w:rPr>
                <w:rFonts w:ascii="宋体" w:hAnsi="宋体" w:eastAsia="宋体"/>
                <w:sz w:val="16"/>
              </w:rPr>
              <w:t>80.72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A71C5">
            <w:pPr>
              <w:jc w:val="center"/>
            </w:pPr>
            <w:r>
              <w:rPr>
                <w:rFonts w:ascii="宋体" w:hAnsi="宋体" w:eastAsia="宋体"/>
                <w:sz w:val="16"/>
              </w:rPr>
              <w:t>80.72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F57E6">
            <w:pPr>
              <w:jc w:val="center"/>
            </w:pPr>
            <w:r>
              <w:rPr>
                <w:rFonts w:ascii="宋体" w:hAnsi="宋体" w:eastAsia="宋体"/>
                <w:sz w:val="16"/>
              </w:rPr>
              <w:t>43.07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DD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083A3">
            <w:pPr>
              <w:jc w:val="center"/>
            </w:pPr>
            <w:r>
              <w:rPr>
                <w:rFonts w:ascii="宋体" w:hAnsi="宋体" w:eastAsia="宋体"/>
                <w:sz w:val="16"/>
              </w:rPr>
              <w:t>53.4%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DABE">
            <w:pPr>
              <w:jc w:val="center"/>
            </w:pPr>
            <w:r>
              <w:rPr>
                <w:rFonts w:ascii="宋体" w:hAnsi="宋体" w:eastAsia="宋体"/>
                <w:sz w:val="16"/>
              </w:rPr>
              <w:t>0.00分</w:t>
            </w:r>
          </w:p>
        </w:tc>
      </w:tr>
      <w:tr w14:paraId="15AFA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837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EC2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C098E">
            <w:pPr>
              <w:jc w:val="center"/>
            </w:pPr>
            <w:r>
              <w:rPr>
                <w:rFonts w:ascii="宋体" w:hAnsi="宋体" w:eastAsia="宋体"/>
                <w:sz w:val="16"/>
              </w:rPr>
              <w:t>80.72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3923E">
            <w:pPr>
              <w:jc w:val="center"/>
            </w:pPr>
            <w:r>
              <w:rPr>
                <w:rFonts w:ascii="宋体" w:hAnsi="宋体" w:eastAsia="宋体"/>
                <w:sz w:val="16"/>
              </w:rPr>
              <w:t>80.72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261BC">
            <w:pPr>
              <w:jc w:val="center"/>
            </w:pPr>
            <w:r>
              <w:rPr>
                <w:rFonts w:ascii="宋体" w:hAnsi="宋体" w:eastAsia="宋体"/>
                <w:sz w:val="16"/>
              </w:rPr>
              <w:t>43.07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F64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E7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54E5">
            <w:pPr>
              <w:jc w:val="center"/>
            </w:pPr>
            <w:r>
              <w:rPr>
                <w:rFonts w:ascii="宋体" w:hAnsi="宋体" w:eastAsia="宋体"/>
                <w:sz w:val="16"/>
              </w:rPr>
              <w:t>—</w:t>
            </w:r>
          </w:p>
        </w:tc>
      </w:tr>
      <w:tr w14:paraId="62AB9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64D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1E7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8A9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5F5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1B6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C35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20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4BD1">
            <w:pPr>
              <w:jc w:val="center"/>
            </w:pPr>
            <w:r>
              <w:rPr>
                <w:rFonts w:ascii="宋体" w:hAnsi="宋体" w:eastAsia="宋体"/>
                <w:sz w:val="16"/>
              </w:rPr>
              <w:t>—</w:t>
            </w:r>
          </w:p>
        </w:tc>
      </w:tr>
      <w:tr w14:paraId="3B3ACA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6B0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7EF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7BCE25">
            <w:pPr>
              <w:jc w:val="center"/>
            </w:pPr>
            <w:r>
              <w:rPr>
                <w:rFonts w:ascii="宋体" w:hAnsi="宋体" w:eastAsia="宋体"/>
                <w:sz w:val="16"/>
              </w:rPr>
              <w:t>实际完成情况</w:t>
            </w:r>
          </w:p>
        </w:tc>
      </w:tr>
      <w:tr w14:paraId="58F89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C50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B2F84">
            <w:pPr>
              <w:jc w:val="both"/>
            </w:pPr>
            <w:r>
              <w:rPr>
                <w:rFonts w:ascii="宋体" w:hAnsi="宋体" w:eastAsia="宋体"/>
                <w:sz w:val="16"/>
              </w:rPr>
              <w:t>项目预算安排资金80.72万元，支付水费、设备更换及维修费，用于保障行政服务中心各楼层单位和办事大厅正常运转，为办事群众和工作人员提供舒适的办事环境。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729985">
            <w:pPr>
              <w:jc w:val="both"/>
            </w:pPr>
            <w:r>
              <w:rPr>
                <w:rFonts w:hint="eastAsia" w:ascii="宋体" w:hAnsi="宋体"/>
                <w:sz w:val="16"/>
                <w:lang w:eastAsia="zh-CN"/>
              </w:rPr>
              <w:t>截至2024</w:t>
            </w:r>
            <w:r>
              <w:rPr>
                <w:rFonts w:ascii="宋体" w:hAnsi="宋体" w:eastAsia="宋体"/>
                <w:sz w:val="16"/>
              </w:rPr>
              <w:t>年12月31日，该项目实际支出43.07万元，支付了水费、设备更换及维修费，用于保障行政服务中心各楼层单位和办事大厅正常运转，为办事群众和工作人员提供舒适的办事环境。</w:t>
            </w:r>
          </w:p>
        </w:tc>
      </w:tr>
      <w:tr w14:paraId="7FF798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734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15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4F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3D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87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0E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AC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C2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D1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1E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F3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92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FF83C">
            <w:pPr>
              <w:jc w:val="center"/>
            </w:pPr>
            <w:r>
              <w:rPr>
                <w:rFonts w:ascii="宋体" w:hAnsi="宋体" w:eastAsia="宋体"/>
                <w:sz w:val="16"/>
              </w:rPr>
              <w:t>偏差原因分析及改进措施</w:t>
            </w:r>
          </w:p>
        </w:tc>
      </w:tr>
      <w:tr w14:paraId="405068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249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F72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5C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1362">
            <w:pPr>
              <w:jc w:val="center"/>
            </w:pPr>
            <w:r>
              <w:rPr>
                <w:rFonts w:ascii="宋体" w:hAnsi="宋体" w:eastAsia="宋体"/>
                <w:sz w:val="16"/>
              </w:rPr>
              <w:t>保障单位个数（个）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CCF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5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93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99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E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9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6DB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6A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DF0C8">
            <w:pPr>
              <w:jc w:val="center"/>
            </w:pPr>
          </w:p>
        </w:tc>
      </w:tr>
      <w:tr w14:paraId="4A750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0B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7C9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D8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5BBA">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8B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5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D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86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5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38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1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C3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D681E">
            <w:pPr>
              <w:jc w:val="center"/>
            </w:pPr>
          </w:p>
        </w:tc>
      </w:tr>
      <w:tr w14:paraId="13E0F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86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DF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A7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B01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0C5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B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B4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0D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C3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A6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F041">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42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E8801">
            <w:pPr>
              <w:jc w:val="center"/>
            </w:pPr>
            <w:r>
              <w:rPr>
                <w:rFonts w:ascii="宋体" w:hAnsi="宋体" w:eastAsia="宋体"/>
                <w:sz w:val="16"/>
              </w:rPr>
              <w:t>偏差原因：因前期资料准备缓慢，未能及时支出；改进措施：加快支付进度</w:t>
            </w:r>
          </w:p>
        </w:tc>
      </w:tr>
      <w:tr w14:paraId="3BB5B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FE6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AA8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A2B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EFC8">
            <w:pPr>
              <w:jc w:val="center"/>
            </w:pPr>
            <w:r>
              <w:rPr>
                <w:rFonts w:ascii="宋体" w:hAnsi="宋体" w:eastAsia="宋体"/>
                <w:sz w:val="16"/>
              </w:rPr>
              <w:t>拖欠用水费用（万元）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30ED">
            <w:pPr>
              <w:jc w:val="center"/>
            </w:pPr>
            <w:r>
              <w:rPr>
                <w:rFonts w:ascii="宋体" w:hAnsi="宋体" w:eastAsia="宋体"/>
                <w:sz w:val="16"/>
              </w:rPr>
              <w:t>&lt;=44.20万元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D0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57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11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9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F8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C177">
            <w:pPr>
              <w:jc w:val="center"/>
            </w:pPr>
            <w:r>
              <w:rPr>
                <w:rFonts w:ascii="宋体" w:hAnsi="宋体" w:eastAsia="宋体"/>
                <w:sz w:val="16"/>
              </w:rPr>
              <w:t>=19.99万元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55F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5F21">
            <w:pPr>
              <w:jc w:val="center"/>
            </w:pPr>
            <w:r>
              <w:rPr>
                <w:rFonts w:ascii="宋体" w:hAnsi="宋体" w:eastAsia="宋体"/>
                <w:sz w:val="16"/>
              </w:rPr>
              <w:t>偏差原因：因前期资料准备缓慢，未能及时支出；改进措施：加快支付进度</w:t>
            </w:r>
          </w:p>
        </w:tc>
      </w:tr>
      <w:tr w14:paraId="008DE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9C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A1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06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1918">
            <w:pPr>
              <w:jc w:val="center"/>
            </w:pPr>
            <w:r>
              <w:rPr>
                <w:rFonts w:ascii="宋体" w:hAnsi="宋体" w:eastAsia="宋体"/>
                <w:sz w:val="16"/>
              </w:rPr>
              <w:t>设备维修更换费用（万元）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7B8C">
            <w:pPr>
              <w:jc w:val="center"/>
            </w:pPr>
            <w:r>
              <w:rPr>
                <w:rFonts w:ascii="宋体" w:hAnsi="宋体" w:eastAsia="宋体"/>
                <w:sz w:val="16"/>
              </w:rPr>
              <w:t>&lt;=36.52万元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9C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EA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3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7B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EC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8697">
            <w:pPr>
              <w:jc w:val="center"/>
            </w:pPr>
            <w:r>
              <w:rPr>
                <w:rFonts w:ascii="宋体" w:hAnsi="宋体" w:eastAsia="宋体"/>
                <w:sz w:val="16"/>
              </w:rPr>
              <w:t>=23.07万元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4A23">
            <w:pPr>
              <w:jc w:val="center"/>
            </w:pPr>
            <w:r>
              <w:rPr>
                <w:rFonts w:ascii="宋体" w:hAnsi="宋体" w:eastAsia="宋体"/>
                <w:sz w:val="16"/>
              </w:rPr>
              <w:t>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66918">
            <w:pPr>
              <w:jc w:val="center"/>
            </w:pPr>
            <w:r>
              <w:rPr>
                <w:rFonts w:ascii="宋体" w:hAnsi="宋体" w:eastAsia="宋体"/>
                <w:sz w:val="16"/>
              </w:rPr>
              <w:t>偏差原因：因前期资料准备缓慢，未能及时支出；改进措施：加快支付进度</w:t>
            </w:r>
          </w:p>
        </w:tc>
      </w:tr>
      <w:tr w14:paraId="734BA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93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7E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24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807C">
            <w:pPr>
              <w:jc w:val="center"/>
            </w:pPr>
            <w:r>
              <w:rPr>
                <w:rFonts w:ascii="宋体" w:hAnsi="宋体" w:eastAsia="宋体"/>
                <w:sz w:val="16"/>
              </w:rPr>
              <w:t>提升工作人员积极性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DE4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E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8C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18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F4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CE4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1B7F">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788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A69F4">
            <w:pPr>
              <w:jc w:val="center"/>
            </w:pPr>
            <w:r>
              <w:rPr>
                <w:rFonts w:ascii="宋体" w:hAnsi="宋体" w:eastAsia="宋体"/>
                <w:sz w:val="16"/>
              </w:rPr>
              <w:t>偏差原因：因前期资料准备缓慢，未能及时支出；改进措施：加快支付进度</w:t>
            </w:r>
          </w:p>
        </w:tc>
      </w:tr>
      <w:tr w14:paraId="21D8F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57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B3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27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404D">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A8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BE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C9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2B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50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77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3D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6A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9BA62">
            <w:pPr>
              <w:jc w:val="center"/>
            </w:pPr>
          </w:p>
        </w:tc>
      </w:tr>
      <w:tr w14:paraId="1B1D74D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2115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58A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8AA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0FF1">
            <w:pPr>
              <w:jc w:val="center"/>
            </w:pPr>
            <w:r>
              <w:rPr>
                <w:rFonts w:ascii="宋体" w:hAnsi="宋体" w:eastAsia="宋体"/>
                <w:sz w:val="16"/>
              </w:rPr>
              <w:t>40.75分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4C92AF"/>
        </w:tc>
      </w:tr>
    </w:tbl>
    <w:p w14:paraId="026F765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6"/>
        <w:gridCol w:w="626"/>
        <w:gridCol w:w="628"/>
        <w:gridCol w:w="626"/>
        <w:gridCol w:w="628"/>
        <w:gridCol w:w="696"/>
        <w:gridCol w:w="632"/>
        <w:gridCol w:w="617"/>
        <w:gridCol w:w="630"/>
      </w:tblGrid>
      <w:tr w14:paraId="2404278F">
        <w:tblPrEx>
          <w:tblCellMar>
            <w:top w:w="0" w:type="dxa"/>
            <w:left w:w="108" w:type="dxa"/>
            <w:bottom w:w="0" w:type="dxa"/>
            <w:right w:w="108" w:type="dxa"/>
          </w:tblCellMar>
        </w:tblPrEx>
        <w:tc>
          <w:tcPr>
            <w:tcW w:w="8848" w:type="dxa"/>
            <w:gridSpan w:val="14"/>
            <w:vAlign w:val="center"/>
          </w:tcPr>
          <w:p w14:paraId="0131444D">
            <w:pPr>
              <w:jc w:val="center"/>
            </w:pPr>
            <w:r>
              <w:rPr>
                <w:rFonts w:ascii="宋体" w:hAnsi="宋体" w:eastAsia="宋体"/>
                <w:sz w:val="24"/>
              </w:rPr>
              <w:t>项目支出绩效自评表</w:t>
            </w:r>
          </w:p>
        </w:tc>
      </w:tr>
      <w:tr w14:paraId="73FDE966">
        <w:tblPrEx>
          <w:tblCellMar>
            <w:top w:w="0" w:type="dxa"/>
            <w:left w:w="108" w:type="dxa"/>
            <w:bottom w:w="0" w:type="dxa"/>
            <w:right w:w="108" w:type="dxa"/>
          </w:tblCellMar>
        </w:tblPrEx>
        <w:tc>
          <w:tcPr>
            <w:tcW w:w="8848" w:type="dxa"/>
            <w:gridSpan w:val="14"/>
            <w:vAlign w:val="center"/>
          </w:tcPr>
          <w:p w14:paraId="6903791D">
            <w:pPr>
              <w:jc w:val="center"/>
            </w:pPr>
            <w:r>
              <w:rPr>
                <w:rFonts w:ascii="宋体" w:hAnsi="宋体" w:eastAsia="宋体"/>
                <w:sz w:val="24"/>
              </w:rPr>
              <w:t>(2024年度)</w:t>
            </w:r>
          </w:p>
        </w:tc>
      </w:tr>
      <w:tr w14:paraId="2C6511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1B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C4E6B8">
            <w:pPr>
              <w:jc w:val="center"/>
            </w:pPr>
            <w:r>
              <w:rPr>
                <w:rFonts w:ascii="宋体" w:hAnsi="宋体" w:eastAsia="宋体"/>
                <w:sz w:val="16"/>
              </w:rPr>
              <w:t>叶城县行政服务中心运转经费项目（第二批）</w:t>
            </w:r>
          </w:p>
        </w:tc>
      </w:tr>
      <w:tr w14:paraId="368A2D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A4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B24D7">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C6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FCC483">
            <w:pPr>
              <w:jc w:val="center"/>
            </w:pPr>
            <w:r>
              <w:rPr>
                <w:rFonts w:ascii="宋体" w:hAnsi="宋体" w:eastAsia="宋体"/>
                <w:sz w:val="16"/>
              </w:rPr>
              <w:t>叶城县行政服务中心</w:t>
            </w:r>
          </w:p>
        </w:tc>
      </w:tr>
      <w:tr w14:paraId="6F23B2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BDD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773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9E5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E17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8E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B49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2D8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5667">
            <w:pPr>
              <w:jc w:val="center"/>
            </w:pPr>
            <w:r>
              <w:rPr>
                <w:rFonts w:ascii="宋体" w:hAnsi="宋体" w:eastAsia="宋体"/>
                <w:sz w:val="16"/>
              </w:rPr>
              <w:t>得分</w:t>
            </w:r>
          </w:p>
        </w:tc>
      </w:tr>
      <w:tr w14:paraId="230EE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348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7F5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1EB8B">
            <w:pPr>
              <w:jc w:val="center"/>
            </w:pPr>
            <w:r>
              <w:rPr>
                <w:rFonts w:ascii="宋体" w:hAnsi="宋体" w:eastAsia="宋体"/>
                <w:sz w:val="16"/>
              </w:rPr>
              <w:t>78.16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01727">
            <w:pPr>
              <w:jc w:val="center"/>
            </w:pPr>
            <w:r>
              <w:rPr>
                <w:rFonts w:ascii="宋体" w:hAnsi="宋体" w:eastAsia="宋体"/>
                <w:sz w:val="16"/>
              </w:rPr>
              <w:t>78.16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20715">
            <w:pPr>
              <w:jc w:val="center"/>
            </w:pPr>
            <w:r>
              <w:rPr>
                <w:rFonts w:ascii="宋体" w:hAnsi="宋体" w:eastAsia="宋体"/>
                <w:sz w:val="16"/>
              </w:rPr>
              <w:t>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0C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AF46A">
            <w:pPr>
              <w:jc w:val="center"/>
            </w:pPr>
            <w:r>
              <w:rPr>
                <w:rFonts w:ascii="宋体" w:hAnsi="宋体" w:eastAsia="宋体"/>
                <w:sz w:val="16"/>
              </w:rPr>
              <w:t>75.5%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9546">
            <w:pPr>
              <w:jc w:val="center"/>
            </w:pPr>
            <w:r>
              <w:rPr>
                <w:rFonts w:ascii="宋体" w:hAnsi="宋体" w:eastAsia="宋体"/>
                <w:sz w:val="16"/>
              </w:rPr>
              <w:t>3.87分</w:t>
            </w:r>
          </w:p>
        </w:tc>
      </w:tr>
      <w:tr w14:paraId="5442C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21A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2A5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6B20A">
            <w:pPr>
              <w:jc w:val="center"/>
            </w:pPr>
            <w:r>
              <w:rPr>
                <w:rFonts w:ascii="宋体" w:hAnsi="宋体" w:eastAsia="宋体"/>
                <w:sz w:val="16"/>
              </w:rPr>
              <w:t>78.16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F8DDE">
            <w:pPr>
              <w:jc w:val="center"/>
            </w:pPr>
            <w:r>
              <w:rPr>
                <w:rFonts w:ascii="宋体" w:hAnsi="宋体" w:eastAsia="宋体"/>
                <w:sz w:val="16"/>
              </w:rPr>
              <w:t>78.16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82549">
            <w:pPr>
              <w:jc w:val="center"/>
            </w:pPr>
            <w:r>
              <w:rPr>
                <w:rFonts w:ascii="宋体" w:hAnsi="宋体" w:eastAsia="宋体"/>
                <w:sz w:val="16"/>
              </w:rPr>
              <w:t>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891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1A8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5FB2">
            <w:pPr>
              <w:jc w:val="center"/>
            </w:pPr>
            <w:r>
              <w:rPr>
                <w:rFonts w:ascii="宋体" w:hAnsi="宋体" w:eastAsia="宋体"/>
                <w:sz w:val="16"/>
              </w:rPr>
              <w:t>—</w:t>
            </w:r>
          </w:p>
        </w:tc>
      </w:tr>
      <w:tr w14:paraId="75E0A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45A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073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0DE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C3C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5FB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B21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9B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4E8F">
            <w:pPr>
              <w:jc w:val="center"/>
            </w:pPr>
            <w:r>
              <w:rPr>
                <w:rFonts w:ascii="宋体" w:hAnsi="宋体" w:eastAsia="宋体"/>
                <w:sz w:val="16"/>
              </w:rPr>
              <w:t>—</w:t>
            </w:r>
          </w:p>
        </w:tc>
      </w:tr>
      <w:tr w14:paraId="0C2838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2BE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57D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E9AB00">
            <w:pPr>
              <w:jc w:val="center"/>
            </w:pPr>
            <w:r>
              <w:rPr>
                <w:rFonts w:ascii="宋体" w:hAnsi="宋体" w:eastAsia="宋体"/>
                <w:sz w:val="16"/>
              </w:rPr>
              <w:t>实际完成情况</w:t>
            </w:r>
          </w:p>
        </w:tc>
      </w:tr>
      <w:tr w14:paraId="5D979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7E3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1EB8E">
            <w:pPr>
              <w:jc w:val="both"/>
            </w:pPr>
            <w:r>
              <w:rPr>
                <w:rFonts w:ascii="宋体" w:hAnsi="宋体" w:eastAsia="宋体"/>
                <w:sz w:val="16"/>
              </w:rPr>
              <w:t>项目预算安排资金78.16万元，其中：财政资金78.16万元，其他资金 0 万元。用于保障行政服务中心各楼层单位和办事大厅正常运转，为办事群众和工作人员提供舒适的办事环境。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91B81C">
            <w:pPr>
              <w:jc w:val="both"/>
            </w:pPr>
            <w:r>
              <w:rPr>
                <w:rFonts w:hint="eastAsia" w:ascii="宋体" w:hAnsi="宋体"/>
                <w:sz w:val="16"/>
                <w:lang w:eastAsia="zh-CN"/>
              </w:rPr>
              <w:t>截至</w:t>
            </w:r>
            <w:r>
              <w:rPr>
                <w:rFonts w:ascii="宋体" w:hAnsi="宋体" w:eastAsia="宋体"/>
                <w:sz w:val="16"/>
              </w:rPr>
              <w:t>2024年12月31日，该项目实际支出59万元，用于保障行政服务中心各楼层单位和办事大厅正常运转，为办事群众和工作人员提供舒适的办事环境。</w:t>
            </w:r>
          </w:p>
        </w:tc>
      </w:tr>
      <w:tr w14:paraId="7BBDE0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B02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71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81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22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95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74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13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1E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93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A0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F9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CD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468EA">
            <w:pPr>
              <w:jc w:val="center"/>
            </w:pPr>
            <w:r>
              <w:rPr>
                <w:rFonts w:ascii="宋体" w:hAnsi="宋体" w:eastAsia="宋体"/>
                <w:sz w:val="16"/>
              </w:rPr>
              <w:t>偏差原因分析及改进措施</w:t>
            </w:r>
          </w:p>
        </w:tc>
      </w:tr>
      <w:tr w14:paraId="58A2F5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752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4BE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7A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FA02">
            <w:pPr>
              <w:jc w:val="center"/>
            </w:pPr>
            <w:r>
              <w:rPr>
                <w:rFonts w:ascii="宋体" w:hAnsi="宋体" w:eastAsia="宋体"/>
                <w:sz w:val="16"/>
              </w:rPr>
              <w:t>保障正常运转单位数量（个）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84E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A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88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6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A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1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EFE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A9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6A7CF">
            <w:pPr>
              <w:jc w:val="center"/>
            </w:pPr>
          </w:p>
        </w:tc>
      </w:tr>
      <w:tr w14:paraId="52B0B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A0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5A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BC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1054">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3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F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6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D3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7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A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B8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3D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2A4A9">
            <w:pPr>
              <w:jc w:val="center"/>
            </w:pPr>
          </w:p>
        </w:tc>
      </w:tr>
      <w:tr w14:paraId="6F8F1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43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94D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032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345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32A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7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7A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9B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0E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5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CBAC">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3563">
            <w:pPr>
              <w:jc w:val="center"/>
            </w:pPr>
            <w:r>
              <w:rPr>
                <w:rFonts w:ascii="宋体" w:hAnsi="宋体" w:eastAsia="宋体"/>
                <w:sz w:val="16"/>
              </w:rPr>
              <w:t>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A054">
            <w:pPr>
              <w:jc w:val="center"/>
            </w:pPr>
            <w:r>
              <w:rPr>
                <w:rFonts w:ascii="宋体" w:hAnsi="宋体" w:eastAsia="宋体"/>
                <w:sz w:val="16"/>
              </w:rPr>
              <w:t>偏差原因：因支付申请手续进度缓慢，未能及时支出；改进措施：加快支付进度。</w:t>
            </w:r>
          </w:p>
        </w:tc>
      </w:tr>
      <w:tr w14:paraId="6B13A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F8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DD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0F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D8D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0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6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A3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F6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2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0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8575">
            <w:pPr>
              <w:jc w:val="center"/>
            </w:pPr>
            <w:r>
              <w:rPr>
                <w:rFonts w:ascii="宋体" w:hAnsi="宋体" w:eastAsia="宋体"/>
                <w:sz w:val="16"/>
              </w:rPr>
              <w:t>=75.5%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7907">
            <w:pPr>
              <w:jc w:val="center"/>
            </w:pPr>
            <w:r>
              <w:rPr>
                <w:rFonts w:ascii="宋体" w:hAnsi="宋体" w:eastAsia="宋体"/>
                <w:sz w:val="16"/>
              </w:rPr>
              <w:t>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FE3C2">
            <w:pPr>
              <w:jc w:val="center"/>
            </w:pPr>
            <w:r>
              <w:rPr>
                <w:rFonts w:ascii="宋体" w:hAnsi="宋体" w:eastAsia="宋体"/>
                <w:sz w:val="16"/>
              </w:rPr>
              <w:t>偏差原因：因支付申请手续进度缓慢，未能及时支出；改进措施：加快支付进度。</w:t>
            </w:r>
          </w:p>
        </w:tc>
      </w:tr>
      <w:tr w14:paraId="768B9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98B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7A8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B89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8420">
            <w:pPr>
              <w:jc w:val="center"/>
            </w:pPr>
            <w:r>
              <w:rPr>
                <w:rFonts w:ascii="宋体" w:hAnsi="宋体" w:eastAsia="宋体"/>
                <w:sz w:val="16"/>
              </w:rPr>
              <w:t>取暖费（万元）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9464">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B0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A3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D5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9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28E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B465">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EFC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D1D40">
            <w:pPr>
              <w:jc w:val="center"/>
            </w:pPr>
          </w:p>
        </w:tc>
      </w:tr>
      <w:tr w14:paraId="5CFD4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94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C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55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1025">
            <w:pPr>
              <w:jc w:val="center"/>
            </w:pPr>
            <w:r>
              <w:rPr>
                <w:rFonts w:ascii="宋体" w:hAnsi="宋体" w:eastAsia="宋体"/>
                <w:sz w:val="16"/>
              </w:rPr>
              <w:t>办公运转费用（万元）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A195">
            <w:pPr>
              <w:jc w:val="center"/>
            </w:pPr>
            <w:r>
              <w:rPr>
                <w:rFonts w:ascii="宋体" w:hAnsi="宋体" w:eastAsia="宋体"/>
                <w:sz w:val="16"/>
              </w:rPr>
              <w:t>&lt;=46.16万元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AF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7B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7F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8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35F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C965">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64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C2DE1">
            <w:pPr>
              <w:jc w:val="center"/>
            </w:pPr>
            <w:r>
              <w:rPr>
                <w:rFonts w:ascii="宋体" w:hAnsi="宋体" w:eastAsia="宋体"/>
                <w:sz w:val="16"/>
              </w:rPr>
              <w:t>偏差原因：因支付申请手续进度缓慢，未能及时支出；改进措施：加快支付进度。</w:t>
            </w:r>
          </w:p>
        </w:tc>
      </w:tr>
      <w:tr w14:paraId="7C1CF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1C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30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A8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4C93">
            <w:pPr>
              <w:jc w:val="center"/>
            </w:pPr>
            <w:r>
              <w:rPr>
                <w:rFonts w:ascii="宋体" w:hAnsi="宋体" w:eastAsia="宋体"/>
                <w:sz w:val="16"/>
              </w:rPr>
              <w:t>维修（护）费用（万元）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6843">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E7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DB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38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6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9D9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1552">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C6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7DD61">
            <w:pPr>
              <w:jc w:val="center"/>
            </w:pPr>
          </w:p>
        </w:tc>
      </w:tr>
      <w:tr w14:paraId="0526E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5F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9D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84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50D7">
            <w:pPr>
              <w:jc w:val="center"/>
            </w:pPr>
            <w:r>
              <w:rPr>
                <w:rFonts w:ascii="宋体" w:hAnsi="宋体" w:eastAsia="宋体"/>
                <w:sz w:val="16"/>
              </w:rPr>
              <w:t>保障行政服务中心各楼层单位和办事大厅正常运转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9FA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8B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BF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0B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49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CC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1AD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49B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3C84C">
            <w:pPr>
              <w:jc w:val="center"/>
            </w:pPr>
          </w:p>
        </w:tc>
      </w:tr>
      <w:tr w14:paraId="7B761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09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2D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A6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FC4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D2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E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0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44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6A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60F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62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93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9E3B3">
            <w:pPr>
              <w:jc w:val="center"/>
            </w:pPr>
          </w:p>
        </w:tc>
      </w:tr>
      <w:tr w14:paraId="18F8167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9BD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776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B0B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2CC8">
            <w:pPr>
              <w:jc w:val="center"/>
            </w:pPr>
            <w:r>
              <w:rPr>
                <w:rFonts w:ascii="宋体" w:hAnsi="宋体" w:eastAsia="宋体"/>
                <w:sz w:val="16"/>
              </w:rPr>
              <w:t>75.63分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4818076"/>
        </w:tc>
      </w:tr>
    </w:tbl>
    <w:p w14:paraId="7D00EC8E">
      <w:r>
        <w:br w:type="page"/>
      </w:r>
    </w:p>
    <w:p w14:paraId="406BC454">
      <w:pPr>
        <w:spacing w:line="640" w:lineRule="exact"/>
        <w:ind w:firstLine="640"/>
        <w:jc w:val="both"/>
        <w:outlineLvl w:val="2"/>
      </w:pPr>
      <w:r>
        <w:rPr>
          <w:rFonts w:ascii="黑体" w:hAnsi="黑体" w:eastAsia="黑体"/>
          <w:sz w:val="32"/>
        </w:rPr>
        <w:t>十二、其他需说明的事项</w:t>
      </w:r>
    </w:p>
    <w:p w14:paraId="37BDA5E6">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47B1FDB">
      <w:r>
        <w:br w:type="page"/>
      </w:r>
    </w:p>
    <w:p w14:paraId="4179071E">
      <w:pPr>
        <w:spacing w:line="240" w:lineRule="auto"/>
        <w:jc w:val="center"/>
        <w:outlineLvl w:val="1"/>
      </w:pPr>
      <w:r>
        <w:rPr>
          <w:rFonts w:ascii="黑体" w:hAnsi="黑体" w:eastAsia="黑体"/>
          <w:sz w:val="32"/>
        </w:rPr>
        <w:t>第三部分 专业名词解释</w:t>
      </w:r>
    </w:p>
    <w:p w14:paraId="27D3D29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3E6638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B97C04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047548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D3E965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15D775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B34629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1C0E2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349B0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E9E03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E691C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CFBBE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6B006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04F4F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C366893">
      <w:r>
        <w:br w:type="page"/>
      </w:r>
    </w:p>
    <w:p w14:paraId="561E6252">
      <w:pPr>
        <w:spacing w:line="240" w:lineRule="auto"/>
        <w:jc w:val="center"/>
        <w:outlineLvl w:val="1"/>
      </w:pPr>
      <w:r>
        <w:rPr>
          <w:rFonts w:ascii="黑体" w:hAnsi="黑体" w:eastAsia="黑体"/>
          <w:sz w:val="32"/>
        </w:rPr>
        <w:t>第四部分 部门决算报表（见附表）</w:t>
      </w:r>
    </w:p>
    <w:p w14:paraId="55CACB4F">
      <w:pPr>
        <w:spacing w:line="240" w:lineRule="auto"/>
        <w:ind w:firstLine="640"/>
        <w:jc w:val="both"/>
      </w:pPr>
      <w:r>
        <w:rPr>
          <w:rFonts w:ascii="仿宋_GB2312" w:hAnsi="仿宋_GB2312" w:eastAsia="仿宋_GB2312"/>
          <w:b w:val="0"/>
          <w:sz w:val="32"/>
        </w:rPr>
        <w:t>一、《收入支出决算总表》</w:t>
      </w:r>
    </w:p>
    <w:p w14:paraId="54C3D727">
      <w:pPr>
        <w:spacing w:line="240" w:lineRule="auto"/>
        <w:ind w:firstLine="640"/>
        <w:jc w:val="both"/>
      </w:pPr>
      <w:r>
        <w:rPr>
          <w:rFonts w:ascii="仿宋_GB2312" w:hAnsi="仿宋_GB2312" w:eastAsia="仿宋_GB2312"/>
          <w:b w:val="0"/>
          <w:sz w:val="32"/>
        </w:rPr>
        <w:t>二、《收入决算表》</w:t>
      </w:r>
    </w:p>
    <w:p w14:paraId="19532AE0">
      <w:pPr>
        <w:spacing w:line="240" w:lineRule="auto"/>
        <w:ind w:firstLine="640"/>
        <w:jc w:val="both"/>
      </w:pPr>
      <w:r>
        <w:rPr>
          <w:rFonts w:ascii="仿宋_GB2312" w:hAnsi="仿宋_GB2312" w:eastAsia="仿宋_GB2312"/>
          <w:b w:val="0"/>
          <w:sz w:val="32"/>
        </w:rPr>
        <w:t>三、《支出决算表》</w:t>
      </w:r>
    </w:p>
    <w:p w14:paraId="4E41FD8D">
      <w:pPr>
        <w:spacing w:line="240" w:lineRule="auto"/>
        <w:ind w:firstLine="640"/>
        <w:jc w:val="both"/>
      </w:pPr>
      <w:r>
        <w:rPr>
          <w:rFonts w:ascii="仿宋_GB2312" w:hAnsi="仿宋_GB2312" w:eastAsia="仿宋_GB2312"/>
          <w:b w:val="0"/>
          <w:sz w:val="32"/>
        </w:rPr>
        <w:t>四、《财政拨款收入支出决算总表》</w:t>
      </w:r>
    </w:p>
    <w:p w14:paraId="3B8DEC7E">
      <w:pPr>
        <w:spacing w:line="240" w:lineRule="auto"/>
        <w:ind w:firstLine="640"/>
        <w:jc w:val="both"/>
      </w:pPr>
      <w:r>
        <w:rPr>
          <w:rFonts w:ascii="仿宋_GB2312" w:hAnsi="仿宋_GB2312" w:eastAsia="仿宋_GB2312"/>
          <w:b w:val="0"/>
          <w:sz w:val="32"/>
        </w:rPr>
        <w:t>五、《一般公共预算财政拨款支出决算表》</w:t>
      </w:r>
    </w:p>
    <w:p w14:paraId="3D92A81B">
      <w:pPr>
        <w:spacing w:line="240" w:lineRule="auto"/>
        <w:ind w:firstLine="640"/>
        <w:jc w:val="both"/>
      </w:pPr>
      <w:r>
        <w:rPr>
          <w:rFonts w:ascii="仿宋_GB2312" w:hAnsi="仿宋_GB2312" w:eastAsia="仿宋_GB2312"/>
          <w:b w:val="0"/>
          <w:sz w:val="32"/>
        </w:rPr>
        <w:t>六、《一般公共预算财政拨款基本支出决算表》</w:t>
      </w:r>
    </w:p>
    <w:p w14:paraId="56AC9955">
      <w:pPr>
        <w:spacing w:line="240" w:lineRule="auto"/>
        <w:ind w:firstLine="640"/>
        <w:jc w:val="both"/>
      </w:pPr>
      <w:r>
        <w:rPr>
          <w:rFonts w:ascii="仿宋_GB2312" w:hAnsi="仿宋_GB2312" w:eastAsia="仿宋_GB2312"/>
          <w:b w:val="0"/>
          <w:sz w:val="32"/>
        </w:rPr>
        <w:t>七、《政府性基金预算财政拨款收入支出决算表》</w:t>
      </w:r>
    </w:p>
    <w:p w14:paraId="1A78C5FB">
      <w:pPr>
        <w:spacing w:line="240" w:lineRule="auto"/>
        <w:ind w:firstLine="640"/>
        <w:jc w:val="both"/>
      </w:pPr>
      <w:r>
        <w:rPr>
          <w:rFonts w:ascii="仿宋_GB2312" w:hAnsi="仿宋_GB2312" w:eastAsia="仿宋_GB2312"/>
          <w:b w:val="0"/>
          <w:sz w:val="32"/>
        </w:rPr>
        <w:t>八、《国有资本经营预算财政拨款收入支出决算表》</w:t>
      </w:r>
    </w:p>
    <w:p w14:paraId="5E3427F6">
      <w:pPr>
        <w:spacing w:line="240" w:lineRule="auto"/>
        <w:ind w:firstLine="640"/>
        <w:jc w:val="both"/>
      </w:pPr>
      <w:r>
        <w:rPr>
          <w:rFonts w:ascii="仿宋_GB2312" w:hAnsi="仿宋_GB2312" w:eastAsia="仿宋_GB2312"/>
          <w:b w:val="0"/>
          <w:sz w:val="32"/>
        </w:rPr>
        <w:t>九、《财政拨款“三公”经费支出决算表》</w:t>
      </w:r>
    </w:p>
    <w:p w14:paraId="48345818">
      <w:pPr>
        <w:spacing w:line="240" w:lineRule="auto"/>
        <w:ind w:firstLine="640"/>
        <w:jc w:val="both"/>
      </w:pPr>
    </w:p>
    <w:p w14:paraId="0173580E">
      <w:pPr>
        <w:spacing w:line="240" w:lineRule="auto"/>
        <w:ind w:firstLine="640"/>
        <w:jc w:val="both"/>
      </w:pPr>
    </w:p>
    <w:p w14:paraId="1EEAEE08">
      <w:pPr>
        <w:spacing w:line="240" w:lineRule="auto"/>
        <w:ind w:firstLine="640"/>
        <w:jc w:val="both"/>
      </w:pPr>
    </w:p>
    <w:p w14:paraId="0960338D">
      <w:pPr>
        <w:spacing w:line="240" w:lineRule="auto"/>
        <w:ind w:firstLine="640"/>
        <w:jc w:val="both"/>
      </w:pPr>
    </w:p>
    <w:p w14:paraId="204C672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7D396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D46BC1"/>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5501</Words>
  <Characters>6239</Characters>
  <Lines>0</Lines>
  <Paragraphs>0</Paragraphs>
  <TotalTime>2</TotalTime>
  <ScaleCrop>false</ScaleCrop>
  <LinksUpToDate>false</LinksUpToDate>
  <CharactersWithSpaces>6247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2025-09-29T08:36:40Z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