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年度新疆喀什地区叶城县人口和计划委员会部门决算公开说明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贯彻执行中央、自治区、地区有关人口工作的方针、政策、措施及法律法规，指导基层依法行政和规范管理。协调有关部门编制我县人口发展的中长期规划和年度计划；负责全县人口统计工作和统计执法检查；受委托制订全县人口目标管理责任制实施意见，并对执行情况进行检查评估。</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协调有关部门做好出生人口性别比治理工作；协调有关部门研究制定与落实有利于人口工作的相关经济社会政策和社会保障措施，对人口问题实行综合治理。制订全县人口宣传教育工作规划，组织开展人口宣传教育活动，引导群众树立科学、文明、进步的婚育新观念。</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、综合管理技术服务工作，有关部门共同做好提高出生人口素质工作；组织开展手术并发症和病残儿童的医学鉴定工作，负责全县技术服务的监督管理工作；配合有关部门对避孕药具市场进行监督管理。</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从决算单位构成看，新疆喀什地区叶城县人口和计划委员会部门决算包括：新疆喀什地区叶城县人口和计划委员会部门本级决算、所属单位决算等。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纳入新疆喀什地区叶城县人口和计划委员会</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8"/>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新疆喀什地区叶城县人口和计划委员会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6,907.97</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2,309.5</w:t>
      </w:r>
      <w:r>
        <w:rPr>
          <w:rFonts w:hint="eastAsia" w:ascii="仿宋_GB2312" w:eastAsia="仿宋_GB2312" w:cs="仿宋_GB2312"/>
          <w:sz w:val="32"/>
          <w:szCs w:val="32"/>
        </w:rPr>
        <w:t>万元，增长</w:t>
      </w:r>
      <w:r>
        <w:rPr>
          <w:rFonts w:ascii="仿宋_GB2312" w:eastAsia="仿宋_GB2312" w:cs="仿宋_GB2312"/>
          <w:sz w:val="32"/>
          <w:szCs w:val="32"/>
        </w:rPr>
        <w:t>50.22%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增加了上级奖励金，</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年并工资及津贴进行了调标增资；</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6,962.97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2,419.5</w:t>
      </w:r>
      <w:r>
        <w:rPr>
          <w:rFonts w:hint="eastAsia" w:ascii="仿宋_GB2312" w:eastAsia="仿宋_GB2312" w:cs="仿宋_GB2312"/>
          <w:sz w:val="32"/>
          <w:szCs w:val="32"/>
        </w:rPr>
        <w:t>万元，增长</w:t>
      </w:r>
      <w:r>
        <w:rPr>
          <w:rFonts w:ascii="仿宋_GB2312" w:eastAsia="仿宋_GB2312" w:cs="仿宋_GB2312"/>
          <w:sz w:val="32"/>
          <w:szCs w:val="32"/>
        </w:rPr>
        <w:t>53.25%</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增加了上级奖励金，</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年并工资及津贴进行了调标增资；</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55</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年将</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年结余全部支出，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年结余0万元，与上年相比，增加0万元，增长0%。</w:t>
      </w:r>
      <w:r>
        <w:rPr>
          <w:rFonts w:hint="eastAsia" w:ascii="仿宋_GB2312" w:hAnsi="宋体" w:eastAsia="仿宋_GB2312" w:cs="宋体"/>
          <w:color w:val="000000"/>
          <w:sz w:val="32"/>
          <w:szCs w:val="32"/>
        </w:rPr>
        <w:t>增加的</w:t>
      </w:r>
      <w:r>
        <w:rPr>
          <w:rFonts w:hint="eastAsia" w:ascii="仿宋_GB2312" w:eastAsia="仿宋_GB2312" w:cs="仿宋_GB2312"/>
          <w:color w:val="000000"/>
          <w:sz w:val="32"/>
          <w:szCs w:val="32"/>
        </w:rPr>
        <w:t>主要原因是：本单位无结余资金。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6,907.97</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6,673.92</w:t>
      </w:r>
      <w:r>
        <w:rPr>
          <w:rFonts w:hint="eastAsia" w:ascii="仿宋_GB2312" w:eastAsia="仿宋_GB2312" w:cs="仿宋_GB2312"/>
          <w:color w:val="000000"/>
          <w:sz w:val="32"/>
          <w:szCs w:val="32"/>
        </w:rPr>
        <w:t>万元，占</w:t>
      </w:r>
      <w:r>
        <w:rPr>
          <w:rFonts w:ascii="仿宋_GB2312" w:eastAsia="仿宋_GB2312" w:cs="仿宋_GB2312"/>
          <w:sz w:val="32"/>
          <w:szCs w:val="32"/>
        </w:rPr>
        <w:t>96.61%</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234.05</w:t>
      </w:r>
      <w:r>
        <w:rPr>
          <w:rFonts w:hint="eastAsia" w:ascii="仿宋_GB2312" w:eastAsia="仿宋_GB2312" w:cs="仿宋_GB2312"/>
          <w:color w:val="000000"/>
          <w:sz w:val="32"/>
          <w:szCs w:val="32"/>
        </w:rPr>
        <w:t>万元，占</w:t>
      </w:r>
      <w:r>
        <w:rPr>
          <w:rFonts w:ascii="仿宋_GB2312" w:eastAsia="仿宋_GB2312" w:cs="仿宋_GB2312"/>
          <w:sz w:val="32"/>
          <w:szCs w:val="32"/>
        </w:rPr>
        <w:t>3.39%</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2,108.12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6,907.97</w:t>
      </w:r>
      <w:r>
        <w:rPr>
          <w:rFonts w:hint="eastAsia" w:ascii="仿宋_GB2312" w:eastAsia="仿宋_GB2312" w:cs="仿宋_GB2312"/>
          <w:sz w:val="32"/>
          <w:szCs w:val="32"/>
        </w:rPr>
        <w:t>万元，预决算差异率</w:t>
      </w:r>
      <w:r>
        <w:rPr>
          <w:rFonts w:ascii="仿宋_GB2312" w:eastAsia="仿宋_GB2312" w:cs="仿宋_GB2312"/>
          <w:sz w:val="32"/>
          <w:szCs w:val="32"/>
        </w:rPr>
        <w:t>227.68%</w:t>
      </w:r>
      <w:r>
        <w:rPr>
          <w:rFonts w:hint="eastAsia" w:ascii="仿宋_GB2312" w:eastAsia="仿宋_GB2312" w:cs="仿宋_GB2312"/>
          <w:sz w:val="32"/>
          <w:szCs w:val="32"/>
        </w:rPr>
        <w:t>，差异主要原因是</w:t>
      </w:r>
      <w:r>
        <w:rPr>
          <w:rFonts w:ascii="仿宋_GB2312" w:eastAsia="仿宋_GB2312" w:cs="仿宋_GB2312"/>
          <w:sz w:val="32"/>
          <w:szCs w:val="32"/>
        </w:rPr>
        <w:t>2018</w:t>
      </w:r>
      <w:r>
        <w:rPr>
          <w:rFonts w:hint="eastAsia" w:ascii="仿宋_GB2312" w:eastAsia="仿宋_GB2312" w:cs="仿宋_GB2312"/>
          <w:sz w:val="32"/>
          <w:szCs w:val="32"/>
        </w:rPr>
        <w:t>年上级专项、本级项目、</w:t>
      </w:r>
      <w:r>
        <w:rPr>
          <w:rFonts w:ascii="仿宋_GB2312" w:eastAsia="仿宋_GB2312" w:cs="仿宋_GB2312"/>
          <w:sz w:val="32"/>
          <w:szCs w:val="32"/>
        </w:rPr>
        <w:t>2018</w:t>
      </w:r>
      <w:r>
        <w:rPr>
          <w:rFonts w:hint="eastAsia" w:ascii="仿宋_GB2312" w:eastAsia="仿宋_GB2312" w:cs="仿宋_GB2312"/>
          <w:sz w:val="32"/>
          <w:szCs w:val="32"/>
        </w:rPr>
        <w:t>年基本工资及津贴补贴调标预算收入调整。</w:t>
      </w:r>
      <w:bookmarkEnd w:id="15"/>
    </w:p>
    <w:p>
      <w:pPr>
        <w:spacing w:line="540" w:lineRule="exact"/>
        <w:ind w:firstLine="643" w:firstLineChars="200"/>
        <w:rPr>
          <w:rFonts w:ascii="楷体_GB2312" w:eastAsia="楷体_GB2312" w:cs="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6,962.97</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1,772.08</w:t>
      </w:r>
      <w:r>
        <w:rPr>
          <w:rFonts w:hint="eastAsia" w:ascii="仿宋_GB2312" w:eastAsia="仿宋_GB2312" w:cs="仿宋_GB2312"/>
          <w:color w:val="000000"/>
          <w:sz w:val="32"/>
          <w:szCs w:val="32"/>
        </w:rPr>
        <w:t>万元，占</w:t>
      </w:r>
      <w:r>
        <w:rPr>
          <w:rFonts w:ascii="仿宋_GB2312" w:eastAsia="仿宋_GB2312" w:cs="仿宋_GB2312"/>
          <w:sz w:val="32"/>
          <w:szCs w:val="32"/>
        </w:rPr>
        <w:t>25.45%</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5,190.89</w:t>
      </w:r>
      <w:r>
        <w:rPr>
          <w:rFonts w:hint="eastAsia" w:ascii="仿宋_GB2312" w:eastAsia="仿宋_GB2312" w:cs="仿宋_GB2312"/>
          <w:color w:val="000000"/>
          <w:sz w:val="32"/>
          <w:szCs w:val="32"/>
        </w:rPr>
        <w:t>万元，占</w:t>
      </w:r>
      <w:r>
        <w:rPr>
          <w:rFonts w:ascii="仿宋_GB2312" w:eastAsia="仿宋_GB2312" w:cs="仿宋_GB2312"/>
          <w:sz w:val="32"/>
          <w:szCs w:val="32"/>
        </w:rPr>
        <w:t>74.55%</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2,108.12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6,962.97</w:t>
      </w:r>
      <w:r>
        <w:rPr>
          <w:rFonts w:hint="eastAsia" w:ascii="仿宋_GB2312" w:eastAsia="仿宋_GB2312" w:cs="仿宋_GB2312"/>
          <w:sz w:val="32"/>
          <w:szCs w:val="32"/>
        </w:rPr>
        <w:t>万元，预决算差异率</w:t>
      </w:r>
      <w:r>
        <w:rPr>
          <w:rFonts w:ascii="仿宋_GB2312" w:eastAsia="仿宋_GB2312" w:cs="仿宋_GB2312"/>
          <w:sz w:val="32"/>
          <w:szCs w:val="32"/>
        </w:rPr>
        <w:t>230.29%</w:t>
      </w:r>
      <w:r>
        <w:rPr>
          <w:rFonts w:hint="eastAsia" w:ascii="仿宋_GB2312" w:eastAsia="仿宋_GB2312" w:cs="仿宋_GB2312"/>
          <w:sz w:val="32"/>
          <w:szCs w:val="32"/>
        </w:rPr>
        <w:t>，差异主要原因是</w:t>
      </w:r>
      <w:r>
        <w:rPr>
          <w:rFonts w:ascii="仿宋_GB2312" w:eastAsia="仿宋_GB2312" w:cs="仿宋_GB2312"/>
          <w:sz w:val="32"/>
          <w:szCs w:val="32"/>
        </w:rPr>
        <w:t>2018</w:t>
      </w:r>
      <w:r>
        <w:rPr>
          <w:rFonts w:hint="eastAsia" w:ascii="仿宋_GB2312" w:eastAsia="仿宋_GB2312" w:cs="仿宋_GB2312"/>
          <w:sz w:val="32"/>
          <w:szCs w:val="32"/>
        </w:rPr>
        <w:t>年上级专项、本级项目、</w:t>
      </w:r>
      <w:r>
        <w:rPr>
          <w:rFonts w:ascii="仿宋_GB2312" w:eastAsia="仿宋_GB2312" w:cs="仿宋_GB2312"/>
          <w:sz w:val="32"/>
          <w:szCs w:val="32"/>
        </w:rPr>
        <w:t>2018</w:t>
      </w:r>
      <w:r>
        <w:rPr>
          <w:rFonts w:hint="eastAsia" w:ascii="仿宋_GB2312" w:eastAsia="仿宋_GB2312" w:cs="仿宋_GB2312"/>
          <w:sz w:val="32"/>
          <w:szCs w:val="32"/>
        </w:rPr>
        <w:t>年基本工资及津贴补贴调标预算支出调整。</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cs="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hAnsi="Calibri" w:eastAsia="仿宋_GB2312"/>
          <w:color w:val="000000"/>
          <w:sz w:val="32"/>
          <w:szCs w:val="32"/>
          <w:lang w:val="en-GB"/>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6,673.92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2,095.45</w:t>
      </w:r>
      <w:r>
        <w:rPr>
          <w:rFonts w:hint="eastAsia" w:ascii="仿宋_GB2312" w:eastAsia="仿宋_GB2312" w:cs="仿宋_GB2312"/>
          <w:sz w:val="32"/>
          <w:szCs w:val="32"/>
        </w:rPr>
        <w:t>万元，增长</w:t>
      </w:r>
      <w:r>
        <w:rPr>
          <w:rFonts w:ascii="仿宋_GB2312" w:eastAsia="仿宋_GB2312" w:cs="仿宋_GB2312"/>
          <w:sz w:val="32"/>
          <w:szCs w:val="32"/>
        </w:rPr>
        <w:t>45.77%</w:t>
      </w:r>
      <w:r>
        <w:rPr>
          <w:rFonts w:hint="eastAsia" w:ascii="仿宋_GB2312" w:eastAsia="仿宋_GB2312" w:cs="仿宋_GB2312"/>
          <w:sz w:val="32"/>
          <w:szCs w:val="32"/>
        </w:rPr>
        <w:t>，增加的主要原因是：增加了上级计生奖励金，</w:t>
      </w:r>
      <w:r>
        <w:rPr>
          <w:rFonts w:ascii="仿宋_GB2312" w:eastAsia="仿宋_GB2312" w:cs="仿宋_GB2312"/>
          <w:sz w:val="32"/>
          <w:szCs w:val="32"/>
        </w:rPr>
        <w:t>2018</w:t>
      </w:r>
      <w:r>
        <w:rPr>
          <w:rFonts w:hint="eastAsia" w:ascii="仿宋_GB2312" w:eastAsia="仿宋_GB2312" w:cs="仿宋_GB2312"/>
          <w:sz w:val="32"/>
          <w:szCs w:val="32"/>
        </w:rPr>
        <w:t>年并工资及津贴进行了调标增资增加。</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6,728.92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2,205.45</w:t>
      </w:r>
      <w:r>
        <w:rPr>
          <w:rFonts w:hint="eastAsia" w:ascii="仿宋_GB2312" w:eastAsia="仿宋_GB2312" w:cs="仿宋_GB2312"/>
          <w:sz w:val="32"/>
          <w:szCs w:val="32"/>
        </w:rPr>
        <w:t>万元，增长</w:t>
      </w:r>
      <w:r>
        <w:rPr>
          <w:rFonts w:ascii="仿宋_GB2312" w:eastAsia="仿宋_GB2312" w:cs="仿宋_GB2312"/>
          <w:sz w:val="32"/>
          <w:szCs w:val="32"/>
        </w:rPr>
        <w:t>48.76%</w:t>
      </w:r>
      <w:r>
        <w:rPr>
          <w:rFonts w:hint="eastAsia" w:ascii="仿宋_GB2312" w:eastAsia="仿宋_GB2312" w:cs="仿宋_GB2312"/>
          <w:sz w:val="32"/>
          <w:szCs w:val="32"/>
        </w:rPr>
        <w:t>，增加的主要原因是：增加了上级计生奖励金，</w:t>
      </w:r>
      <w:r>
        <w:rPr>
          <w:rFonts w:ascii="仿宋_GB2312" w:eastAsia="仿宋_GB2312" w:cs="仿宋_GB2312"/>
          <w:sz w:val="32"/>
          <w:szCs w:val="32"/>
        </w:rPr>
        <w:t>2018</w:t>
      </w:r>
      <w:r>
        <w:rPr>
          <w:rFonts w:hint="eastAsia" w:ascii="仿宋_GB2312" w:eastAsia="仿宋_GB2312" w:cs="仿宋_GB2312"/>
          <w:sz w:val="32"/>
          <w:szCs w:val="32"/>
        </w:rPr>
        <w:t>年并工资及津贴进行了调标增资。</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1,772.08</w:t>
      </w:r>
      <w:r>
        <w:rPr>
          <w:rFonts w:hint="eastAsia" w:ascii="仿宋_GB2312" w:eastAsia="仿宋_GB2312" w:cs="仿宋_GB2312"/>
          <w:color w:val="000000"/>
          <w:sz w:val="32"/>
          <w:szCs w:val="32"/>
        </w:rPr>
        <w:t>万元，项目支出</w:t>
      </w:r>
      <w:r>
        <w:rPr>
          <w:rFonts w:ascii="仿宋_GB2312" w:eastAsia="仿宋_GB2312" w:cs="仿宋_GB2312"/>
          <w:sz w:val="32"/>
          <w:szCs w:val="32"/>
        </w:rPr>
        <w:t>4,956.84</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55</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w:t>
      </w:r>
      <w:r>
        <w:rPr>
          <w:rFonts w:ascii="仿宋_GB2312" w:eastAsia="仿宋_GB2312" w:cs="仿宋_GB2312"/>
          <w:sz w:val="32"/>
          <w:szCs w:val="32"/>
        </w:rPr>
        <w:t>2018</w:t>
      </w:r>
      <w:r>
        <w:rPr>
          <w:rFonts w:hint="eastAsia" w:ascii="仿宋_GB2312" w:eastAsia="仿宋_GB2312" w:cs="仿宋_GB2312"/>
          <w:sz w:val="32"/>
          <w:szCs w:val="32"/>
        </w:rPr>
        <w:t>年将</w:t>
      </w:r>
      <w:r>
        <w:rPr>
          <w:rFonts w:ascii="仿宋_GB2312" w:eastAsia="仿宋_GB2312" w:cs="仿宋_GB2312"/>
          <w:sz w:val="32"/>
          <w:szCs w:val="32"/>
        </w:rPr>
        <w:t>2017</w:t>
      </w:r>
      <w:r>
        <w:rPr>
          <w:rFonts w:hint="eastAsia" w:ascii="仿宋_GB2312" w:eastAsia="仿宋_GB2312" w:cs="仿宋_GB2312"/>
          <w:sz w:val="32"/>
          <w:szCs w:val="32"/>
        </w:rPr>
        <w:t>年结余全部支出，</w:t>
      </w:r>
      <w:bookmarkEnd w:id="29"/>
      <w:r>
        <w:rPr>
          <w:rFonts w:ascii="仿宋_GB2312" w:eastAsia="仿宋_GB2312" w:cs="仿宋_GB2312"/>
          <w:color w:val="000000"/>
          <w:sz w:val="32"/>
          <w:szCs w:val="32"/>
        </w:rPr>
        <w:t>2018</w:t>
      </w:r>
      <w:r>
        <w:rPr>
          <w:rFonts w:hint="eastAsia" w:ascii="仿宋_GB2312" w:eastAsia="仿宋_GB2312" w:cs="仿宋_GB2312"/>
          <w:color w:val="000000"/>
          <w:sz w:val="32"/>
          <w:szCs w:val="32"/>
        </w:rPr>
        <w:t>年结余0万元，与上年相比，增加0万元，增长0%。增加的主要原因是：本单位无结余资金。</w:t>
      </w:r>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2,108.12</w:t>
      </w:r>
      <w:r>
        <w:rPr>
          <w:rFonts w:hint="eastAsia" w:ascii="仿宋_GB2312" w:eastAsia="仿宋_GB2312" w:cs="仿宋_GB2312"/>
          <w:color w:val="000000"/>
          <w:sz w:val="32"/>
          <w:szCs w:val="32"/>
        </w:rPr>
        <w:t>万元，决算数</w:t>
      </w:r>
      <w:r>
        <w:rPr>
          <w:rFonts w:ascii="仿宋_GB2312" w:eastAsia="仿宋_GB2312" w:cs="仿宋_GB2312"/>
          <w:sz w:val="32"/>
          <w:szCs w:val="32"/>
        </w:rPr>
        <w:t>6,673.92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216.58%</w:t>
      </w:r>
      <w:r>
        <w:rPr>
          <w:rFonts w:hint="eastAsia" w:ascii="仿宋_GB2312" w:eastAsia="仿宋_GB2312" w:cs="仿宋_GB2312"/>
          <w:color w:val="000000"/>
          <w:sz w:val="32"/>
          <w:szCs w:val="32"/>
        </w:rPr>
        <w:t>，差异主要原因是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年上级专项、本级项目、</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年基本工资及津贴补贴调标预算收入调整。</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2,108.12</w:t>
      </w:r>
      <w:r>
        <w:rPr>
          <w:rFonts w:hint="eastAsia" w:ascii="仿宋_GB2312" w:eastAsia="仿宋_GB2312" w:cs="仿宋_GB2312"/>
          <w:color w:val="000000"/>
          <w:sz w:val="32"/>
          <w:szCs w:val="32"/>
        </w:rPr>
        <w:t>万元，决算数</w:t>
      </w:r>
      <w:r>
        <w:rPr>
          <w:rFonts w:ascii="仿宋_GB2312" w:eastAsia="仿宋_GB2312" w:cs="仿宋_GB2312"/>
          <w:sz w:val="32"/>
          <w:szCs w:val="32"/>
        </w:rPr>
        <w:t>6,728.92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219.19%</w:t>
      </w:r>
      <w:r>
        <w:rPr>
          <w:rFonts w:hint="eastAsia" w:ascii="仿宋_GB2312" w:eastAsia="仿宋_GB2312" w:cs="仿宋_GB2312"/>
          <w:color w:val="000000"/>
          <w:sz w:val="32"/>
          <w:szCs w:val="32"/>
        </w:rPr>
        <w:t>，差异主要原因是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年上级专项、本级项目、</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年基本工资及津贴补贴调标预算支出调整。</w:t>
      </w:r>
      <w:bookmarkEnd w:id="33"/>
    </w:p>
    <w:p>
      <w:pPr>
        <w:spacing w:line="540" w:lineRule="exact"/>
        <w:ind w:firstLine="643" w:firstLineChars="200"/>
        <w:rPr>
          <w:rFonts w:ascii="楷体_GB2312" w:eastAsia="楷体_GB2312" w:cs="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6,673.92</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2,095.45</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45.77%</w:t>
      </w:r>
      <w:r>
        <w:rPr>
          <w:rFonts w:hint="eastAsia" w:ascii="仿宋_GB2312" w:eastAsia="仿宋_GB2312" w:cs="仿宋_GB2312"/>
          <w:color w:val="000000"/>
          <w:sz w:val="32"/>
          <w:szCs w:val="32"/>
        </w:rPr>
        <w:t>，增加的主要原因是：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年上级专项、本级项目、</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年基本工资及津贴补贴调标预算收入调整。</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6,728.92</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2,205.45</w:t>
      </w:r>
      <w:r>
        <w:rPr>
          <w:rFonts w:hint="eastAsia" w:ascii="仿宋_GB2312" w:eastAsia="仿宋_GB2312" w:cs="仿宋_GB2312"/>
          <w:sz w:val="32"/>
          <w:szCs w:val="32"/>
        </w:rPr>
        <w:t>万元，增长</w:t>
      </w:r>
      <w:r>
        <w:rPr>
          <w:rFonts w:ascii="仿宋_GB2312" w:eastAsia="仿宋_GB2312" w:cs="仿宋_GB2312"/>
          <w:sz w:val="32"/>
          <w:szCs w:val="32"/>
        </w:rPr>
        <w:t>48.76%</w:t>
      </w:r>
      <w:r>
        <w:rPr>
          <w:rFonts w:hint="eastAsia" w:ascii="仿宋_GB2312" w:eastAsia="仿宋_GB2312" w:cs="仿宋_GB2312"/>
          <w:sz w:val="32"/>
          <w:szCs w:val="32"/>
        </w:rPr>
        <w:t>，增加的主要原因是：</w:t>
      </w:r>
      <w:r>
        <w:rPr>
          <w:rFonts w:ascii="仿宋_GB2312" w:eastAsia="仿宋_GB2312" w:cs="仿宋_GB2312"/>
          <w:sz w:val="32"/>
          <w:szCs w:val="32"/>
        </w:rPr>
        <w:t>2018</w:t>
      </w:r>
      <w:r>
        <w:rPr>
          <w:rFonts w:hint="eastAsia" w:ascii="仿宋_GB2312" w:eastAsia="仿宋_GB2312" w:cs="仿宋_GB2312"/>
          <w:sz w:val="32"/>
          <w:szCs w:val="32"/>
        </w:rPr>
        <w:t>年上级专项、本级项目、</w:t>
      </w:r>
      <w:r>
        <w:rPr>
          <w:rFonts w:ascii="仿宋_GB2312" w:eastAsia="仿宋_GB2312" w:cs="仿宋_GB2312"/>
          <w:sz w:val="32"/>
          <w:szCs w:val="32"/>
        </w:rPr>
        <w:t>2018</w:t>
      </w:r>
      <w:r>
        <w:rPr>
          <w:rFonts w:hint="eastAsia" w:ascii="仿宋_GB2312" w:eastAsia="仿宋_GB2312" w:cs="仿宋_GB2312"/>
          <w:sz w:val="32"/>
          <w:szCs w:val="32"/>
        </w:rPr>
        <w:t>年基本工资及津贴补贴调标预算支出调整。</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医疗卫生与计划支出</w:t>
      </w:r>
      <w:r>
        <w:rPr>
          <w:rFonts w:ascii="仿宋_GB2312" w:eastAsia="仿宋_GB2312" w:cs="仿宋_GB2312"/>
          <w:sz w:val="32"/>
          <w:szCs w:val="32"/>
        </w:rPr>
        <w:t>6,535.76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193.16</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1,813.53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121.48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4,793.91</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2,108.12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6,673.92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216.58%</w:t>
      </w:r>
      <w:r>
        <w:rPr>
          <w:rFonts w:hint="eastAsia" w:ascii="仿宋_GB2312" w:eastAsia="仿宋_GB2312" w:cs="仿宋_GB2312"/>
          <w:color w:val="000000"/>
          <w:sz w:val="32"/>
          <w:szCs w:val="32"/>
        </w:rPr>
        <w:t>，差异主要原因是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年上级专项、本级项目、</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年基本工资及津贴补贴调标预算收入调整。</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2,108.12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6,728.92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219.19%</w:t>
      </w:r>
      <w:r>
        <w:rPr>
          <w:rFonts w:hint="eastAsia" w:ascii="仿宋_GB2312" w:eastAsia="仿宋_GB2312" w:cs="仿宋_GB2312"/>
          <w:color w:val="000000"/>
          <w:sz w:val="32"/>
          <w:szCs w:val="32"/>
        </w:rPr>
        <w:t>，差异主要原因是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年上级专项、本级项目、</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年基本工资及津贴补贴调标预算支出调整。</w:t>
      </w:r>
      <w:bookmarkEnd w:id="43"/>
    </w:p>
    <w:p>
      <w:pPr>
        <w:spacing w:line="540" w:lineRule="exact"/>
        <w:ind w:firstLine="643" w:firstLineChars="200"/>
        <w:rPr>
          <w:rFonts w:ascii="楷体_GB2312" w:eastAsia="楷体_GB2312" w:cs="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bookmarkEnd w:id="44"/>
      <w:bookmarkStart w:id="46" w:name="OLE_LINK23"/>
      <w:bookmarkStart w:id="47"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w:t>
      </w:r>
      <w:r>
        <w:rPr>
          <w:rFonts w:hint="eastAsia" w:ascii="仿宋_GB2312" w:eastAsia="仿宋_GB2312" w:cs="仿宋_GB2312"/>
          <w:sz w:val="32"/>
          <w:szCs w:val="32"/>
        </w:rPr>
        <w:t>。</w:t>
      </w:r>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，无此支出。按经济分类科目（按类级科目公开），无此支出。</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，差异主要原因是预决算无政府性基金。</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55</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55</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5.23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6.21</w:t>
      </w:r>
      <w:r>
        <w:rPr>
          <w:rFonts w:hint="eastAsia" w:ascii="仿宋_GB2312" w:eastAsia="仿宋_GB2312" w:cs="仿宋_GB2312"/>
          <w:sz w:val="32"/>
          <w:szCs w:val="32"/>
        </w:rPr>
        <w:t>万元，下降</w:t>
      </w:r>
      <w:r>
        <w:rPr>
          <w:rFonts w:ascii="仿宋_GB2312" w:eastAsia="仿宋_GB2312" w:cs="仿宋_GB2312"/>
          <w:sz w:val="32"/>
          <w:szCs w:val="32"/>
        </w:rPr>
        <w:t>54.28%</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认真贯彻落实中央和自治区厉行节约的各项规定，严格控制和降低行政运行成本，严把车辆管控关，严格遵守公务车辆配置标准和管理制度，减少使用高耗油车辆，严禁公车私用、严把监督检查关，对接待费严格控制，减少一切不必要的公务接待开支。</w:t>
      </w:r>
      <w:bookmarkEnd w:id="56"/>
      <w:bookmarkStart w:id="58" w:name="OLE_LINK75"/>
      <w:r>
        <w:rPr>
          <w:rFonts w:hint="eastAsia" w:ascii="仿宋_GB2312" w:eastAsia="仿宋_GB2312" w:cs="仿宋_GB2312"/>
          <w:color w:val="000000"/>
          <w:sz w:val="32"/>
          <w:szCs w:val="32"/>
        </w:rPr>
        <w:t>其中，</w:t>
      </w:r>
      <w:bookmarkEnd w:id="58"/>
      <w:bookmarkStart w:id="59" w:name="OLE_LINK31"/>
      <w:bookmarkStart w:id="60" w:name="OLE_LINK76"/>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，差异主要原因是本单位今年无出国考察、培训等安排，与上年一致；公务用车购置及运行维护费支出</w:t>
      </w:r>
      <w:bookmarkEnd w:id="59"/>
      <w:r>
        <w:rPr>
          <w:rFonts w:ascii="仿宋_GB2312" w:eastAsia="仿宋_GB2312" w:cs="仿宋_GB2312"/>
          <w:sz w:val="32"/>
          <w:szCs w:val="32"/>
        </w:rPr>
        <w:t>5.23</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4.65</w:t>
      </w:r>
      <w:r>
        <w:rPr>
          <w:rFonts w:hint="eastAsia" w:ascii="仿宋_GB2312" w:eastAsia="仿宋_GB2312" w:cs="仿宋_GB2312"/>
          <w:sz w:val="32"/>
          <w:szCs w:val="32"/>
        </w:rPr>
        <w:t>万元，下降</w:t>
      </w:r>
      <w:r>
        <w:rPr>
          <w:rFonts w:ascii="仿宋_GB2312" w:eastAsia="仿宋_GB2312" w:cs="仿宋_GB2312"/>
          <w:sz w:val="32"/>
          <w:szCs w:val="32"/>
        </w:rPr>
        <w:t>47.06%</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单位严把车辆管控关，严格遵守公务车辆配置标准和管理制度，减少使用高耗油车辆，严禁公车私用</w:t>
      </w:r>
      <w:r>
        <w:rPr>
          <w:rFonts w:hint="eastAsia" w:ascii="仿宋_GB2312" w:eastAsia="仿宋_GB2312" w:cs="仿宋_GB2312"/>
          <w:sz w:val="32"/>
          <w:szCs w:val="32"/>
        </w:rPr>
        <w:t>；</w:t>
      </w:r>
      <w:bookmarkEnd w:id="60"/>
      <w:bookmarkStart w:id="61" w:name="OLE_LINK32"/>
      <w:bookmarkStart w:id="62" w:name="OLE_LINK78"/>
      <w:bookmarkStart w:id="63" w:name="OLE_LINK77"/>
      <w:r>
        <w:rPr>
          <w:rFonts w:hint="eastAsia" w:ascii="仿宋_GB2312" w:eastAsia="仿宋_GB2312" w:cs="仿宋_GB2312"/>
          <w:color w:val="000000"/>
          <w:sz w:val="32"/>
          <w:szCs w:val="32"/>
        </w:rPr>
        <w:t>公务接待费支出</w:t>
      </w:r>
      <w:bookmarkEnd w:id="6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1.57</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单位严把监督检查关，对接待费严格控制，减少一切不必要的公务接待开支，与上年一致</w:t>
      </w:r>
      <w:bookmarkEnd w:id="62"/>
      <w:bookmarkEnd w:id="63"/>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4" w:name="OLE_LINK80"/>
      <w:bookmarkStart w:id="65" w:name="OLE_LINK79"/>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新疆喀什地区叶城县人口和计划委员会</w:t>
      </w:r>
      <w:r>
        <w:rPr>
          <w:rFonts w:hint="eastAsia" w:ascii="仿宋_GB2312" w:eastAsia="仿宋_GB2312" w:cs="仿宋_GB2312"/>
          <w:color w:val="000000"/>
          <w:sz w:val="32"/>
          <w:szCs w:val="32"/>
        </w:rPr>
        <w:t>单位</w:t>
      </w:r>
      <w:bookmarkStart w:id="66" w:name="OLE_LINK33"/>
      <w:r>
        <w:rPr>
          <w:rFonts w:hint="eastAsia" w:ascii="仿宋_GB2312" w:eastAsia="仿宋_GB2312" w:cs="仿宋_GB2312"/>
          <w:color w:val="000000"/>
          <w:sz w:val="32"/>
          <w:szCs w:val="32"/>
        </w:rPr>
        <w:t>全年</w:t>
      </w:r>
      <w:bookmarkStart w:id="67" w:name="OLE_LINK35"/>
      <w:bookmarkStart w:id="68" w:name="OLE_LINK34"/>
      <w:bookmarkStart w:id="69"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6"/>
      <w:bookmarkEnd w:id="67"/>
      <w:bookmarkEnd w:id="68"/>
      <w:r>
        <w:rPr>
          <w:rFonts w:ascii="仿宋_GB2312" w:eastAsia="仿宋_GB2312" w:cs="仿宋_GB2312"/>
          <w:sz w:val="32"/>
          <w:szCs w:val="32"/>
        </w:rPr>
        <w:t>0</w:t>
      </w:r>
      <w:r>
        <w:rPr>
          <w:rFonts w:hint="eastAsia" w:ascii="仿宋_GB2312" w:eastAsia="仿宋_GB2312" w:cs="仿宋_GB2312"/>
          <w:color w:val="000000"/>
          <w:sz w:val="32"/>
          <w:szCs w:val="32"/>
        </w:rPr>
        <w:t>个</w:t>
      </w:r>
      <w:bookmarkEnd w:id="69"/>
      <w:r>
        <w:rPr>
          <w:rFonts w:hint="eastAsia" w:ascii="仿宋_GB2312" w:eastAsia="仿宋_GB2312" w:cs="仿宋_GB2312"/>
          <w:color w:val="000000"/>
          <w:sz w:val="32"/>
          <w:szCs w:val="32"/>
        </w:rPr>
        <w:t>，</w:t>
      </w:r>
      <w:bookmarkStart w:id="70"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0"/>
      <w:r>
        <w:rPr>
          <w:rFonts w:hint="eastAsia" w:ascii="仿宋_GB2312" w:eastAsia="仿宋_GB2312" w:cs="仿宋_GB2312"/>
          <w:color w:val="000000"/>
          <w:sz w:val="32"/>
          <w:szCs w:val="32"/>
        </w:rPr>
        <w:t>。</w:t>
      </w:r>
      <w:bookmarkStart w:id="71" w:name="OLE_LINK38"/>
      <w:r>
        <w:rPr>
          <w:rFonts w:hint="eastAsia" w:ascii="仿宋_GB2312" w:eastAsia="仿宋_GB2312" w:cs="仿宋_GB2312"/>
          <w:color w:val="000000"/>
          <w:sz w:val="32"/>
          <w:szCs w:val="32"/>
        </w:rPr>
        <w:t>开支内容包括：本单位无因公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64"/>
      <w:bookmarkEnd w:id="65"/>
      <w:bookmarkEnd w:id="71"/>
    </w:p>
    <w:p>
      <w:pPr>
        <w:spacing w:line="540" w:lineRule="exact"/>
        <w:ind w:firstLine="640" w:firstLineChars="200"/>
        <w:rPr>
          <w:rFonts w:ascii="仿宋_GB2312" w:eastAsia="仿宋_GB2312"/>
          <w:color w:val="000000"/>
          <w:sz w:val="32"/>
          <w:szCs w:val="32"/>
        </w:rPr>
      </w:pPr>
      <w:bookmarkStart w:id="72"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5.23</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3"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3"/>
      <w:r>
        <w:rPr>
          <w:rFonts w:hint="eastAsia" w:ascii="仿宋_GB2312" w:eastAsia="仿宋_GB2312" w:cs="仿宋_GB2312"/>
          <w:color w:val="000000"/>
          <w:sz w:val="32"/>
          <w:szCs w:val="32"/>
        </w:rPr>
        <w:t>，</w:t>
      </w:r>
      <w:bookmarkStart w:id="74" w:name="OLE_LINK41"/>
      <w:bookmarkStart w:id="75"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5.23</w:t>
      </w:r>
      <w:r>
        <w:rPr>
          <w:rFonts w:hint="eastAsia" w:ascii="仿宋_GB2312" w:eastAsia="仿宋_GB2312" w:cs="仿宋_GB2312"/>
          <w:color w:val="000000"/>
          <w:sz w:val="32"/>
          <w:szCs w:val="32"/>
        </w:rPr>
        <w:t>万元</w:t>
      </w:r>
      <w:bookmarkEnd w:id="74"/>
      <w:bookmarkEnd w:id="75"/>
      <w:r>
        <w:rPr>
          <w:rFonts w:hint="eastAsia" w:ascii="仿宋_GB2312" w:eastAsia="仿宋_GB2312" w:cs="仿宋_GB2312"/>
          <w:color w:val="000000"/>
          <w:sz w:val="32"/>
          <w:szCs w:val="32"/>
        </w:rPr>
        <w:t>。主要用于</w:t>
      </w:r>
      <w:r>
        <w:rPr>
          <w:rFonts w:hint="eastAsia" w:ascii="仿宋_GB2312" w:eastAsia="仿宋_GB2312" w:cs="仿宋_GB2312"/>
          <w:sz w:val="32"/>
          <w:szCs w:val="32"/>
        </w:rPr>
        <w:t>严格执行中央八项规定，厉行节约，压减公务公车购置及运行维护费的运行开支</w:t>
      </w:r>
      <w:r>
        <w:rPr>
          <w:rFonts w:hint="eastAsia" w:ascii="仿宋_GB2312" w:eastAsia="仿宋_GB2312" w:cs="仿宋_GB2312"/>
          <w:color w:val="000000"/>
          <w:sz w:val="32"/>
          <w:szCs w:val="32"/>
        </w:rPr>
        <w:t>等。</w:t>
      </w:r>
      <w:bookmarkEnd w:id="72"/>
      <w:bookmarkStart w:id="76"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2</w:t>
      </w:r>
      <w:r>
        <w:rPr>
          <w:rFonts w:hint="eastAsia" w:ascii="仿宋_GB2312" w:eastAsia="仿宋_GB2312" w:cs="仿宋_GB2312"/>
          <w:color w:val="000000"/>
          <w:sz w:val="32"/>
          <w:szCs w:val="32"/>
        </w:rPr>
        <w:t>辆。</w:t>
      </w:r>
      <w:bookmarkEnd w:id="76"/>
    </w:p>
    <w:p>
      <w:pPr>
        <w:spacing w:line="540" w:lineRule="exact"/>
        <w:ind w:firstLine="640" w:firstLineChars="200"/>
        <w:rPr>
          <w:rFonts w:ascii="仿宋_GB2312" w:eastAsia="仿宋_GB2312"/>
          <w:color w:val="000000"/>
          <w:sz w:val="32"/>
          <w:szCs w:val="32"/>
        </w:rPr>
      </w:pPr>
      <w:bookmarkStart w:id="77"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万元，主要是认真贯彻落实中央和自治区厉行节约的各项规定，严格控制和降低行政运行成本等。</w:t>
      </w:r>
      <w:bookmarkEnd w:id="77"/>
      <w:bookmarkStart w:id="78" w:name="OLE_LINK84"/>
      <w:r>
        <w:rPr>
          <w:rFonts w:hint="eastAsia" w:ascii="仿宋_GB2312" w:eastAsia="仿宋_GB2312" w:cs="仿宋_GB2312"/>
          <w:sz w:val="32"/>
          <w:szCs w:val="32"/>
        </w:rPr>
        <w:t>新疆喀什地区叶城县人口和计划委员会</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8"/>
    </w:p>
    <w:p>
      <w:pPr>
        <w:spacing w:line="540" w:lineRule="exact"/>
        <w:ind w:firstLine="640" w:firstLineChars="200"/>
        <w:rPr>
          <w:rFonts w:ascii="仿宋_GB2312" w:hAnsi="宋体" w:eastAsia="仿宋_GB2312"/>
          <w:color w:val="000000"/>
          <w:kern w:val="0"/>
          <w:sz w:val="32"/>
          <w:szCs w:val="32"/>
        </w:rPr>
      </w:pPr>
      <w:bookmarkStart w:id="79"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14.85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5.23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-64.78%</w:t>
      </w:r>
      <w:r>
        <w:rPr>
          <w:rFonts w:hint="eastAsia" w:ascii="仿宋_GB2312" w:eastAsia="仿宋_GB2312" w:cs="仿宋_GB2312"/>
          <w:color w:val="000000"/>
          <w:sz w:val="32"/>
          <w:szCs w:val="32"/>
        </w:rPr>
        <w:t>，差异主要原因是认真贯彻落实中央和自治区厉行节约的各项规定，严格控制和降低行政运行成本。</w:t>
      </w:r>
      <w:bookmarkEnd w:id="79"/>
      <w:bookmarkStart w:id="80" w:name="OLE_LINK86"/>
      <w:bookmarkStart w:id="81" w:name="OLE_LINK87"/>
      <w:r>
        <w:rPr>
          <w:rFonts w:hint="eastAsia" w:ascii="仿宋_GB2312" w:hAnsi="宋体" w:eastAsia="仿宋_GB2312" w:cs="仿宋_GB2312"/>
          <w:color w:val="000000"/>
          <w:kern w:val="0"/>
          <w:sz w:val="32"/>
          <w:szCs w:val="32"/>
        </w:rPr>
        <w:t>其中：因公出国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0"/>
      <w:bookmarkEnd w:id="81"/>
      <w:bookmarkStart w:id="82" w:name="OLE_LINK89"/>
      <w:bookmarkStart w:id="83"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2"/>
      <w:bookmarkEnd w:id="83"/>
      <w:bookmarkStart w:id="84"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14.85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5.23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-64.78%</w:t>
      </w:r>
      <w:r>
        <w:rPr>
          <w:rFonts w:hint="eastAsia" w:ascii="仿宋_GB2312" w:eastAsia="仿宋_GB2312" w:cs="仿宋_GB2312"/>
          <w:color w:val="000000"/>
          <w:sz w:val="32"/>
          <w:szCs w:val="32"/>
        </w:rPr>
        <w:t>，差异主要原因是严格执行中央八项规定，厉行节约，压减公务公车购置及运行维护费的运行开支；</w:t>
      </w:r>
      <w:bookmarkEnd w:id="84"/>
      <w:bookmarkStart w:id="85"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5"/>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年度新疆喀什地区叶城县人口和计划委员会机关运行经费支出</w:t>
      </w:r>
      <w:r>
        <w:rPr>
          <w:rFonts w:ascii="仿宋_GB2312" w:eastAsia="仿宋_GB2312" w:cs="仿宋_GB2312"/>
          <w:color w:val="000000"/>
          <w:sz w:val="32"/>
          <w:szCs w:val="32"/>
        </w:rPr>
        <w:t>36.77</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27.33</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42.64%</w:t>
      </w:r>
      <w:r>
        <w:rPr>
          <w:rFonts w:hint="eastAsia" w:ascii="仿宋_GB2312" w:eastAsia="仿宋_GB2312" w:cs="仿宋_GB2312"/>
          <w:color w:val="000000"/>
          <w:sz w:val="32"/>
          <w:szCs w:val="32"/>
        </w:rPr>
        <w:t>，减少的主要原因是：落实中央八项规定，压减机关运行经费支出。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112.39</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101.93</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10.47</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0"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17</w:t>
      </w:r>
      <w:r>
        <w:rPr>
          <w:rFonts w:hint="eastAsia" w:ascii="仿宋_GB2312" w:eastAsia="仿宋_GB2312" w:cs="仿宋_GB2312"/>
          <w:color w:val="000000"/>
          <w:sz w:val="32"/>
          <w:szCs w:val="32"/>
        </w:rPr>
        <w:t>辆，价值</w:t>
      </w:r>
      <w:r>
        <w:rPr>
          <w:rFonts w:ascii="仿宋_GB2312" w:eastAsia="仿宋_GB2312" w:cs="仿宋_GB2312"/>
          <w:sz w:val="32"/>
          <w:szCs w:val="32"/>
        </w:rPr>
        <w:t>113.32</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2</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15</w:t>
      </w:r>
      <w:r>
        <w:rPr>
          <w:rFonts w:hint="eastAsia" w:ascii="仿宋_GB2312" w:eastAsia="仿宋_GB2312" w:cs="仿宋_GB2312"/>
          <w:color w:val="000000"/>
          <w:sz w:val="32"/>
          <w:szCs w:val="32"/>
        </w:rPr>
        <w:t>辆，其他用车主要是：叶城县</w:t>
      </w:r>
      <w:r>
        <w:rPr>
          <w:rFonts w:ascii="仿宋_GB2312" w:eastAsia="仿宋_GB2312" w:cs="仿宋_GB2312"/>
          <w:color w:val="000000"/>
          <w:sz w:val="32"/>
          <w:szCs w:val="32"/>
        </w:rPr>
        <w:t>13</w:t>
      </w:r>
      <w:r>
        <w:rPr>
          <w:rFonts w:hint="eastAsia" w:ascii="仿宋_GB2312" w:eastAsia="仿宋_GB2312" w:cs="仿宋_GB2312"/>
          <w:color w:val="000000"/>
          <w:sz w:val="32"/>
          <w:szCs w:val="32"/>
        </w:rPr>
        <w:t>辆各乡镇计生服务站流动服务车，一般公务用车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叶城县人口委员会</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5190.89</w:t>
      </w:r>
      <w:r>
        <w:rPr>
          <w:rFonts w:hint="eastAsia" w:ascii="仿宋_GB2312" w:eastAsia="仿宋_GB2312" w:cs="仿宋_GB2312"/>
          <w:sz w:val="32"/>
          <w:szCs w:val="32"/>
        </w:rPr>
        <w:t>万元，执行金额为</w:t>
      </w:r>
      <w:r>
        <w:rPr>
          <w:rFonts w:ascii="仿宋_GB2312" w:eastAsia="仿宋_GB2312" w:cs="仿宋_GB2312"/>
          <w:sz w:val="32"/>
          <w:szCs w:val="32"/>
        </w:rPr>
        <w:t>5190.89</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5</w:t>
      </w:r>
      <w:r>
        <w:rPr>
          <w:rFonts w:hint="eastAsia" w:ascii="仿宋_GB2312" w:eastAsia="仿宋_GB2312" w:cs="仿宋_GB2312"/>
          <w:sz w:val="32"/>
          <w:szCs w:val="32"/>
        </w:rPr>
        <w:t>个，其中已完成项目</w:t>
      </w:r>
      <w:r>
        <w:rPr>
          <w:rFonts w:ascii="仿宋_GB2312" w:eastAsia="仿宋_GB2312" w:cs="仿宋_GB2312"/>
          <w:sz w:val="32"/>
          <w:szCs w:val="32"/>
        </w:rPr>
        <w:t>5</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hAnsi="仿宋_GB2312" w:eastAsia="仿宋_GB2312" w:cs="仿宋_GB2312"/>
          <w:bCs/>
          <w:spacing w:val="-4"/>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、孕前免费优生健康检查项目绩效自评综述：根据年初设定的绩效目标，该项目绩效自评得分为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17.91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17.91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pacing w:val="-4"/>
          <w:sz w:val="32"/>
          <w:szCs w:val="32"/>
        </w:rPr>
        <w:t>1.产出指标完成情况分析（1）项目完成数量：</w:t>
      </w:r>
      <w:r>
        <w:rPr>
          <w:rFonts w:hint="eastAsia" w:ascii="仿宋_GB2312" w:hAnsi="仿宋_GB2312" w:eastAsia="仿宋_GB2312" w:cs="仿宋_GB2312"/>
          <w:bCs/>
          <w:color w:val="000000"/>
          <w:spacing w:val="-4"/>
          <w:sz w:val="32"/>
          <w:szCs w:val="32"/>
        </w:rPr>
        <w:t>数量指标有2条：进行健康检查计划怀孕的夫妻86579对；国家承担每对夫妇的资金240元。</w:t>
      </w:r>
      <w:r>
        <w:rPr>
          <w:rFonts w:hint="eastAsia" w:ascii="仿宋_GB2312" w:hAnsi="仿宋_GB2312" w:eastAsia="仿宋_GB2312" w:cs="仿宋_GB2312"/>
          <w:bCs/>
          <w:spacing w:val="-4"/>
          <w:sz w:val="32"/>
          <w:szCs w:val="32"/>
        </w:rPr>
        <w:t>（2）项目完成质量：质量指标1条接受孕前优生健康检查人群覆盖率98%。（3）项目实施进度：时效指标1条：项目完工及时率100%（4）项目成本节约情况：成本指标1条： 国家承担每对夫妇的资金240元。2.效益指标完成情况分析（1）项目实施的经济效益分析。经济效益指标1条：使受益对象早期发现遗传病、传染病等，避免人口出生缺陷率。（2）项目实施的社会效益分析：社会效益指标1条：杜绝病患儿的出生，使社会和家庭更和谐，覆盖率95%。（3）项目实施的生态效益分析：无；（4）项目实施的可持续影响分析：可持续影响指标1条：通过免费的检查，可持续影响群众在对工作的认可率95%</w:t>
      </w:r>
    </w:p>
    <w:p>
      <w:pPr>
        <w:spacing w:line="540" w:lineRule="exact"/>
      </w:pPr>
      <w:r>
        <w:rPr>
          <w:rFonts w:hint="eastAsia" w:ascii="仿宋_GB2312" w:hAnsi="仿宋_GB2312" w:eastAsia="仿宋_GB2312" w:cs="仿宋_GB2312"/>
          <w:bCs/>
          <w:spacing w:val="-4"/>
          <w:sz w:val="32"/>
          <w:szCs w:val="32"/>
        </w:rPr>
        <w:t>3.满意度指标完成情况分析：满意度指标1条：按计划完成项目实施，已做满意度调查问卷，广大群众对工作的满意度满意率达95%，服务对象满意度指标完成</w:t>
      </w:r>
      <w:r>
        <w:rPr>
          <w:rFonts w:hint="eastAsia" w:ascii="仿宋_GB2312" w:hAnsi="仿宋_GB2312" w:eastAsia="仿宋_GB2312" w:cs="仿宋_GB2312"/>
          <w:sz w:val="32"/>
          <w:szCs w:val="32"/>
        </w:rPr>
        <w:t>。发现的问题及原因：无；下一步改进措施：无。</w:t>
      </w:r>
    </w:p>
    <w:p>
      <w:pPr>
        <w:spacing w:line="540" w:lineRule="exact"/>
        <w:ind w:firstLine="640" w:firstLineChars="200"/>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、退休人员加发</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工资项目绩效自评综述：根据年初设定的绩效目标，该项目绩效自评得分为</w:t>
      </w:r>
      <w:r>
        <w:rPr>
          <w:rFonts w:ascii="仿宋_GB2312" w:hAnsi="仿宋_GB2312" w:eastAsia="仿宋_GB2312" w:cs="仿宋_GB2312"/>
          <w:sz w:val="32"/>
          <w:szCs w:val="32"/>
        </w:rPr>
        <w:t>97</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111.89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111.89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spacing w:val="-4"/>
          <w:sz w:val="32"/>
          <w:szCs w:val="32"/>
        </w:rPr>
        <w:t>1.产出指标完成情况分析（1）项目完成数量：</w:t>
      </w:r>
      <w:r>
        <w:rPr>
          <w:rFonts w:hint="eastAsia" w:ascii="仿宋_GB2312" w:hAnsi="仿宋_GB2312" w:eastAsia="仿宋_GB2312" w:cs="仿宋_GB2312"/>
          <w:color w:val="000000"/>
          <w:spacing w:val="-4"/>
          <w:sz w:val="32"/>
          <w:szCs w:val="32"/>
        </w:rPr>
        <w:t>数量指标有1条：</w:t>
      </w:r>
      <w:r>
        <w:rPr>
          <w:rFonts w:hint="eastAsia" w:ascii="仿宋_GB2312" w:hAnsi="仿宋_GB2312" w:eastAsia="仿宋_GB2312" w:cs="仿宋_GB2312"/>
          <w:spacing w:val="-4"/>
          <w:sz w:val="32"/>
          <w:szCs w:val="32"/>
        </w:rPr>
        <w:t>享受加发工资的人数480人。（2）项目完成质量：质量指标1条：领取两证的退休人群覆盖率100%，保障所有的两证的退休人员都能领取到退休金。（3）项目实施进度：项目完工及时率100%（4）项目成本节约情况：成本指标1条：享受加发工资的月标准194.25元/人/月，按照标准给退休人员发放标准。2.效益指标完成情况分析：（1）项目实施的经济效益分析：经济效益1条：享受加发工资对象增加收入2331元/人/年，增加退休人员的工资，保障退休人员的生活保障。</w:t>
      </w: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spacing w:val="-4"/>
          <w:sz w:val="32"/>
          <w:szCs w:val="32"/>
        </w:rPr>
        <w:t>2）项目实施的社会效益分析：社会效益1条：通过对领取两证人员加发工资，促进相关政策的覆盖率，达到退休人员都保障到。（3）项目实施的生态效益分</w:t>
      </w:r>
      <w:r>
        <w:rPr>
          <w:rFonts w:hint="eastAsia" w:ascii="仿宋_GB2312" w:hAnsi="仿宋_GB2312" w:eastAsia="仿宋_GB2312" w:cs="仿宋_GB2312"/>
          <w:bCs/>
          <w:spacing w:val="-4"/>
          <w:sz w:val="32"/>
          <w:szCs w:val="32"/>
        </w:rPr>
        <w:t>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bCs/>
          <w:spacing w:val="-4"/>
          <w:sz w:val="32"/>
          <w:szCs w:val="32"/>
        </w:rPr>
        <w:t>（4）项目实施的可持续影响分析：可持续影响1条：</w:t>
      </w:r>
      <w:r>
        <w:rPr>
          <w:rFonts w:hint="eastAsia" w:ascii="仿宋_GB2312" w:hAnsi="仿宋_GB2312" w:eastAsia="仿宋_GB2312" w:cs="仿宋_GB2312"/>
          <w:spacing w:val="-4"/>
          <w:sz w:val="32"/>
          <w:szCs w:val="32"/>
        </w:rPr>
        <w:t>可持续使用1年，项目已持续一年时间，按照标准资金都发放到退休人员手中。3.满意度指标完成情况分析：按计划完成项目实施，已做满意度调查问卷，广大群众对工作的满意度满意率达100%，服务对象满意度指标完成。</w:t>
      </w:r>
      <w:r>
        <w:rPr>
          <w:rFonts w:hint="eastAsia" w:ascii="仿宋_GB2312" w:hAnsi="仿宋_GB2312" w:eastAsia="仿宋_GB2312" w:cs="仿宋_GB2312"/>
          <w:sz w:val="32"/>
          <w:szCs w:val="32"/>
        </w:rPr>
        <w:t>发现的问题及原因：无下一步改进措施：无</w:t>
      </w:r>
    </w:p>
    <w:p>
      <w:pPr>
        <w:spacing w:line="540" w:lineRule="exact"/>
        <w:ind w:firstLine="640" w:firstLineChars="200"/>
        <w:rPr>
          <w:rFonts w:eastAsia="仿宋_GB231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、免费技术服务项目绩效自评综述：根据年初设定的绩效目标，该项目绩效自评得分为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66.8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66.8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spacing w:val="-4"/>
          <w:sz w:val="32"/>
          <w:szCs w:val="32"/>
        </w:rPr>
        <w:t>1.产出指标完成情况分析（1）项目完成数量：</w:t>
      </w:r>
      <w:r>
        <w:rPr>
          <w:rFonts w:hint="eastAsia" w:ascii="仿宋_GB2312" w:hAnsi="仿宋_GB2312" w:eastAsia="仿宋_GB2312" w:cs="仿宋_GB2312"/>
          <w:color w:val="000000"/>
          <w:spacing w:val="-4"/>
          <w:sz w:val="32"/>
          <w:szCs w:val="32"/>
        </w:rPr>
        <w:t>数量指标有2条：全县范围内农牧民孕龄妇女人数8.5万人；全年体检4次。分时间段严格按照要求对全县的孕龄妇女进行检查，严格控制生育人口数。</w:t>
      </w:r>
      <w:r>
        <w:rPr>
          <w:rFonts w:hint="eastAsia" w:ascii="仿宋_GB2312" w:hAnsi="仿宋_GB2312" w:eastAsia="仿宋_GB2312" w:cs="仿宋_GB2312"/>
          <w:spacing w:val="-4"/>
          <w:sz w:val="32"/>
          <w:szCs w:val="32"/>
        </w:rPr>
        <w:t>（2）项目完成质量：质量指标1条：接受免费体检人群覆盖率100%，让受检查的人员了解更多的政策，自觉接受孕检，保障受检人员全覆盖。（3）项目实施进度：时效指标1条：项目完工及时率100%，按照项目进度执行，并在计划时间内完成项目，并达到项目的预期值。（4）项目成本节约情况：成本指标8条: 给每位妇女补助标准48元/人/次、给每位妇女补助B超标准6元/人/次、给每位妇女补助标准700元/人/次）、给每位妇女补助标准600元/人/次、给每位妇女补助取皮埋标准220元/人/次、给每位妇女补助标准200元/人/次、给每位妇女补助标准150元/人/次、给每位妇女补助所需尿化验标准1元/人/次。2.效益指标完成情况分析（1）项目实施的经济效益分析：经济效益指标2条：使孕检对象节约资金40元/人/次、使孕检对象早期发现失败和妇科病，早期治疗节约资金2000元/人/次。（2）项目实施的社会效益分析：社会效益1条：服务对象对国家政策的认可率，让群众对政策的认识全面化，更好落实政策，让群众对政策的认可率不断提高。（3）项目实施的生态效益分</w:t>
      </w:r>
      <w:r>
        <w:rPr>
          <w:rFonts w:hint="eastAsia" w:ascii="仿宋_GB2312" w:hAnsi="仿宋_GB2312" w:eastAsia="仿宋_GB2312" w:cs="仿宋_GB2312"/>
          <w:bCs/>
          <w:spacing w:val="-4"/>
          <w:sz w:val="32"/>
          <w:szCs w:val="32"/>
        </w:rPr>
        <w:t>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bCs/>
          <w:spacing w:val="-4"/>
          <w:sz w:val="32"/>
          <w:szCs w:val="32"/>
        </w:rPr>
        <w:t>（4）项目实施的可持续影响分析：可持续影响指标1条：</w:t>
      </w:r>
      <w:r>
        <w:rPr>
          <w:rFonts w:hint="eastAsia" w:ascii="仿宋_GB2312" w:hAnsi="仿宋_GB2312" w:eastAsia="仿宋_GB2312" w:cs="仿宋_GB2312"/>
          <w:spacing w:val="-4"/>
          <w:sz w:val="32"/>
          <w:szCs w:val="32"/>
        </w:rPr>
        <w:t>可持续使用1年，已经使用一年，影响在不断提升。3.满意度指标完成情况分析满意度指标1条：按计划完成项目实施，已做满意度调查问卷，广大群众对工作的满意率达95%，服务对象满意度指标完成。</w:t>
      </w:r>
      <w:r>
        <w:rPr>
          <w:rFonts w:hint="eastAsia" w:ascii="仿宋_GB2312" w:hAnsi="仿宋_GB2312" w:eastAsia="仿宋_GB2312" w:cs="仿宋_GB2312"/>
          <w:sz w:val="32"/>
          <w:szCs w:val="32"/>
        </w:rPr>
        <w:t>发现的问题及原因：无下一步改进措施：无。</w:t>
      </w:r>
    </w:p>
    <w:p>
      <w:pPr>
        <w:spacing w:line="540" w:lineRule="exact"/>
        <w:ind w:firstLine="640" w:firstLineChars="200"/>
        <w:rPr>
          <w:rFonts w:ascii="仿宋_GB2312" w:hAnsi="仿宋_GB2312" w:eastAsia="仿宋_GB2312" w:cs="仿宋_GB2312"/>
          <w:spacing w:val="-4"/>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、奖励金项目绩效自评综述：根据年初设定的绩效目标，该项目绩效自评得分为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4,145.39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4,145.39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spacing w:val="-4"/>
          <w:sz w:val="32"/>
          <w:szCs w:val="32"/>
        </w:rPr>
        <w:t>1.产出指标完成情况分析（1）项目完成数量：</w:t>
      </w:r>
      <w:r>
        <w:rPr>
          <w:rFonts w:hint="eastAsia" w:ascii="仿宋_GB2312" w:hAnsi="仿宋_GB2312" w:eastAsia="仿宋_GB2312" w:cs="仿宋_GB2312"/>
          <w:color w:val="000000"/>
          <w:spacing w:val="-4"/>
          <w:sz w:val="32"/>
          <w:szCs w:val="32"/>
        </w:rPr>
        <w:t>数量指标有10条：享受国家奖扶960元标准的2336人；享受国家特扶4080元标准的901人；享受自治区奖励金3000元标准的801人；享受自治区奖励金1500元标准的991户；享受自治区特扶2040元标准的4人；享受自治区城镇奖励金3000元标准的55户；享受南疆地区6000元标准的2561人；享受南疆地区3600元标准的4165人；享受南疆地区1800元标准的1110人；享受自治区一次性5000元奖励金标准的58人。按照不同标准对人员进行分类，确保不落下一个人。</w:t>
      </w:r>
      <w:r>
        <w:rPr>
          <w:rFonts w:hint="eastAsia" w:ascii="仿宋_GB2312" w:hAnsi="仿宋_GB2312" w:eastAsia="仿宋_GB2312" w:cs="仿宋_GB2312"/>
          <w:spacing w:val="-4"/>
          <w:sz w:val="32"/>
          <w:szCs w:val="32"/>
        </w:rPr>
        <w:t>（2）项目完成质量：质量指标1条：领取两证的人群享受奖励的覆盖率100%，确保享受人群受奖励做到全覆盖，不落下一个人。（3）项目实施进度</w:t>
      </w: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pacing w:val="-4"/>
          <w:sz w:val="32"/>
          <w:szCs w:val="32"/>
        </w:rPr>
        <w:t>时效指标1条：项目完工及时率100%，严格按照项目的执行进度进行开展，并按时完成项目。（4）项目成本节约情况：成本指标</w:t>
      </w:r>
      <w:r>
        <w:rPr>
          <w:rFonts w:hint="eastAsia" w:ascii="仿宋_GB2312" w:hAnsi="仿宋_GB2312" w:eastAsia="仿宋_GB2312" w:cs="仿宋_GB2312"/>
          <w:color w:val="000000"/>
          <w:spacing w:val="-4"/>
          <w:sz w:val="32"/>
          <w:szCs w:val="32"/>
        </w:rPr>
        <w:t>10条：</w:t>
      </w:r>
      <w:r>
        <w:rPr>
          <w:rFonts w:hint="eastAsia" w:ascii="仿宋_GB2312" w:hAnsi="仿宋_GB2312" w:eastAsia="仿宋_GB2312" w:cs="仿宋_GB2312"/>
          <w:spacing w:val="-4"/>
          <w:sz w:val="32"/>
          <w:szCs w:val="32"/>
        </w:rPr>
        <w:t>享受国家奖扶标准960元/人/年、享受国家特扶标准4080元/人/年、享受自治区奖励金元标准3000元/人/年、享受自治区奖励金标准1500元/人/年、享受自治区特扶标准4080元/人/年、享受自治区城镇奖励金3000元/人/年、享受南疆地区标准6000元/人/年、享受南疆地区标准3600元/人/年、享受南疆地区标准1800元/人/年、享受自治区一次性奖励金标准5000元/人/年。2.效益指标完成情况分析：（1）项目实施的经济效益分析：经济效益指标1条：享受奖励对象增加收入率100%，增加奖励对象的收入，带动奖励对象的消费，促进经济的发展。</w:t>
      </w: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spacing w:val="-4"/>
          <w:sz w:val="32"/>
          <w:szCs w:val="32"/>
        </w:rPr>
        <w:t>2）项目实施的社会效益分析：社会效益指标1条：奖励对象对国家相关政策的认可率100%，让更多的人对国家的政策达到一定程度的了解，并对政策的认可。（3）项目实施的生态效益分</w:t>
      </w:r>
      <w:r>
        <w:rPr>
          <w:rFonts w:hint="eastAsia" w:ascii="仿宋_GB2312" w:hAnsi="仿宋_GB2312" w:eastAsia="仿宋_GB2312" w:cs="仿宋_GB2312"/>
          <w:bCs/>
          <w:spacing w:val="-4"/>
          <w:sz w:val="32"/>
          <w:szCs w:val="32"/>
        </w:rPr>
        <w:t>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bCs/>
          <w:spacing w:val="-4"/>
          <w:sz w:val="32"/>
          <w:szCs w:val="32"/>
        </w:rPr>
        <w:t>（4）项目实施的可持续影响分析：可持续影响指标1条：</w:t>
      </w:r>
      <w:r>
        <w:rPr>
          <w:rFonts w:hint="eastAsia" w:ascii="仿宋_GB2312" w:hAnsi="仿宋_GB2312" w:eastAsia="仿宋_GB2312" w:cs="仿宋_GB2312"/>
          <w:spacing w:val="-4"/>
          <w:sz w:val="32"/>
          <w:szCs w:val="32"/>
        </w:rPr>
        <w:t>奖励金可持续影响100%。3.满意度指标完成情况分析：满意度指标2条：广大群众对工作的满意度100%，广大群众对工作满意率达100%，按计划完成项目实施，已做满意度调查问卷，服务对象满意度指标完成。</w:t>
      </w:r>
      <w:r>
        <w:rPr>
          <w:rFonts w:hint="eastAsia" w:ascii="仿宋_GB2312" w:hAnsi="仿宋_GB2312" w:eastAsia="仿宋_GB2312" w:cs="仿宋_GB2312"/>
          <w:sz w:val="32"/>
          <w:szCs w:val="32"/>
        </w:rPr>
        <w:t>发现的问题及原因：无下一步改进措施：无</w:t>
      </w:r>
    </w:p>
    <w:p>
      <w:pPr>
        <w:spacing w:line="540" w:lineRule="exact"/>
        <w:ind w:firstLine="640" w:firstLineChars="200"/>
        <w:rPr>
          <w:rFonts w:ascii="仿宋_GB2312" w:hAnsi="仿宋_GB2312" w:eastAsia="仿宋_GB2312" w:cs="仿宋_GB2312"/>
          <w:spacing w:val="-4"/>
          <w:sz w:val="32"/>
          <w:szCs w:val="32"/>
        </w:rPr>
      </w:pPr>
      <w:r>
        <w:rPr>
          <w:rFonts w:hint="eastAsia" w:ascii="仿宋_GB2312" w:hAnsi="仿宋_GB2312" w:eastAsia="仿宋_GB2312" w:cs="仿宋_GB2312"/>
          <w:sz w:val="32"/>
          <w:szCs w:val="32"/>
        </w:rPr>
        <w:t>5、村级专干岗位津贴和交通费项目绩效自评综述：根据年初设定的绩效目标，该项目绩效自评得分为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6分。项目全年预算数为</w:t>
      </w:r>
      <w:r>
        <w:rPr>
          <w:rFonts w:hint="eastAsia" w:ascii="仿宋_GB2312" w:hAnsi="仿宋_GB2312" w:eastAsia="仿宋_GB2312" w:cs="仿宋_GB2312"/>
          <w:bCs/>
          <w:spacing w:val="-4"/>
          <w:sz w:val="32"/>
          <w:szCs w:val="32"/>
        </w:rPr>
        <w:t>848.9</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bCs/>
          <w:spacing w:val="-4"/>
          <w:sz w:val="32"/>
          <w:szCs w:val="32"/>
        </w:rPr>
        <w:t>848.9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spacing w:val="-4"/>
          <w:sz w:val="32"/>
          <w:szCs w:val="32"/>
        </w:rPr>
        <w:t>1.产出指标完成情况分析（1）项目完成数量：数量指标全部完成。（2）项目完成质量：质量指标验收合格率100%。（3）项目实施进度：按照申报目标的进度进行。（4）项目成本节约情况：无；2.效益指标完成情况分析：（1）项目实施的经济效益分析：村级宣传员增加收入12000元/人/年，</w:t>
      </w: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spacing w:val="-4"/>
          <w:sz w:val="32"/>
          <w:szCs w:val="32"/>
        </w:rPr>
        <w:t>2）项目实施的社会效益分析：促进村级工作的管理，提高农牧民对工作的覆盖率达到95%。（3）项目实施的生态效益分</w:t>
      </w:r>
      <w:r>
        <w:rPr>
          <w:rFonts w:hint="eastAsia" w:ascii="仿宋_GB2312" w:hAnsi="仿宋_GB2312" w:eastAsia="仿宋_GB2312" w:cs="仿宋_GB2312"/>
          <w:bCs/>
          <w:spacing w:val="-4"/>
          <w:sz w:val="32"/>
          <w:szCs w:val="32"/>
        </w:rPr>
        <w:t>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bCs/>
          <w:spacing w:val="-4"/>
          <w:sz w:val="32"/>
          <w:szCs w:val="32"/>
        </w:rPr>
        <w:t>（4）项目实施的可持续影响分析：</w:t>
      </w:r>
      <w:r>
        <w:rPr>
          <w:rFonts w:hint="eastAsia" w:ascii="仿宋_GB2312" w:hAnsi="仿宋_GB2312" w:eastAsia="仿宋_GB2312" w:cs="仿宋_GB2312"/>
          <w:spacing w:val="-4"/>
          <w:sz w:val="32"/>
          <w:szCs w:val="32"/>
        </w:rPr>
        <w:t>通过发放村级宣传员的岗位津贴，可持续影响群众在对相关政策的认可率达到95%</w:t>
      </w:r>
    </w:p>
    <w:p>
      <w:pPr>
        <w:spacing w:line="540" w:lineRule="exact"/>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3.满意度指标完成情况分析：按计划完成项目实施，广大群众对工作和广大群众对相关政策满意率达95%，服务对象满意度指标完成。</w:t>
      </w:r>
      <w:r>
        <w:rPr>
          <w:rFonts w:hint="eastAsia" w:ascii="仿宋_GB2312" w:hAnsi="仿宋_GB2312" w:eastAsia="仿宋_GB2312" w:cs="仿宋_GB2312"/>
          <w:sz w:val="32"/>
          <w:szCs w:val="32"/>
        </w:rPr>
        <w:t>发现的问题及原因：无下一步改进措施：无。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0" w:firstLineChars="200"/>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w:t>
      </w:r>
      <w:r>
        <w:rPr>
          <w:rFonts w:hint="eastAsia" w:ascii="仿宋_GB2312" w:eastAsia="仿宋_GB2312" w:cs="仿宋_GB2312"/>
          <w:sz w:val="32"/>
          <w:szCs w:val="32"/>
        </w:rPr>
        <w:t>、公务用车购置及运行费和公务接待费。其中，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w:t>
      </w:r>
      <w:r>
        <w:rPr>
          <w:rFonts w:hint="eastAsia" w:ascii="仿宋_GB2312" w:eastAsia="仿宋_GB2312" w:cs="仿宋_GB2312"/>
          <w:sz w:val="32"/>
          <w:szCs w:val="32"/>
        </w:rPr>
        <w:t>反映单位公务出国</w:t>
      </w:r>
      <w:r>
        <w:rPr>
          <w:rFonts w:hint="eastAsia" w:ascii="仿宋_GB2312" w:eastAsia="仿宋_GB2312" w:cs="仿宋_GB2312"/>
          <w:color w:val="000000"/>
          <w:sz w:val="32"/>
          <w:szCs w:val="32"/>
          <w:lang w:eastAsia="zh-CN"/>
        </w:rPr>
        <w:t>（境）</w:t>
      </w:r>
      <w:bookmarkStart w:id="91" w:name="_GoBack"/>
      <w:bookmarkEnd w:id="91"/>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07</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（项）指：其他计划事务支出。</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07</w:t>
      </w:r>
      <w:r>
        <w:rPr>
          <w:rFonts w:hint="eastAsia" w:ascii="仿宋_GB2312" w:eastAsia="仿宋_GB2312" w:cs="仿宋_GB2312"/>
          <w:sz w:val="32"/>
          <w:szCs w:val="32"/>
        </w:rPr>
        <w:t>（款）</w:t>
      </w:r>
      <w:r>
        <w:rPr>
          <w:rFonts w:ascii="仿宋_GB2312" w:eastAsia="仿宋_GB2312" w:cs="仿宋_GB2312"/>
          <w:sz w:val="32"/>
          <w:szCs w:val="32"/>
        </w:rPr>
        <w:t>16</w:t>
      </w:r>
      <w:r>
        <w:rPr>
          <w:rFonts w:hint="eastAsia" w:ascii="仿宋_GB2312" w:eastAsia="仿宋_GB2312" w:cs="仿宋_GB2312"/>
          <w:sz w:val="32"/>
          <w:szCs w:val="32"/>
        </w:rPr>
        <w:t>（项）指：计划机构。</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07</w:t>
      </w:r>
      <w:r>
        <w:rPr>
          <w:rFonts w:hint="eastAsia" w:ascii="仿宋_GB2312" w:eastAsia="仿宋_GB2312" w:cs="仿宋_GB2312"/>
          <w:sz w:val="32"/>
          <w:szCs w:val="32"/>
        </w:rPr>
        <w:t>（款）</w:t>
      </w:r>
      <w:r>
        <w:rPr>
          <w:rFonts w:ascii="仿宋_GB2312" w:eastAsia="仿宋_GB2312" w:cs="仿宋_GB2312"/>
          <w:sz w:val="32"/>
          <w:szCs w:val="32"/>
        </w:rPr>
        <w:t>17</w:t>
      </w:r>
      <w:r>
        <w:rPr>
          <w:rFonts w:hint="eastAsia" w:ascii="仿宋_GB2312" w:eastAsia="仿宋_GB2312" w:cs="仿宋_GB2312"/>
          <w:sz w:val="32"/>
          <w:szCs w:val="32"/>
        </w:rPr>
        <w:t>（项）指：计划服务。</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2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- 7 -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11379"/>
    <w:rsid w:val="0002118A"/>
    <w:rsid w:val="00021887"/>
    <w:rsid w:val="00022242"/>
    <w:rsid w:val="00023499"/>
    <w:rsid w:val="00040E57"/>
    <w:rsid w:val="00044097"/>
    <w:rsid w:val="00050E1F"/>
    <w:rsid w:val="00054305"/>
    <w:rsid w:val="00060E28"/>
    <w:rsid w:val="00062B62"/>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16DBB"/>
    <w:rsid w:val="0012066C"/>
    <w:rsid w:val="00123283"/>
    <w:rsid w:val="00124713"/>
    <w:rsid w:val="00124A31"/>
    <w:rsid w:val="00124B40"/>
    <w:rsid w:val="00133488"/>
    <w:rsid w:val="00133516"/>
    <w:rsid w:val="00136D8E"/>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042D"/>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2296"/>
    <w:rsid w:val="00226DF0"/>
    <w:rsid w:val="00231C2E"/>
    <w:rsid w:val="00240F6B"/>
    <w:rsid w:val="00241293"/>
    <w:rsid w:val="00245135"/>
    <w:rsid w:val="002453A6"/>
    <w:rsid w:val="00247520"/>
    <w:rsid w:val="00251FC8"/>
    <w:rsid w:val="00256471"/>
    <w:rsid w:val="00257943"/>
    <w:rsid w:val="002608FE"/>
    <w:rsid w:val="00271D59"/>
    <w:rsid w:val="0027418F"/>
    <w:rsid w:val="002771B5"/>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2F5E7B"/>
    <w:rsid w:val="00300B06"/>
    <w:rsid w:val="0030440B"/>
    <w:rsid w:val="00305C33"/>
    <w:rsid w:val="00305E10"/>
    <w:rsid w:val="00307208"/>
    <w:rsid w:val="00311036"/>
    <w:rsid w:val="003136FF"/>
    <w:rsid w:val="003167D1"/>
    <w:rsid w:val="00317644"/>
    <w:rsid w:val="00317B91"/>
    <w:rsid w:val="00320F9D"/>
    <w:rsid w:val="003217D2"/>
    <w:rsid w:val="003228EE"/>
    <w:rsid w:val="0032647C"/>
    <w:rsid w:val="00326734"/>
    <w:rsid w:val="0033566D"/>
    <w:rsid w:val="0034150A"/>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04D3"/>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27C7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453F"/>
    <w:rsid w:val="004E5557"/>
    <w:rsid w:val="004E678C"/>
    <w:rsid w:val="004F067D"/>
    <w:rsid w:val="004F0DBA"/>
    <w:rsid w:val="004F33DA"/>
    <w:rsid w:val="004F77C5"/>
    <w:rsid w:val="00501302"/>
    <w:rsid w:val="00507F68"/>
    <w:rsid w:val="00513C9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A6746"/>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1A6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380C"/>
    <w:rsid w:val="006D45B7"/>
    <w:rsid w:val="006D62B0"/>
    <w:rsid w:val="006D6BDD"/>
    <w:rsid w:val="006F14EB"/>
    <w:rsid w:val="006F5BD8"/>
    <w:rsid w:val="0070114B"/>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38A1"/>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D30D9"/>
    <w:rsid w:val="007E3095"/>
    <w:rsid w:val="007F27ED"/>
    <w:rsid w:val="008043B9"/>
    <w:rsid w:val="0080628E"/>
    <w:rsid w:val="00807ACF"/>
    <w:rsid w:val="008131A3"/>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C7889"/>
    <w:rsid w:val="008E28BD"/>
    <w:rsid w:val="008E4EAC"/>
    <w:rsid w:val="008E5D6E"/>
    <w:rsid w:val="008F0F07"/>
    <w:rsid w:val="00910E73"/>
    <w:rsid w:val="009110DE"/>
    <w:rsid w:val="00913B22"/>
    <w:rsid w:val="00914BA4"/>
    <w:rsid w:val="009159EB"/>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B5CD4"/>
    <w:rsid w:val="009C3CE9"/>
    <w:rsid w:val="009C6A82"/>
    <w:rsid w:val="009D15D2"/>
    <w:rsid w:val="009D592F"/>
    <w:rsid w:val="009D641F"/>
    <w:rsid w:val="009E49B5"/>
    <w:rsid w:val="009E711C"/>
    <w:rsid w:val="009F06B8"/>
    <w:rsid w:val="009F1A31"/>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824B8"/>
    <w:rsid w:val="00B90F21"/>
    <w:rsid w:val="00B92E10"/>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1107E"/>
    <w:rsid w:val="00C238F0"/>
    <w:rsid w:val="00C25CC6"/>
    <w:rsid w:val="00C31297"/>
    <w:rsid w:val="00C478F9"/>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E7195"/>
    <w:rsid w:val="00CF226A"/>
    <w:rsid w:val="00CF30B6"/>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10FB"/>
    <w:rsid w:val="00D92C82"/>
    <w:rsid w:val="00DA1E10"/>
    <w:rsid w:val="00DA463D"/>
    <w:rsid w:val="00DA5B64"/>
    <w:rsid w:val="00DB2B00"/>
    <w:rsid w:val="00DB45E7"/>
    <w:rsid w:val="00DC19E1"/>
    <w:rsid w:val="00DC25CF"/>
    <w:rsid w:val="00DC35CC"/>
    <w:rsid w:val="00DC65F7"/>
    <w:rsid w:val="00DE70CC"/>
    <w:rsid w:val="00DF32E5"/>
    <w:rsid w:val="00DF3EFD"/>
    <w:rsid w:val="00E07FDF"/>
    <w:rsid w:val="00E14EDE"/>
    <w:rsid w:val="00E242B2"/>
    <w:rsid w:val="00E31696"/>
    <w:rsid w:val="00E33E4C"/>
    <w:rsid w:val="00E44960"/>
    <w:rsid w:val="00E474D2"/>
    <w:rsid w:val="00E52F6A"/>
    <w:rsid w:val="00E545C9"/>
    <w:rsid w:val="00E55774"/>
    <w:rsid w:val="00E56018"/>
    <w:rsid w:val="00E56A51"/>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B396B"/>
    <w:rsid w:val="00EC5A7D"/>
    <w:rsid w:val="00EC7099"/>
    <w:rsid w:val="00ED5E90"/>
    <w:rsid w:val="00ED60E2"/>
    <w:rsid w:val="00EE0A13"/>
    <w:rsid w:val="00EE2897"/>
    <w:rsid w:val="00EF31D5"/>
    <w:rsid w:val="00EF7013"/>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2B06DE"/>
    <w:rsid w:val="028847F9"/>
    <w:rsid w:val="03AA79F6"/>
    <w:rsid w:val="04741FE5"/>
    <w:rsid w:val="04DB02C7"/>
    <w:rsid w:val="05056763"/>
    <w:rsid w:val="06B856EE"/>
    <w:rsid w:val="07B77D1D"/>
    <w:rsid w:val="07FE5938"/>
    <w:rsid w:val="084604BC"/>
    <w:rsid w:val="08883825"/>
    <w:rsid w:val="09725983"/>
    <w:rsid w:val="0A382BB5"/>
    <w:rsid w:val="0AA4543A"/>
    <w:rsid w:val="0AB76DDD"/>
    <w:rsid w:val="0BE61132"/>
    <w:rsid w:val="0C9B0DD6"/>
    <w:rsid w:val="0CCE16A1"/>
    <w:rsid w:val="0CE4791C"/>
    <w:rsid w:val="0E063C64"/>
    <w:rsid w:val="0F4C7B96"/>
    <w:rsid w:val="0FFB575E"/>
    <w:rsid w:val="10845F1B"/>
    <w:rsid w:val="11463A00"/>
    <w:rsid w:val="11600918"/>
    <w:rsid w:val="11B0398F"/>
    <w:rsid w:val="13B960C5"/>
    <w:rsid w:val="14F4024B"/>
    <w:rsid w:val="152777F4"/>
    <w:rsid w:val="15C674B6"/>
    <w:rsid w:val="16190C95"/>
    <w:rsid w:val="16547A7B"/>
    <w:rsid w:val="165F2E2D"/>
    <w:rsid w:val="18D54A0D"/>
    <w:rsid w:val="1A4106A0"/>
    <w:rsid w:val="1A4F5437"/>
    <w:rsid w:val="1AB51838"/>
    <w:rsid w:val="1AB77CD0"/>
    <w:rsid w:val="1E807156"/>
    <w:rsid w:val="1EA657F6"/>
    <w:rsid w:val="1F097CB6"/>
    <w:rsid w:val="2166156B"/>
    <w:rsid w:val="21B02D83"/>
    <w:rsid w:val="22A236F5"/>
    <w:rsid w:val="23995975"/>
    <w:rsid w:val="2432220E"/>
    <w:rsid w:val="248303BA"/>
    <w:rsid w:val="24837E47"/>
    <w:rsid w:val="252E01AA"/>
    <w:rsid w:val="25D87F57"/>
    <w:rsid w:val="2680023E"/>
    <w:rsid w:val="27A246AB"/>
    <w:rsid w:val="286B5EB5"/>
    <w:rsid w:val="29680352"/>
    <w:rsid w:val="2A020F75"/>
    <w:rsid w:val="2B007AEE"/>
    <w:rsid w:val="2BC14C56"/>
    <w:rsid w:val="2C1B026F"/>
    <w:rsid w:val="2CC61F55"/>
    <w:rsid w:val="2E3C3310"/>
    <w:rsid w:val="2EF7452F"/>
    <w:rsid w:val="2F1D13B4"/>
    <w:rsid w:val="2FAA3DA6"/>
    <w:rsid w:val="30682E1F"/>
    <w:rsid w:val="30E210D2"/>
    <w:rsid w:val="311371D6"/>
    <w:rsid w:val="31EB64C9"/>
    <w:rsid w:val="336D0D6F"/>
    <w:rsid w:val="352D6440"/>
    <w:rsid w:val="352E4BEC"/>
    <w:rsid w:val="35C62308"/>
    <w:rsid w:val="374B1271"/>
    <w:rsid w:val="376027C6"/>
    <w:rsid w:val="37DD5594"/>
    <w:rsid w:val="38F24FA8"/>
    <w:rsid w:val="3A98342A"/>
    <w:rsid w:val="3AB6780E"/>
    <w:rsid w:val="3AD56D70"/>
    <w:rsid w:val="3B2920C2"/>
    <w:rsid w:val="3B2B1F07"/>
    <w:rsid w:val="3BE41ABD"/>
    <w:rsid w:val="3C5421A9"/>
    <w:rsid w:val="3D903B21"/>
    <w:rsid w:val="3DD83134"/>
    <w:rsid w:val="3F440741"/>
    <w:rsid w:val="3FF43C56"/>
    <w:rsid w:val="4106654D"/>
    <w:rsid w:val="41FC306C"/>
    <w:rsid w:val="44BE5554"/>
    <w:rsid w:val="451E0908"/>
    <w:rsid w:val="452C2D31"/>
    <w:rsid w:val="45D26E14"/>
    <w:rsid w:val="46A541B1"/>
    <w:rsid w:val="48C57772"/>
    <w:rsid w:val="49782886"/>
    <w:rsid w:val="4A6F0D28"/>
    <w:rsid w:val="4AAF085C"/>
    <w:rsid w:val="4AEB7E60"/>
    <w:rsid w:val="4B0621C3"/>
    <w:rsid w:val="4B4B135B"/>
    <w:rsid w:val="4BC7055F"/>
    <w:rsid w:val="4CFC7DB2"/>
    <w:rsid w:val="4E7C187D"/>
    <w:rsid w:val="508941AD"/>
    <w:rsid w:val="50E65530"/>
    <w:rsid w:val="51457139"/>
    <w:rsid w:val="51574DBD"/>
    <w:rsid w:val="51EC1DA8"/>
    <w:rsid w:val="52FC5524"/>
    <w:rsid w:val="532D7A17"/>
    <w:rsid w:val="53930C9E"/>
    <w:rsid w:val="54AF4562"/>
    <w:rsid w:val="54B666D6"/>
    <w:rsid w:val="54C9674B"/>
    <w:rsid w:val="556318EA"/>
    <w:rsid w:val="55A60AA1"/>
    <w:rsid w:val="56451615"/>
    <w:rsid w:val="57A46B87"/>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3B54FCB"/>
    <w:rsid w:val="64700DE9"/>
    <w:rsid w:val="65A81052"/>
    <w:rsid w:val="65C613BD"/>
    <w:rsid w:val="65FD118C"/>
    <w:rsid w:val="682C3D89"/>
    <w:rsid w:val="68611305"/>
    <w:rsid w:val="6A162DE0"/>
    <w:rsid w:val="6A331428"/>
    <w:rsid w:val="6B2E5CB6"/>
    <w:rsid w:val="6B3D4886"/>
    <w:rsid w:val="6DF8675E"/>
    <w:rsid w:val="6E5D6FB1"/>
    <w:rsid w:val="6EA80098"/>
    <w:rsid w:val="6EEA4AAA"/>
    <w:rsid w:val="6F7822B0"/>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annotation subject"/>
    <w:basedOn w:val="2"/>
    <w:next w:val="2"/>
    <w:link w:val="16"/>
    <w:semiHidden/>
    <w:qFormat/>
    <w:uiPriority w:val="99"/>
    <w:rPr>
      <w:b/>
      <w:bCs/>
    </w:rPr>
  </w:style>
  <w:style w:type="character" w:styleId="10">
    <w:name w:val="page number"/>
    <w:basedOn w:val="9"/>
    <w:qFormat/>
    <w:uiPriority w:val="99"/>
  </w:style>
  <w:style w:type="character" w:styleId="11">
    <w:name w:val="annotation reference"/>
    <w:semiHidden/>
    <w:qFormat/>
    <w:uiPriority w:val="99"/>
    <w:rPr>
      <w:sz w:val="21"/>
      <w:szCs w:val="21"/>
    </w:rPr>
  </w:style>
  <w:style w:type="character" w:customStyle="1" w:styleId="12">
    <w:name w:val="批注文字 Char"/>
    <w:link w:val="2"/>
    <w:semiHidden/>
    <w:qFormat/>
    <w:locked/>
    <w:uiPriority w:val="99"/>
    <w:rPr>
      <w:rFonts w:ascii="Times New Roman" w:hAnsi="Times New Roman" w:eastAsia="宋体" w:cs="Times New Roman"/>
      <w:sz w:val="24"/>
      <w:szCs w:val="24"/>
    </w:rPr>
  </w:style>
  <w:style w:type="character" w:customStyle="1" w:styleId="13">
    <w:name w:val="批注框文本 Char"/>
    <w:link w:val="3"/>
    <w:semiHidden/>
    <w:locked/>
    <w:uiPriority w:val="99"/>
    <w:rPr>
      <w:rFonts w:ascii="Times New Roman" w:hAnsi="Times New Roman" w:eastAsia="宋体" w:cs="Times New Roman"/>
      <w:sz w:val="18"/>
      <w:szCs w:val="18"/>
    </w:rPr>
  </w:style>
  <w:style w:type="character" w:customStyle="1" w:styleId="14">
    <w:name w:val="页脚 Char"/>
    <w:link w:val="4"/>
    <w:qFormat/>
    <w:locked/>
    <w:uiPriority w:val="99"/>
    <w:rPr>
      <w:rFonts w:ascii="Times New Roman" w:hAnsi="Times New Roman" w:eastAsia="黑体" w:cs="Times New Roman"/>
      <w:snapToGrid w:val="0"/>
      <w:kern w:val="0"/>
      <w:sz w:val="18"/>
      <w:szCs w:val="18"/>
    </w:rPr>
  </w:style>
  <w:style w:type="character" w:customStyle="1" w:styleId="15">
    <w:name w:val="页眉 Char"/>
    <w:link w:val="5"/>
    <w:qFormat/>
    <w:locked/>
    <w:uiPriority w:val="99"/>
    <w:rPr>
      <w:rFonts w:ascii="Times New Roman" w:hAnsi="Times New Roman" w:eastAsia="宋体" w:cs="Times New Roman"/>
      <w:sz w:val="18"/>
      <w:szCs w:val="18"/>
    </w:rPr>
  </w:style>
  <w:style w:type="character" w:customStyle="1" w:styleId="16">
    <w:name w:val="批注主题 Char"/>
    <w:link w:val="7"/>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18</Pages>
  <Words>8775</Words>
  <Characters>1031</Characters>
  <Lines>8</Lines>
  <Paragraphs>19</Paragraphs>
  <TotalTime>0</TotalTime>
  <ScaleCrop>false</ScaleCrop>
  <LinksUpToDate>false</LinksUpToDate>
  <CharactersWithSpaces>9787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2021-06-11T09:28:16Z</dcterms:modified>
  <cp:revision>824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