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60" w:lineRule="exact"/>
        <w:rPr>
          <w:rFonts w:ascii="方正小标宋_GBK" w:hAnsi="宋体" w:eastAsia="方正小标宋_GBK"/>
          <w:sz w:val="44"/>
          <w:szCs w:val="44"/>
        </w:rPr>
      </w:pPr>
    </w:p>
    <w:p>
      <w:pPr>
        <w:spacing w:line="56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年度新疆喀什地区叶城县文化体育广播影视局部门决算公开说明</w:t>
      </w:r>
    </w:p>
    <w:p>
      <w:pPr>
        <w:spacing w:line="560" w:lineRule="exact"/>
        <w:rPr>
          <w:rFonts w:ascii="仿宋_GB2312" w:hAnsi="宋体" w:eastAsia="仿宋_GB2312"/>
          <w:sz w:val="32"/>
          <w:szCs w:val="32"/>
        </w:rPr>
      </w:pPr>
    </w:p>
    <w:p>
      <w:pPr>
        <w:spacing w:line="56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60" w:lineRule="exact"/>
        <w:rPr>
          <w:rFonts w:ascii="仿宋_GB2312" w:hAnsi="宋体" w:eastAsia="仿宋_GB2312"/>
          <w:b/>
          <w:bCs/>
          <w:kern w:val="0"/>
          <w:sz w:val="32"/>
          <w:szCs w:val="32"/>
        </w:rPr>
      </w:pP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6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6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60" w:lineRule="exact"/>
        <w:ind w:firstLine="640" w:firstLineChars="200"/>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60" w:lineRule="exact"/>
        <w:ind w:firstLine="640" w:firstLineChars="200"/>
        <w:rPr>
          <w:rFonts w:ascii="黑体" w:hAnsi="黑体" w:eastAsia="黑体"/>
          <w:kern w:val="0"/>
          <w:sz w:val="32"/>
          <w:szCs w:val="32"/>
        </w:rPr>
      </w:pPr>
      <w:r>
        <w:rPr>
          <w:rFonts w:hint="eastAsia" w:ascii="仿宋_GB2312" w:eastAsia="仿宋_GB2312" w:cs="仿宋_GB2312"/>
          <w:sz w:val="32"/>
          <w:szCs w:val="32"/>
        </w:rPr>
        <w:t>贯彻执行党和国家有关文化、体育、广播电视工作的方针政策和法律法规。研究制定和组织实施全县文化、体育、广播电视事业、产业发展规划；组织实施广播电视重大工程，指导监督广播电视重点设施建设。依照法律法规，负责全县文化、体育、广播电视行政审批和执法工作，并对全县广播电视播出结构和地面卫星接收设施进行建立、变更和撤销。指导和实施全县文化、体育、广播电视管理体制改革，对系统内重大职能调整、人事调配、机构编制、专业技术职务评聘等事宜进行指导管理，提出改革意见和措施。负责全县公共文化体育服务体系建设，管理公共文化体育事业，指导图书馆、文化馆、体育馆、博物馆、纪念馆、电视局、旅游局等公共文化体育服务，组织实施和协调指导重大社会文化体育活动。管理广播电视科技开发工作，制定有关技术规范和标准，负责广播电视系统适用高新技术的科学研究和开发应用；指导和组织全县广播电视系统的业务培养、技术交流、人才开发和对外合作等工作。</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6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从决算单位构成看，新疆喀什地区叶城县文化体育广播影视局部门决算包括：新疆喀什地区叶城县文化体育广播影视局部门本级决算、所属单位决算等。</w:t>
      </w:r>
    </w:p>
    <w:p>
      <w:pPr>
        <w:spacing w:line="56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纳入新疆喀什地区叶城县文化体育广播影视局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60" w:lineRule="exact"/>
        <w:ind w:firstLine="616" w:firstLineChars="200"/>
        <w:rPr>
          <w:rFonts w:ascii="仿宋_GB2312" w:eastAsia="仿宋_GB2312"/>
          <w:spacing w:val="-6"/>
          <w:sz w:val="32"/>
          <w:szCs w:val="32"/>
        </w:rPr>
      </w:pPr>
    </w:p>
    <w:p>
      <w:pPr>
        <w:spacing w:line="560" w:lineRule="exact"/>
        <w:ind w:firstLine="616" w:firstLineChars="200"/>
        <w:rPr>
          <w:rFonts w:ascii="仿宋_GB2312" w:eastAsia="仿宋_GB2312"/>
          <w:spacing w:val="-6"/>
          <w:sz w:val="32"/>
          <w:szCs w:val="32"/>
        </w:rPr>
      </w:pPr>
    </w:p>
    <w:tbl>
      <w:tblPr>
        <w:tblStyle w:val="8"/>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3056" w:type="dxa"/>
            <w:vAlign w:val="center"/>
          </w:tcPr>
          <w:p>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6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60" w:lineRule="exact"/>
              <w:ind w:firstLine="640" w:firstLineChars="200"/>
              <w:jc w:val="left"/>
              <w:rPr>
                <w:sz w:val="32"/>
                <w:szCs w:val="32"/>
              </w:rPr>
            </w:pPr>
            <w:r>
              <w:rPr>
                <w:rFonts w:ascii="仿宋_GB2312" w:eastAsia="仿宋_GB2312" w:cs="仿宋_GB2312"/>
                <w:position w:val="-1"/>
                <w:sz w:val="32"/>
                <w:szCs w:val="32"/>
              </w:rPr>
              <w:t>1</w:t>
            </w:r>
          </w:p>
        </w:tc>
        <w:tc>
          <w:tcPr>
            <w:tcW w:w="3870" w:type="dxa"/>
          </w:tcPr>
          <w:p>
            <w:pPr>
              <w:spacing w:line="560" w:lineRule="exact"/>
              <w:ind w:firstLine="640" w:firstLineChars="200"/>
              <w:jc w:val="left"/>
              <w:rPr>
                <w:sz w:val="32"/>
                <w:szCs w:val="32"/>
              </w:rPr>
            </w:pPr>
            <w:r>
              <w:rPr>
                <w:rFonts w:hint="eastAsia" w:ascii="仿宋_GB2312" w:eastAsia="仿宋_GB2312" w:cs="仿宋_GB2312"/>
                <w:position w:val="-1"/>
                <w:sz w:val="32"/>
                <w:szCs w:val="32"/>
              </w:rPr>
              <w:t>新疆喀什地区叶城县文化体育广播影视局</w:t>
            </w:r>
          </w:p>
        </w:tc>
        <w:tc>
          <w:tcPr>
            <w:tcW w:w="2538" w:type="dxa"/>
            <w:vAlign w:val="center"/>
          </w:tcPr>
          <w:p>
            <w:pPr>
              <w:spacing w:line="560" w:lineRule="exact"/>
              <w:ind w:firstLine="640" w:firstLineChars="200"/>
              <w:jc w:val="left"/>
              <w:rPr>
                <w:sz w:val="32"/>
                <w:szCs w:val="32"/>
              </w:rPr>
            </w:pPr>
          </w:p>
        </w:tc>
      </w:tr>
    </w:tbl>
    <w:p>
      <w:pPr>
        <w:spacing w:line="560" w:lineRule="exact"/>
        <w:rPr>
          <w:rFonts w:ascii="仿宋_GB2312" w:hAnsi="宋体" w:eastAsia="仿宋_GB2312"/>
          <w:kern w:val="0"/>
          <w:sz w:val="32"/>
          <w:szCs w:val="32"/>
        </w:rPr>
      </w:pPr>
    </w:p>
    <w:p>
      <w:pPr>
        <w:spacing w:line="560" w:lineRule="exact"/>
        <w:rPr>
          <w:rFonts w:ascii="仿宋_GB2312" w:hAnsi="宋体" w:eastAsia="仿宋_GB2312"/>
          <w:kern w:val="0"/>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spacing w:line="560" w:lineRule="exact"/>
        <w:ind w:firstLine="640" w:firstLineChars="200"/>
        <w:rPr>
          <w:rFonts w:ascii="仿宋_GB2312" w:hAnsi="仿宋_GB2312" w:eastAsia="仿宋_GB2312" w:cs="仿宋_GB2312"/>
          <w:color w:val="000000"/>
          <w:sz w:val="32"/>
          <w:szCs w:val="32"/>
          <w:lang w:val="en-GB"/>
        </w:rPr>
      </w:pPr>
      <w:bookmarkStart w:id="4" w:name="OLE_LINK99"/>
      <w:bookmarkStart w:id="5" w:name="OLE_LINK100"/>
      <w:bookmarkStart w:id="6" w:name="OLE_LINK52"/>
      <w:r>
        <w:rPr>
          <w:rFonts w:hint="eastAsia" w:ascii="仿宋_GB2312" w:hAnsi="仿宋_GB2312" w:eastAsia="仿宋_GB2312" w:cs="仿宋_GB2312"/>
          <w:color w:val="000000"/>
          <w:sz w:val="32"/>
          <w:szCs w:val="32"/>
        </w:rPr>
        <w:t>2018年度收入</w:t>
      </w:r>
      <w:r>
        <w:rPr>
          <w:rFonts w:hint="eastAsia" w:ascii="仿宋_GB2312" w:hAnsi="仿宋_GB2312" w:eastAsia="仿宋_GB2312" w:cs="仿宋_GB2312"/>
          <w:sz w:val="32"/>
          <w:szCs w:val="32"/>
        </w:rPr>
        <w:t>2,657.47</w:t>
      </w:r>
      <w:r>
        <w:rPr>
          <w:rFonts w:hint="eastAsia" w:ascii="仿宋_GB2312" w:hAnsi="仿宋_GB2312" w:eastAsia="仿宋_GB2312" w:cs="仿宋_GB2312"/>
          <w:color w:val="000000"/>
          <w:sz w:val="32"/>
          <w:szCs w:val="32"/>
        </w:rPr>
        <w:t>万元</w:t>
      </w:r>
      <w:bookmarkEnd w:id="4"/>
      <w:bookmarkEnd w:id="5"/>
      <w:r>
        <w:rPr>
          <w:rFonts w:hint="eastAsia" w:ascii="仿宋_GB2312" w:hAnsi="仿宋_GB2312" w:eastAsia="仿宋_GB2312" w:cs="仿宋_GB2312"/>
          <w:sz w:val="32"/>
          <w:szCs w:val="32"/>
        </w:rPr>
        <w:t>，与上年相比，增加315.11万元，增长13.45%，增加的主要原因是：</w:t>
      </w:r>
      <w:r>
        <w:rPr>
          <w:rFonts w:hint="eastAsia" w:ascii="仿宋_GB2312" w:hAnsi="仿宋_GB2312" w:eastAsia="仿宋_GB2312" w:cs="仿宋_GB2312"/>
          <w:color w:val="000000"/>
          <w:sz w:val="32"/>
          <w:szCs w:val="32"/>
        </w:rPr>
        <w:t>增加了县级专项（科技馆学村报告厅维修项目）及2018年调整工资及上级专项的投入，2018年并工资及津贴进行了调标增资；</w:t>
      </w:r>
      <w:bookmarkEnd w:id="6"/>
      <w:bookmarkStart w:id="7" w:name="OLE_LINK53"/>
      <w:r>
        <w:rPr>
          <w:rFonts w:hint="eastAsia" w:ascii="仿宋_GB2312" w:hAnsi="仿宋_GB2312" w:eastAsia="仿宋_GB2312" w:cs="仿宋_GB2312"/>
          <w:color w:val="000000"/>
          <w:sz w:val="32"/>
          <w:szCs w:val="32"/>
        </w:rPr>
        <w:t>支出</w:t>
      </w:r>
      <w:r>
        <w:rPr>
          <w:rFonts w:hint="eastAsia" w:ascii="仿宋_GB2312" w:hAnsi="仿宋_GB2312" w:eastAsia="仿宋_GB2312" w:cs="仿宋_GB2312"/>
          <w:sz w:val="32"/>
          <w:szCs w:val="32"/>
        </w:rPr>
        <w:t>2,657.47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，与上年相比，增加315.11万元，增长13.45%，增加的主要原因是：</w:t>
      </w:r>
      <w:r>
        <w:rPr>
          <w:rFonts w:hint="eastAsia" w:ascii="仿宋_GB2312" w:hAnsi="仿宋_GB2312" w:eastAsia="仿宋_GB2312" w:cs="仿宋_GB2312"/>
          <w:color w:val="000000"/>
          <w:sz w:val="32"/>
          <w:szCs w:val="32"/>
        </w:rPr>
        <w:t>增加了县级专项（科技馆学村报告厅维修项目）及2018年调整工资及上级专项的投入，2018年并工资及津贴进行了调标增资；</w:t>
      </w:r>
      <w:bookmarkEnd w:id="7"/>
      <w:bookmarkStart w:id="8" w:name="OLE_LINK54"/>
      <w:r>
        <w:rPr>
          <w:rFonts w:hint="eastAsia" w:ascii="仿宋_GB2312" w:hAnsi="仿宋_GB2312" w:eastAsia="仿宋_GB2312" w:cs="仿宋_GB2312"/>
          <w:color w:val="000000"/>
          <w:sz w:val="32"/>
          <w:szCs w:val="32"/>
        </w:rPr>
        <w:t>结余</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w:t>
      </w:r>
      <w:r>
        <w:rPr>
          <w:rFonts w:hint="eastAsia" w:ascii="仿宋_GB2312" w:hAnsi="仿宋_GB2312" w:eastAsia="仿宋_GB2312" w:cs="仿宋_GB2312"/>
          <w:color w:val="000000"/>
          <w:sz w:val="32"/>
          <w:szCs w:val="32"/>
        </w:rPr>
        <w:t>增加0万元，增长0%，增加的主要原因是：本单位无结余资金。</w:t>
      </w:r>
      <w:bookmarkEnd w:id="8"/>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（二）部门收入总体情况说明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本年收入合计</w:t>
      </w:r>
      <w:r>
        <w:rPr>
          <w:rFonts w:hint="eastAsia" w:ascii="仿宋_GB2312" w:hAnsi="仿宋_GB2312" w:eastAsia="仿宋_GB2312" w:cs="仿宋_GB2312"/>
          <w:sz w:val="32"/>
          <w:szCs w:val="32"/>
        </w:rPr>
        <w:t>2,657.47</w:t>
      </w:r>
      <w:r>
        <w:rPr>
          <w:rFonts w:hint="eastAsia" w:ascii="仿宋_GB2312" w:hAnsi="仿宋_GB2312" w:eastAsia="仿宋_GB2312" w:cs="仿宋_GB2312"/>
          <w:color w:val="000000"/>
          <w:sz w:val="32"/>
          <w:szCs w:val="32"/>
        </w:rPr>
        <w:t>万元，其中：</w:t>
      </w:r>
      <w:bookmarkStart w:id="9" w:name="OLE_LINK1"/>
      <w:r>
        <w:rPr>
          <w:rFonts w:hint="eastAsia" w:ascii="仿宋_GB2312" w:hAnsi="仿宋_GB2312" w:eastAsia="仿宋_GB2312" w:cs="仿宋_GB2312"/>
          <w:color w:val="000000"/>
          <w:sz w:val="32"/>
          <w:szCs w:val="32"/>
        </w:rPr>
        <w:t>财政拨款收入</w:t>
      </w:r>
      <w:bookmarkEnd w:id="9"/>
      <w:r>
        <w:rPr>
          <w:rFonts w:hint="eastAsia" w:ascii="仿宋_GB2312" w:hAnsi="仿宋_GB2312" w:eastAsia="仿宋_GB2312" w:cs="仿宋_GB2312"/>
          <w:sz w:val="32"/>
          <w:szCs w:val="32"/>
        </w:rPr>
        <w:t>2,363.2</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88.93%</w:t>
      </w:r>
      <w:r>
        <w:rPr>
          <w:rFonts w:hint="eastAsia" w:ascii="仿宋_GB2312" w:hAnsi="仿宋_GB2312" w:eastAsia="仿宋_GB2312" w:cs="仿宋_GB2312"/>
          <w:color w:val="000000"/>
          <w:sz w:val="32"/>
          <w:szCs w:val="32"/>
        </w:rPr>
        <w:t>；</w:t>
      </w:r>
      <w:bookmarkStart w:id="10" w:name="OLE_LINK2"/>
      <w:r>
        <w:rPr>
          <w:rFonts w:hint="eastAsia" w:ascii="仿宋_GB2312" w:hAnsi="仿宋_GB2312" w:eastAsia="仿宋_GB2312" w:cs="仿宋_GB2312"/>
          <w:color w:val="000000"/>
          <w:sz w:val="32"/>
          <w:szCs w:val="32"/>
        </w:rPr>
        <w:t>上级补助收入</w:t>
      </w:r>
      <w:bookmarkEnd w:id="10"/>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1" w:name="OLE_LINK3"/>
      <w:r>
        <w:rPr>
          <w:rFonts w:hint="eastAsia" w:ascii="仿宋_GB2312" w:hAnsi="仿宋_GB2312" w:eastAsia="仿宋_GB2312" w:cs="仿宋_GB2312"/>
          <w:color w:val="000000"/>
          <w:sz w:val="32"/>
          <w:szCs w:val="32"/>
        </w:rPr>
        <w:t>事业收入</w:t>
      </w:r>
      <w:bookmarkEnd w:id="11"/>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2" w:name="OLE_LINK4"/>
      <w:r>
        <w:rPr>
          <w:rFonts w:hint="eastAsia" w:ascii="仿宋_GB2312" w:hAnsi="仿宋_GB2312" w:eastAsia="仿宋_GB2312" w:cs="仿宋_GB2312"/>
          <w:color w:val="000000"/>
          <w:sz w:val="32"/>
          <w:szCs w:val="32"/>
        </w:rPr>
        <w:t>经营收入</w:t>
      </w:r>
      <w:bookmarkEnd w:id="12"/>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3" w:name="OLE_LINK5"/>
      <w:r>
        <w:rPr>
          <w:rFonts w:hint="eastAsia" w:ascii="仿宋_GB2312" w:hAnsi="仿宋_GB2312" w:eastAsia="仿宋_GB2312" w:cs="仿宋_GB2312"/>
          <w:color w:val="000000"/>
          <w:sz w:val="32"/>
          <w:szCs w:val="32"/>
        </w:rPr>
        <w:t>附属单位缴款</w:t>
      </w:r>
      <w:bookmarkEnd w:id="13"/>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4" w:name="OLE_LINK6"/>
      <w:r>
        <w:rPr>
          <w:rFonts w:hint="eastAsia" w:ascii="仿宋_GB2312" w:hAnsi="仿宋_GB2312" w:eastAsia="仿宋_GB2312" w:cs="仿宋_GB2312"/>
          <w:color w:val="000000"/>
          <w:sz w:val="32"/>
          <w:szCs w:val="32"/>
        </w:rPr>
        <w:t>其他收入</w:t>
      </w:r>
      <w:bookmarkEnd w:id="14"/>
      <w:r>
        <w:rPr>
          <w:rFonts w:hint="eastAsia" w:ascii="仿宋_GB2312" w:hAnsi="仿宋_GB2312" w:eastAsia="仿宋_GB2312" w:cs="仿宋_GB2312"/>
          <w:sz w:val="32"/>
          <w:szCs w:val="32"/>
        </w:rPr>
        <w:t>294.27</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11.07%</w:t>
      </w:r>
      <w:r>
        <w:rPr>
          <w:rFonts w:hint="eastAsia" w:ascii="仿宋_GB2312" w:hAnsi="仿宋_GB2312" w:eastAsia="仿宋_GB2312" w:cs="仿宋_GB2312"/>
          <w:color w:val="000000"/>
          <w:sz w:val="32"/>
          <w:szCs w:val="32"/>
        </w:rPr>
        <w:t>。</w:t>
      </w:r>
    </w:p>
    <w:p>
      <w:pPr>
        <w:spacing w:line="560" w:lineRule="exact"/>
        <w:ind w:firstLine="640" w:firstLineChars="200"/>
        <w:rPr>
          <w:rFonts w:ascii="仿宋_GB2312" w:hAnsi="仿宋_GB2312" w:eastAsia="仿宋_GB2312" w:cs="仿宋_GB2312"/>
          <w:sz w:val="32"/>
          <w:szCs w:val="32"/>
        </w:rPr>
      </w:pPr>
      <w:bookmarkStart w:id="15" w:name="OLE_LINK55"/>
      <w:r>
        <w:rPr>
          <w:rFonts w:hint="eastAsia" w:ascii="仿宋_GB2312" w:hAnsi="仿宋_GB2312" w:eastAsia="仿宋_GB2312" w:cs="仿宋_GB2312"/>
          <w:sz w:val="32"/>
          <w:szCs w:val="32"/>
        </w:rPr>
        <w:t>与年初预算数相比情</w:t>
      </w:r>
      <w:r>
        <w:rPr>
          <w:rFonts w:hint="eastAsia" w:ascii="仿宋_GB2312" w:hAnsi="仿宋_GB2312" w:eastAsia="仿宋_GB2312" w:cs="仿宋_GB2312"/>
          <w:color w:val="000000"/>
          <w:sz w:val="32"/>
          <w:szCs w:val="32"/>
        </w:rPr>
        <w:t>况：本年收入年初预算数1,411.92万元</w:t>
      </w:r>
      <w:r>
        <w:rPr>
          <w:rFonts w:hint="eastAsia" w:ascii="仿宋_GB2312" w:hAnsi="仿宋_GB2312" w:eastAsia="仿宋_GB2312" w:cs="仿宋_GB2312"/>
          <w:sz w:val="32"/>
          <w:szCs w:val="32"/>
        </w:rPr>
        <w:t>，决算数2,657.47万元，预决算差异率88.22%，差异主要原因是2018年上级专项、本级项目、2018年基本工资及津贴补贴调标无法在年初预算。</w:t>
      </w:r>
      <w:bookmarkEnd w:id="15"/>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（三）部门支出总体情况说明</w:t>
      </w:r>
    </w:p>
    <w:p>
      <w:pPr>
        <w:spacing w:line="560" w:lineRule="exact"/>
        <w:ind w:firstLine="640" w:firstLineChars="200"/>
        <w:rPr>
          <w:rFonts w:ascii="仿宋_GB2312" w:hAnsi="仿宋_GB2312" w:eastAsia="仿宋_GB2312" w:cs="仿宋_GB2312"/>
          <w:color w:val="000000"/>
          <w:spacing w:val="-6"/>
          <w:sz w:val="32"/>
          <w:szCs w:val="32"/>
        </w:rPr>
      </w:pPr>
      <w:bookmarkStart w:id="16" w:name="OLE_LINK7"/>
      <w:r>
        <w:rPr>
          <w:rFonts w:hint="eastAsia" w:ascii="仿宋_GB2312" w:hAnsi="仿宋_GB2312" w:eastAsia="仿宋_GB2312" w:cs="仿宋_GB2312"/>
          <w:color w:val="000000"/>
          <w:sz w:val="32"/>
          <w:szCs w:val="32"/>
        </w:rPr>
        <w:t>本年支出合计</w:t>
      </w:r>
      <w:bookmarkEnd w:id="16"/>
      <w:r>
        <w:rPr>
          <w:rFonts w:hint="eastAsia" w:ascii="仿宋_GB2312" w:hAnsi="仿宋_GB2312" w:eastAsia="仿宋_GB2312" w:cs="仿宋_GB2312"/>
          <w:sz w:val="32"/>
          <w:szCs w:val="32"/>
        </w:rPr>
        <w:t>2,657.47</w:t>
      </w:r>
      <w:r>
        <w:rPr>
          <w:rFonts w:hint="eastAsia" w:ascii="仿宋_GB2312" w:hAnsi="仿宋_GB2312" w:eastAsia="仿宋_GB2312" w:cs="仿宋_GB2312"/>
          <w:color w:val="000000"/>
          <w:sz w:val="32"/>
          <w:szCs w:val="32"/>
        </w:rPr>
        <w:t>万元，其中：</w:t>
      </w:r>
      <w:bookmarkStart w:id="17" w:name="OLE_LINK8"/>
      <w:r>
        <w:rPr>
          <w:rFonts w:hint="eastAsia" w:ascii="仿宋_GB2312" w:hAnsi="仿宋_GB2312" w:eastAsia="仿宋_GB2312" w:cs="仿宋_GB2312"/>
          <w:color w:val="000000"/>
          <w:sz w:val="32"/>
          <w:szCs w:val="32"/>
        </w:rPr>
        <w:t>基本支出</w:t>
      </w:r>
      <w:bookmarkEnd w:id="17"/>
      <w:r>
        <w:rPr>
          <w:rFonts w:hint="eastAsia" w:ascii="仿宋_GB2312" w:hAnsi="仿宋_GB2312" w:eastAsia="仿宋_GB2312" w:cs="仿宋_GB2312"/>
          <w:sz w:val="32"/>
          <w:szCs w:val="32"/>
        </w:rPr>
        <w:t>1,070.98</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40.3%</w:t>
      </w:r>
      <w:r>
        <w:rPr>
          <w:rFonts w:hint="eastAsia" w:ascii="仿宋_GB2312" w:hAnsi="仿宋_GB2312" w:eastAsia="仿宋_GB2312" w:cs="仿宋_GB2312"/>
          <w:color w:val="000000"/>
          <w:sz w:val="32"/>
          <w:szCs w:val="32"/>
        </w:rPr>
        <w:t>；</w:t>
      </w:r>
      <w:bookmarkStart w:id="18" w:name="OLE_LINK9"/>
      <w:r>
        <w:rPr>
          <w:rFonts w:hint="eastAsia" w:ascii="仿宋_GB2312" w:hAnsi="仿宋_GB2312" w:eastAsia="仿宋_GB2312" w:cs="仿宋_GB2312"/>
          <w:color w:val="000000"/>
          <w:sz w:val="32"/>
          <w:szCs w:val="32"/>
        </w:rPr>
        <w:t>项目支出</w:t>
      </w:r>
      <w:bookmarkEnd w:id="18"/>
      <w:r>
        <w:rPr>
          <w:rFonts w:hint="eastAsia" w:ascii="仿宋_GB2312" w:hAnsi="仿宋_GB2312" w:eastAsia="仿宋_GB2312" w:cs="仿宋_GB2312"/>
          <w:sz w:val="32"/>
          <w:szCs w:val="32"/>
        </w:rPr>
        <w:t>1,586.49</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59.7%</w:t>
      </w:r>
      <w:r>
        <w:rPr>
          <w:rFonts w:hint="eastAsia" w:ascii="仿宋_GB2312" w:hAnsi="仿宋_GB2312" w:eastAsia="仿宋_GB2312" w:cs="仿宋_GB2312"/>
          <w:color w:val="000000"/>
          <w:sz w:val="32"/>
          <w:szCs w:val="32"/>
        </w:rPr>
        <w:t>；</w:t>
      </w:r>
      <w:bookmarkStart w:id="19" w:name="OLE_LINK10"/>
      <w:r>
        <w:rPr>
          <w:rFonts w:hint="eastAsia" w:ascii="仿宋_GB2312" w:hAnsi="仿宋_GB2312" w:eastAsia="仿宋_GB2312" w:cs="仿宋_GB2312"/>
          <w:color w:val="000000"/>
          <w:sz w:val="32"/>
          <w:szCs w:val="32"/>
        </w:rPr>
        <w:t>上缴上级支出</w:t>
      </w:r>
      <w:bookmarkEnd w:id="19"/>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20" w:name="OLE_LINK11"/>
      <w:r>
        <w:rPr>
          <w:rFonts w:hint="eastAsia" w:ascii="仿宋_GB2312" w:hAnsi="仿宋_GB2312" w:eastAsia="仿宋_GB2312" w:cs="仿宋_GB2312"/>
          <w:color w:val="000000"/>
          <w:spacing w:val="-6"/>
          <w:sz w:val="32"/>
          <w:szCs w:val="32"/>
        </w:rPr>
        <w:t>经营支出</w:t>
      </w:r>
      <w:bookmarkEnd w:id="20"/>
      <w:r>
        <w:rPr>
          <w:rFonts w:hint="eastAsia" w:ascii="仿宋_GB2312" w:hAnsi="仿宋_GB2312" w:eastAsia="仿宋_GB2312" w:cs="仿宋_GB2312"/>
          <w:sz w:val="32"/>
          <w:szCs w:val="32"/>
        </w:rPr>
        <w:t>0</w:t>
      </w:r>
      <w:r>
        <w:rPr>
          <w:rFonts w:hint="eastAsia" w:ascii="仿宋_GB2312" w:hAnsi="仿宋_GB2312" w:eastAsia="仿宋_GB2312" w:cs="仿宋_GB2312"/>
          <w:color w:val="000000"/>
          <w:spacing w:val="-6"/>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pacing w:val="-6"/>
          <w:sz w:val="32"/>
          <w:szCs w:val="32"/>
        </w:rPr>
        <w:t>；</w:t>
      </w:r>
      <w:bookmarkStart w:id="21" w:name="OLE_LINK12"/>
      <w:r>
        <w:rPr>
          <w:rFonts w:hint="eastAsia" w:ascii="仿宋_GB2312" w:hAnsi="仿宋_GB2312" w:eastAsia="仿宋_GB2312" w:cs="仿宋_GB2312"/>
          <w:color w:val="000000"/>
          <w:spacing w:val="-6"/>
          <w:sz w:val="32"/>
          <w:szCs w:val="32"/>
        </w:rPr>
        <w:t>对附属单位补助支出</w:t>
      </w:r>
      <w:bookmarkEnd w:id="21"/>
      <w:r>
        <w:rPr>
          <w:rFonts w:hint="eastAsia" w:ascii="仿宋_GB2312" w:hAnsi="仿宋_GB2312" w:eastAsia="仿宋_GB2312" w:cs="仿宋_GB2312"/>
          <w:sz w:val="32"/>
          <w:szCs w:val="32"/>
        </w:rPr>
        <w:t>0</w:t>
      </w:r>
      <w:r>
        <w:rPr>
          <w:rFonts w:hint="eastAsia" w:ascii="仿宋_GB2312" w:hAnsi="仿宋_GB2312" w:eastAsia="仿宋_GB2312" w:cs="仿宋_GB2312"/>
          <w:color w:val="000000"/>
          <w:spacing w:val="-6"/>
          <w:sz w:val="32"/>
          <w:szCs w:val="32"/>
        </w:rPr>
        <w:t>万元，占</w:t>
      </w:r>
      <w:r>
        <w:rPr>
          <w:rFonts w:hint="eastAsia" w:ascii="仿宋_GB2312" w:hAnsi="仿宋_GB2312" w:eastAsia="仿宋_GB2312" w:cs="仿宋_GB2312"/>
          <w:sz w:val="32"/>
          <w:szCs w:val="32"/>
        </w:rPr>
        <w:t>0%</w:t>
      </w:r>
    </w:p>
    <w:p>
      <w:pPr>
        <w:spacing w:line="560" w:lineRule="exact"/>
        <w:ind w:firstLine="640" w:firstLineChars="200"/>
        <w:rPr>
          <w:rFonts w:ascii="仿宋_GB2312" w:eastAsia="仿宋_GB2312"/>
          <w:sz w:val="32"/>
          <w:szCs w:val="32"/>
        </w:rPr>
      </w:pPr>
      <w:bookmarkStart w:id="22" w:name="OLE_LINK56"/>
      <w:r>
        <w:rPr>
          <w:rFonts w:hint="eastAsia" w:ascii="仿宋_GB2312" w:hAnsi="仿宋_GB2312" w:eastAsia="仿宋_GB2312" w:cs="仿宋_GB2312"/>
          <w:color w:val="000000"/>
          <w:sz w:val="32"/>
          <w:szCs w:val="32"/>
        </w:rPr>
        <w:t>与年初预算数相比情况：本年支出年初预算数1,411.92万元，</w:t>
      </w:r>
      <w:r>
        <w:rPr>
          <w:rFonts w:hint="eastAsia" w:ascii="仿宋_GB2312" w:hAnsi="仿宋_GB2312" w:eastAsia="仿宋_GB2312" w:cs="仿宋_GB2312"/>
          <w:sz w:val="32"/>
          <w:szCs w:val="32"/>
        </w:rPr>
        <w:t>决算数2,657.47万元，预决算差异率88.22%，差异主要原因是2018年上级专项、本级项目、2018年基本工资及津贴补贴调标无法在年</w:t>
      </w:r>
      <w:r>
        <w:rPr>
          <w:rFonts w:hint="eastAsia" w:ascii="仿宋_GB2312" w:eastAsia="仿宋_GB2312" w:cs="仿宋_GB2312"/>
          <w:sz w:val="32"/>
          <w:szCs w:val="32"/>
        </w:rPr>
        <w:t>初预算。</w:t>
      </w:r>
    </w:p>
    <w:bookmarkEnd w:id="22"/>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60" w:lineRule="exact"/>
        <w:ind w:firstLine="643" w:firstLineChars="200"/>
        <w:rPr>
          <w:rFonts w:ascii="楷体_GB2312" w:eastAsia="楷体_GB2312" w:cs="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hAnsi="仿宋_GB2312" w:eastAsia="仿宋_GB2312" w:cs="仿宋_GB2312"/>
          <w:color w:val="000000"/>
          <w:sz w:val="32"/>
          <w:szCs w:val="32"/>
        </w:rPr>
      </w:pPr>
      <w:bookmarkStart w:id="23" w:name="OLE_LINK58"/>
      <w:bookmarkStart w:id="24" w:name="OLE_LINK57"/>
      <w:r>
        <w:rPr>
          <w:rFonts w:hint="eastAsia" w:ascii="仿宋_GB2312" w:hAnsi="仿宋_GB2312" w:eastAsia="仿宋_GB2312" w:cs="仿宋_GB2312"/>
          <w:color w:val="000000"/>
          <w:sz w:val="32"/>
          <w:szCs w:val="32"/>
        </w:rPr>
        <w:t>2018年度</w:t>
      </w:r>
      <w:bookmarkStart w:id="25" w:name="OLE_LINK13"/>
      <w:r>
        <w:rPr>
          <w:rFonts w:hint="eastAsia" w:ascii="仿宋_GB2312" w:hAnsi="仿宋_GB2312" w:eastAsia="仿宋_GB2312" w:cs="仿宋_GB2312"/>
          <w:color w:val="000000"/>
          <w:sz w:val="32"/>
          <w:szCs w:val="32"/>
        </w:rPr>
        <w:t>财政拨款收入</w:t>
      </w:r>
      <w:bookmarkEnd w:id="25"/>
      <w:r>
        <w:rPr>
          <w:rFonts w:hint="eastAsia" w:ascii="仿宋_GB2312" w:hAnsi="仿宋_GB2312" w:eastAsia="仿宋_GB2312" w:cs="仿宋_GB2312"/>
          <w:sz w:val="32"/>
          <w:szCs w:val="32"/>
        </w:rPr>
        <w:t>2,363.2</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，与上年相比，增加42.43万元，增长1.83%，增加的主要原因是：增加了县级专项（科技馆学村报告厅维修项目）及2018年调整工资及上级专项的投入，2018年并工资及津贴进行了调标增资。</w:t>
      </w:r>
      <w:bookmarkEnd w:id="23"/>
      <w:bookmarkEnd w:id="24"/>
      <w:bookmarkStart w:id="26" w:name="OLE_LINK14"/>
      <w:bookmarkStart w:id="27" w:name="OLE_LINK59"/>
      <w:bookmarkStart w:id="28" w:name="OLE_LINK60"/>
      <w:r>
        <w:rPr>
          <w:rFonts w:hint="eastAsia" w:ascii="仿宋_GB2312" w:hAnsi="仿宋_GB2312" w:eastAsia="仿宋_GB2312" w:cs="仿宋_GB2312"/>
          <w:color w:val="000000"/>
          <w:sz w:val="32"/>
          <w:szCs w:val="32"/>
        </w:rPr>
        <w:t>财政拨款支出</w:t>
      </w:r>
      <w:bookmarkEnd w:id="26"/>
      <w:r>
        <w:rPr>
          <w:rFonts w:hint="eastAsia" w:ascii="仿宋_GB2312" w:hAnsi="仿宋_GB2312" w:eastAsia="仿宋_GB2312" w:cs="仿宋_GB2312"/>
          <w:sz w:val="32"/>
          <w:szCs w:val="32"/>
        </w:rPr>
        <w:t>2,363.2</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，与上年相比，增加42.43万元，增长1.83%，增加的主要原因是：增加了县级专项（科技馆学村报告厅维修项目）及2018年调整工资及上级专项的投入，2018年并工资及津贴进行了调标增资。</w:t>
      </w:r>
      <w:bookmarkEnd w:id="27"/>
      <w:bookmarkEnd w:id="28"/>
      <w:bookmarkStart w:id="29" w:name="OLE_LINK61"/>
      <w:r>
        <w:rPr>
          <w:rFonts w:hint="eastAsia" w:ascii="仿宋_GB2312" w:hAnsi="仿宋_GB2312" w:eastAsia="仿宋_GB2312" w:cs="仿宋_GB2312"/>
          <w:color w:val="000000"/>
          <w:sz w:val="32"/>
          <w:szCs w:val="32"/>
        </w:rPr>
        <w:t>其中：</w:t>
      </w:r>
      <w:bookmarkStart w:id="30" w:name="OLE_LINK15"/>
      <w:r>
        <w:rPr>
          <w:rFonts w:hint="eastAsia" w:ascii="仿宋_GB2312" w:hAnsi="仿宋_GB2312" w:eastAsia="仿宋_GB2312" w:cs="仿宋_GB2312"/>
          <w:color w:val="000000"/>
          <w:sz w:val="32"/>
          <w:szCs w:val="32"/>
        </w:rPr>
        <w:t>基本支出</w:t>
      </w:r>
      <w:bookmarkEnd w:id="30"/>
      <w:r>
        <w:rPr>
          <w:rFonts w:hint="eastAsia" w:ascii="仿宋_GB2312" w:hAnsi="仿宋_GB2312" w:eastAsia="仿宋_GB2312" w:cs="仿宋_GB2312"/>
          <w:sz w:val="32"/>
          <w:szCs w:val="32"/>
        </w:rPr>
        <w:t>1,070.98</w:t>
      </w:r>
      <w:r>
        <w:rPr>
          <w:rFonts w:hint="eastAsia" w:ascii="仿宋_GB2312" w:hAnsi="仿宋_GB2312" w:eastAsia="仿宋_GB2312" w:cs="仿宋_GB2312"/>
          <w:color w:val="000000"/>
          <w:sz w:val="32"/>
          <w:szCs w:val="32"/>
        </w:rPr>
        <w:t>万元，项目支出</w:t>
      </w:r>
      <w:r>
        <w:rPr>
          <w:rFonts w:hint="eastAsia" w:ascii="仿宋_GB2312" w:hAnsi="仿宋_GB2312" w:eastAsia="仿宋_GB2312" w:cs="仿宋_GB2312"/>
          <w:sz w:val="32"/>
          <w:szCs w:val="32"/>
        </w:rPr>
        <w:t>1,292.22</w:t>
      </w:r>
      <w:r>
        <w:rPr>
          <w:rFonts w:hint="eastAsia" w:ascii="仿宋_GB2312" w:hAnsi="仿宋_GB2312" w:eastAsia="仿宋_GB2312" w:cs="仿宋_GB2312"/>
          <w:color w:val="000000"/>
          <w:sz w:val="32"/>
          <w:szCs w:val="32"/>
        </w:rPr>
        <w:t>万元。</w:t>
      </w:r>
      <w:bookmarkStart w:id="31" w:name="OLE_LINK16"/>
      <w:r>
        <w:rPr>
          <w:rFonts w:hint="eastAsia" w:ascii="仿宋_GB2312" w:hAnsi="仿宋_GB2312" w:eastAsia="仿宋_GB2312" w:cs="仿宋_GB2312"/>
          <w:color w:val="000000"/>
          <w:sz w:val="32"/>
          <w:szCs w:val="32"/>
        </w:rPr>
        <w:t>财政拨款结转结余</w:t>
      </w:r>
      <w:bookmarkEnd w:id="31"/>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w:t>
      </w:r>
      <w:r>
        <w:rPr>
          <w:rFonts w:hint="eastAsia" w:ascii="仿宋_GB2312" w:hAnsi="仿宋_GB2312" w:eastAsia="仿宋_GB2312" w:cs="仿宋_GB2312"/>
          <w:color w:val="000000"/>
          <w:sz w:val="32"/>
          <w:szCs w:val="32"/>
        </w:rPr>
        <w:t>增加0万元，增长0%，增加的主要原因是：本单位无结余资金</w:t>
      </w:r>
      <w:r>
        <w:rPr>
          <w:rFonts w:hint="eastAsia" w:ascii="仿宋_GB2312" w:hAnsi="仿宋_GB2312" w:eastAsia="仿宋_GB2312" w:cs="仿宋_GB2312"/>
          <w:sz w:val="32"/>
          <w:szCs w:val="32"/>
        </w:rPr>
        <w:t>。</w:t>
      </w:r>
      <w:bookmarkEnd w:id="29"/>
    </w:p>
    <w:p>
      <w:pPr>
        <w:spacing w:line="560" w:lineRule="exact"/>
        <w:ind w:firstLine="640" w:firstLineChars="200"/>
        <w:rPr>
          <w:rFonts w:ascii="仿宋_GB2312" w:eastAsia="仿宋_GB2312"/>
          <w:color w:val="000000"/>
          <w:sz w:val="32"/>
          <w:szCs w:val="32"/>
        </w:rPr>
      </w:pPr>
      <w:bookmarkStart w:id="32" w:name="OLE_LINK62"/>
      <w:r>
        <w:rPr>
          <w:rFonts w:hint="eastAsia" w:ascii="仿宋_GB2312" w:hAnsi="仿宋_GB2312" w:eastAsia="仿宋_GB2312" w:cs="仿宋_GB2312"/>
          <w:color w:val="000000"/>
          <w:sz w:val="32"/>
          <w:szCs w:val="32"/>
        </w:rPr>
        <w:t>与年初预算数相比情况：财政拨款收入年初预算数1,411.92万元，决算数</w:t>
      </w:r>
      <w:r>
        <w:rPr>
          <w:rFonts w:hint="eastAsia" w:ascii="仿宋_GB2312" w:hAnsi="仿宋_GB2312" w:eastAsia="仿宋_GB2312" w:cs="仿宋_GB2312"/>
          <w:sz w:val="32"/>
          <w:szCs w:val="32"/>
        </w:rPr>
        <w:t>2,363.2</w:t>
      </w:r>
      <w:r>
        <w:rPr>
          <w:rFonts w:hint="eastAsia" w:ascii="仿宋_GB2312" w:hAnsi="仿宋_GB2312" w:eastAsia="仿宋_GB2312" w:cs="仿宋_GB2312"/>
          <w:color w:val="000000"/>
          <w:sz w:val="32"/>
          <w:szCs w:val="32"/>
        </w:rPr>
        <w:t>万元，预决算差异率67.37%，差异主要原因是2018年上级专项、本级项目、2018年基本工资及津贴补贴调标无法在年初预算。</w:t>
      </w:r>
      <w:bookmarkEnd w:id="32"/>
      <w:bookmarkStart w:id="33" w:name="OLE_LINK63"/>
      <w:r>
        <w:rPr>
          <w:rFonts w:hint="eastAsia" w:ascii="仿宋_GB2312" w:hAnsi="仿宋_GB2312" w:eastAsia="仿宋_GB2312" w:cs="仿宋_GB2312"/>
          <w:color w:val="000000"/>
          <w:sz w:val="32"/>
          <w:szCs w:val="32"/>
        </w:rPr>
        <w:t>财政拨款支出年初预算数1,411.92万元，决算数</w:t>
      </w:r>
      <w:r>
        <w:rPr>
          <w:rFonts w:hint="eastAsia" w:ascii="仿宋_GB2312" w:hAnsi="仿宋_GB2312" w:eastAsia="仿宋_GB2312" w:cs="仿宋_GB2312"/>
          <w:sz w:val="32"/>
          <w:szCs w:val="32"/>
        </w:rPr>
        <w:t>2,363.2</w:t>
      </w:r>
      <w:r>
        <w:rPr>
          <w:rFonts w:hint="eastAsia" w:ascii="仿宋_GB2312" w:hAnsi="仿宋_GB2312" w:eastAsia="仿宋_GB2312" w:cs="仿宋_GB2312"/>
          <w:color w:val="000000"/>
          <w:sz w:val="32"/>
          <w:szCs w:val="32"/>
        </w:rPr>
        <w:t>万元，预决算差异率67.37%，差异主要原因是2018年上级专项、本级项目、2018年基本工资及津贴补贴调标无法在年初预算。</w:t>
      </w:r>
      <w:bookmarkEnd w:id="33"/>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60" w:lineRule="exact"/>
        <w:ind w:firstLine="640" w:firstLineChars="200"/>
        <w:rPr>
          <w:rFonts w:ascii="仿宋_GB2312" w:hAnsi="仿宋_GB2312" w:eastAsia="仿宋_GB2312" w:cs="仿宋_GB2312"/>
          <w:color w:val="000000"/>
          <w:sz w:val="32"/>
          <w:szCs w:val="32"/>
        </w:rPr>
      </w:pPr>
      <w:bookmarkStart w:id="34" w:name="OLE_LINK64"/>
      <w:r>
        <w:rPr>
          <w:rFonts w:hint="eastAsia" w:ascii="仿宋_GB2312" w:hAnsi="仿宋_GB2312" w:eastAsia="仿宋_GB2312" w:cs="仿宋_GB2312"/>
          <w:color w:val="000000"/>
          <w:sz w:val="32"/>
          <w:szCs w:val="32"/>
        </w:rPr>
        <w:t>2018年度</w:t>
      </w:r>
      <w:bookmarkStart w:id="35" w:name="OLE_LINK17"/>
      <w:r>
        <w:rPr>
          <w:rFonts w:hint="eastAsia" w:ascii="仿宋_GB2312" w:hAnsi="仿宋_GB2312" w:eastAsia="仿宋_GB2312" w:cs="仿宋_GB2312"/>
          <w:color w:val="000000"/>
          <w:sz w:val="32"/>
          <w:szCs w:val="32"/>
        </w:rPr>
        <w:t>一般公共预算财政拨款收入</w:t>
      </w:r>
      <w:bookmarkEnd w:id="35"/>
      <w:r>
        <w:rPr>
          <w:rFonts w:hint="eastAsia" w:ascii="仿宋_GB2312" w:hAnsi="仿宋_GB2312" w:eastAsia="仿宋_GB2312" w:cs="仿宋_GB2312"/>
          <w:color w:val="000000"/>
          <w:sz w:val="32"/>
          <w:szCs w:val="32"/>
        </w:rPr>
        <w:t>2,363.2万元，与上年相比，增加161.45万元，增长7.33%，增加的主要原因是：增加了县级专项（科技馆学村报告厅维修项目）及2018年调整工资及上级专项的投入，2018年并工资及津贴进行了调标增资。</w:t>
      </w:r>
      <w:bookmarkEnd w:id="34"/>
      <w:bookmarkStart w:id="36" w:name="OLE_LINK18"/>
      <w:bookmarkStart w:id="37" w:name="OLE_LINK65"/>
      <w:r>
        <w:rPr>
          <w:rFonts w:hint="eastAsia" w:ascii="仿宋_GB2312" w:hAnsi="仿宋_GB2312" w:eastAsia="仿宋_GB2312" w:cs="仿宋_GB2312"/>
          <w:color w:val="000000"/>
          <w:sz w:val="32"/>
          <w:szCs w:val="32"/>
        </w:rPr>
        <w:t>一般公共预算财政拨款支出</w:t>
      </w:r>
      <w:r>
        <w:rPr>
          <w:rFonts w:hint="eastAsia" w:ascii="仿宋_GB2312" w:hAnsi="仿宋_GB2312" w:eastAsia="仿宋_GB2312" w:cs="仿宋_GB2312"/>
          <w:sz w:val="32"/>
          <w:szCs w:val="32"/>
        </w:rPr>
        <w:t>2,363.2</w:t>
      </w:r>
      <w:r>
        <w:rPr>
          <w:rFonts w:hint="eastAsia" w:ascii="仿宋_GB2312" w:hAnsi="仿宋_GB2312" w:eastAsia="仿宋_GB2312" w:cs="仿宋_GB2312"/>
          <w:color w:val="000000"/>
          <w:sz w:val="32"/>
          <w:szCs w:val="32"/>
        </w:rPr>
        <w:t>万元</w:t>
      </w:r>
      <w:bookmarkEnd w:id="36"/>
      <w:r>
        <w:rPr>
          <w:rFonts w:hint="eastAsia" w:ascii="仿宋_GB2312" w:hAnsi="仿宋_GB2312" w:eastAsia="仿宋_GB2312" w:cs="仿宋_GB2312"/>
          <w:sz w:val="32"/>
          <w:szCs w:val="32"/>
        </w:rPr>
        <w:t>，与上年相比，增加161.45万元，增长7.33%，增加的主要原因是：增加了县级专项（科技馆学村报告厅维修项目）及2018年调整工资及上级专项的投入，2018年并工资及津贴进行了调标增资。</w:t>
      </w:r>
      <w:bookmarkEnd w:id="37"/>
      <w:r>
        <w:rPr>
          <w:rFonts w:hint="eastAsia" w:ascii="仿宋_GB2312" w:hAnsi="仿宋_GB2312" w:eastAsia="仿宋_GB2312" w:cs="仿宋_GB2312"/>
          <w:color w:val="000000"/>
          <w:sz w:val="32"/>
          <w:szCs w:val="32"/>
        </w:rPr>
        <w:t>其中：</w:t>
      </w:r>
      <w:bookmarkStart w:id="38" w:name="OLE_LINK19"/>
      <w:r>
        <w:rPr>
          <w:rFonts w:hint="eastAsia" w:ascii="仿宋_GB2312" w:hAnsi="仿宋_GB2312" w:eastAsia="仿宋_GB2312" w:cs="仿宋_GB2312"/>
          <w:color w:val="000000"/>
          <w:sz w:val="32"/>
          <w:szCs w:val="32"/>
        </w:rPr>
        <w:t>按功能分类科目（按类级科目公开）</w:t>
      </w:r>
      <w:bookmarkEnd w:id="38"/>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住房保障支出61.78万元,文化体育与传媒支出2,185.62万元,社会保障和就业支出115.8万元。</w:t>
      </w:r>
      <w:bookmarkStart w:id="39" w:name="OLE_LINK20"/>
      <w:bookmarkStart w:id="40" w:name="OLE_LINK21"/>
      <w:r>
        <w:rPr>
          <w:rFonts w:hint="eastAsia" w:ascii="仿宋_GB2312" w:hAnsi="仿宋_GB2312" w:eastAsia="仿宋_GB2312" w:cs="仿宋_GB2312"/>
          <w:color w:val="000000"/>
          <w:sz w:val="32"/>
          <w:szCs w:val="32"/>
        </w:rPr>
        <w:t>按经济分类科目</w:t>
      </w:r>
      <w:bookmarkEnd w:id="39"/>
      <w:r>
        <w:rPr>
          <w:rFonts w:hint="eastAsia" w:ascii="仿宋_GB2312" w:hAnsi="仿宋_GB2312" w:eastAsia="仿宋_GB2312" w:cs="仿宋_GB2312"/>
          <w:color w:val="000000"/>
          <w:sz w:val="32"/>
          <w:szCs w:val="32"/>
        </w:rPr>
        <w:t>（按类级科目公开）</w:t>
      </w:r>
      <w:bookmarkEnd w:id="40"/>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工资福利支出986.82万元,商品和服务支出703.52万元,对个人和家庭的补助65.86万元,资本性支出（基本建设）600万元,资本性支出7万元。</w:t>
      </w:r>
    </w:p>
    <w:p>
      <w:pPr>
        <w:spacing w:line="560" w:lineRule="exact"/>
        <w:ind w:firstLine="640" w:firstLineChars="200"/>
        <w:rPr>
          <w:rFonts w:ascii="仿宋_GB2312" w:hAnsi="仿宋_GB2312" w:eastAsia="仿宋_GB2312" w:cs="仿宋_GB2312"/>
          <w:color w:val="000000"/>
          <w:sz w:val="32"/>
          <w:szCs w:val="32"/>
        </w:rPr>
      </w:pPr>
      <w:bookmarkStart w:id="41" w:name="OLE_LINK67"/>
      <w:bookmarkStart w:id="42" w:name="OLE_LINK66"/>
      <w:r>
        <w:rPr>
          <w:rFonts w:hint="eastAsia" w:ascii="仿宋_GB2312" w:hAnsi="仿宋_GB2312" w:eastAsia="仿宋_GB2312" w:cs="仿宋_GB2312"/>
          <w:color w:val="000000"/>
          <w:sz w:val="32"/>
          <w:szCs w:val="32"/>
        </w:rPr>
        <w:t>与年初预算数相比情况：一般公共预算财政拨款收入年初预算数1,411.92万元，决算数2,363.2万元，预决算差异率67.37%，差异主要原因是2018年上级专项、本级项目、2018年基本工资及津贴补贴调标无法在年初预算。</w:t>
      </w:r>
      <w:bookmarkEnd w:id="41"/>
      <w:bookmarkEnd w:id="42"/>
      <w:bookmarkStart w:id="43" w:name="OLE_LINK68"/>
      <w:r>
        <w:rPr>
          <w:rFonts w:hint="eastAsia" w:ascii="仿宋_GB2312" w:hAnsi="仿宋_GB2312" w:eastAsia="仿宋_GB2312" w:cs="仿宋_GB2312"/>
          <w:color w:val="000000"/>
          <w:sz w:val="32"/>
          <w:szCs w:val="32"/>
        </w:rPr>
        <w:t>一般公共预算财政拨款支出年初预算数1,411.92万元，决算数2,363.2万元，预决算差异率67.37%，差异主要原因是2018年上级专项、本级项目、2018年基本工资及津贴补贴调标无法在年初预算。</w:t>
      </w:r>
      <w:bookmarkEnd w:id="43"/>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（三）政府性基金预算收支决算情况说明</w:t>
      </w:r>
    </w:p>
    <w:p>
      <w:pPr>
        <w:spacing w:line="560" w:lineRule="exact"/>
        <w:ind w:firstLine="640" w:firstLineChars="200"/>
        <w:rPr>
          <w:rFonts w:ascii="仿宋_GB2312" w:hAnsi="仿宋_GB2312" w:eastAsia="仿宋_GB2312" w:cs="仿宋_GB2312"/>
          <w:color w:val="000000"/>
          <w:sz w:val="32"/>
          <w:szCs w:val="32"/>
        </w:rPr>
      </w:pPr>
      <w:bookmarkStart w:id="44" w:name="OLE_LINK69"/>
      <w:r>
        <w:rPr>
          <w:rFonts w:hint="eastAsia" w:ascii="仿宋_GB2312" w:hAnsi="仿宋_GB2312" w:eastAsia="仿宋_GB2312" w:cs="仿宋_GB2312"/>
          <w:color w:val="000000"/>
          <w:sz w:val="32"/>
          <w:szCs w:val="32"/>
        </w:rPr>
        <w:t>2018年度</w:t>
      </w:r>
      <w:bookmarkStart w:id="45" w:name="OLE_LINK22"/>
      <w:r>
        <w:rPr>
          <w:rFonts w:hint="eastAsia" w:ascii="仿宋_GB2312" w:hAnsi="仿宋_GB2312" w:eastAsia="仿宋_GB2312" w:cs="仿宋_GB2312"/>
          <w:color w:val="000000"/>
          <w:sz w:val="32"/>
          <w:szCs w:val="32"/>
        </w:rPr>
        <w:t>政府性基金预算财政拨款收入</w:t>
      </w:r>
      <w:bookmarkEnd w:id="45"/>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，与上年相比，减少119.02万元，下降100%，减少的主要原因是：2018年上级未下达体彩公益金等相关基金拨款。</w:t>
      </w:r>
      <w:bookmarkEnd w:id="44"/>
      <w:bookmarkStart w:id="46" w:name="OLE_LINK23"/>
      <w:bookmarkStart w:id="47" w:name="OLE_LINK70"/>
      <w:r>
        <w:rPr>
          <w:rFonts w:hint="eastAsia" w:ascii="仿宋_GB2312" w:hAnsi="仿宋_GB2312" w:eastAsia="仿宋_GB2312" w:cs="仿宋_GB2312"/>
          <w:color w:val="000000"/>
          <w:sz w:val="32"/>
          <w:szCs w:val="32"/>
        </w:rPr>
        <w:t>政府性基金预算支出</w:t>
      </w:r>
      <w:bookmarkEnd w:id="46"/>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，与上年相比，减少119.02万元，下降100%，减少的主要原因是：2018年上级未下达体彩公益金等相关基金拨款。</w:t>
      </w:r>
      <w:bookmarkEnd w:id="47"/>
      <w:r>
        <w:rPr>
          <w:rFonts w:hint="eastAsia" w:ascii="仿宋_GB2312" w:hAnsi="仿宋_GB2312" w:eastAsia="仿宋_GB2312" w:cs="仿宋_GB2312"/>
          <w:color w:val="000000"/>
          <w:sz w:val="32"/>
          <w:szCs w:val="32"/>
        </w:rPr>
        <w:t>其中：</w:t>
      </w:r>
      <w:bookmarkStart w:id="48" w:name="OLE_LINK24"/>
      <w:r>
        <w:rPr>
          <w:rFonts w:hint="eastAsia" w:ascii="仿宋_GB2312" w:hAnsi="仿宋_GB2312" w:eastAsia="仿宋_GB2312" w:cs="仿宋_GB2312"/>
          <w:color w:val="000000"/>
          <w:sz w:val="32"/>
          <w:szCs w:val="32"/>
        </w:rPr>
        <w:t>按功能分类科目（按类级科目公开）</w:t>
      </w:r>
      <w:bookmarkEnd w:id="48"/>
      <w:r>
        <w:rPr>
          <w:rFonts w:hint="eastAsia" w:ascii="仿宋_GB2312" w:hAnsi="仿宋_GB2312" w:eastAsia="仿宋_GB2312" w:cs="仿宋_GB2312"/>
          <w:color w:val="000000"/>
          <w:sz w:val="32"/>
          <w:szCs w:val="32"/>
        </w:rPr>
        <w:t>，无此支出。按经济分类科目（按类级科目公开），无此支出。</w:t>
      </w:r>
    </w:p>
    <w:p>
      <w:pPr>
        <w:spacing w:line="56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hAnsi="仿宋_GB2312" w:eastAsia="仿宋_GB2312" w:cs="仿宋_GB2312"/>
          <w:color w:val="000000"/>
          <w:sz w:val="32"/>
          <w:szCs w:val="32"/>
        </w:rPr>
        <w:t>与年初预算数相比情况：政府性基金预算财政拨款收入年初预算数0万元，决算数0万元，预决算差异率0%，差异主要原因是预决算无差异。</w:t>
      </w:r>
      <w:bookmarkEnd w:id="49"/>
      <w:bookmarkEnd w:id="50"/>
      <w:bookmarkStart w:id="51" w:name="OLE_LINK73"/>
      <w:r>
        <w:rPr>
          <w:rFonts w:hint="eastAsia" w:ascii="仿宋_GB2312" w:hAnsi="仿宋_GB2312" w:eastAsia="仿宋_GB2312" w:cs="仿宋_GB2312"/>
          <w:color w:val="000000"/>
          <w:sz w:val="32"/>
          <w:szCs w:val="32"/>
        </w:rPr>
        <w:t>政府性基金预算财政拨款支出年初预算数0万元，决算数0万元，预决算差异率0%，差异主要原因是预决算无差异。</w:t>
      </w:r>
      <w:bookmarkEnd w:id="51"/>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hAnsi="仿宋_GB2312" w:eastAsia="仿宋_GB2312" w:cs="仿宋_GB2312"/>
          <w:color w:val="000000"/>
          <w:sz w:val="32"/>
          <w:szCs w:val="32"/>
        </w:rPr>
      </w:pPr>
      <w:bookmarkStart w:id="52" w:name="OLE_LINK26"/>
      <w:bookmarkStart w:id="53" w:name="OLE_LINK25"/>
      <w:r>
        <w:rPr>
          <w:rFonts w:hint="eastAsia" w:ascii="仿宋_GB2312" w:hAnsi="仿宋_GB2312" w:eastAsia="仿宋_GB2312" w:cs="仿宋_GB2312"/>
          <w:color w:val="000000"/>
          <w:sz w:val="32"/>
          <w:szCs w:val="32"/>
        </w:rPr>
        <w:t>年末结转结余</w:t>
      </w:r>
      <w:bookmarkEnd w:id="52"/>
      <w:bookmarkEnd w:id="53"/>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w:t>
      </w:r>
      <w:r>
        <w:rPr>
          <w:rFonts w:hint="eastAsia" w:ascii="仿宋_GB2312" w:hAnsi="仿宋_GB2312" w:eastAsia="仿宋_GB2312" w:cs="仿宋_GB2312"/>
          <w:color w:val="000000"/>
          <w:sz w:val="32"/>
          <w:szCs w:val="32"/>
        </w:rPr>
        <w:t>增加0万元，增长0%。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其中</w:t>
      </w:r>
      <w:bookmarkStart w:id="54" w:name="OLE_LINK28"/>
      <w:bookmarkStart w:id="55" w:name="OLE_LINK27"/>
      <w:r>
        <w:rPr>
          <w:rFonts w:hint="eastAsia" w:ascii="仿宋_GB2312" w:hAnsi="仿宋_GB2312" w:eastAsia="仿宋_GB2312" w:cs="仿宋_GB2312"/>
          <w:color w:val="000000"/>
          <w:sz w:val="32"/>
          <w:szCs w:val="32"/>
        </w:rPr>
        <w:t>财政拨款结转结余</w:t>
      </w:r>
      <w:bookmarkEnd w:id="54"/>
      <w:bookmarkEnd w:id="55"/>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w:t>
      </w:r>
      <w:r>
        <w:rPr>
          <w:rFonts w:hint="eastAsia" w:ascii="仿宋_GB2312" w:hAnsi="仿宋_GB2312" w:eastAsia="仿宋_GB2312" w:cs="仿宋_GB2312"/>
          <w:color w:val="000000"/>
          <w:sz w:val="32"/>
          <w:szCs w:val="32"/>
        </w:rPr>
        <w:t>增加0万元，增长0%</w:t>
      </w:r>
      <w:r>
        <w:rPr>
          <w:rFonts w:hint="eastAsia" w:ascii="仿宋_GB2312" w:hAnsi="仿宋_GB2312" w:eastAsia="仿宋_GB2312" w:cs="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6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5.4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1.07</w:t>
      </w:r>
      <w:r>
        <w:rPr>
          <w:rFonts w:hint="eastAsia" w:ascii="仿宋_GB2312" w:eastAsia="仿宋_GB2312" w:cs="仿宋_GB2312"/>
          <w:sz w:val="32"/>
          <w:szCs w:val="32"/>
        </w:rPr>
        <w:t>万元，下降</w:t>
      </w:r>
      <w:r>
        <w:rPr>
          <w:rFonts w:ascii="仿宋_GB2312" w:eastAsia="仿宋_GB2312" w:cs="仿宋_GB2312"/>
          <w:sz w:val="32"/>
          <w:szCs w:val="32"/>
        </w:rPr>
        <w:t>16.54%</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认真贯彻落实中，严格控制和降低行政运行成本，大力压缩“</w:t>
      </w:r>
      <w:bookmarkStart w:id="91" w:name="_GoBack"/>
      <w:bookmarkEnd w:id="91"/>
      <w:r>
        <w:rPr>
          <w:rFonts w:hint="eastAsia" w:ascii="仿宋_GB2312" w:eastAsia="仿宋_GB2312" w:cs="仿宋_GB2312"/>
          <w:color w:val="000000"/>
          <w:sz w:val="32"/>
          <w:szCs w:val="32"/>
        </w:rPr>
        <w:t>三公”经费支出规模单位严把车辆管控关，严格遵守公务车辆配置标准和管理制度，减少使用高耗油车辆，严禁公车私用、严把监督检查关，对接待费严格控制，减少一切不必要的公务接待开支</w:t>
      </w:r>
      <w:r>
        <w:rPr>
          <w:rFonts w:hint="eastAsia" w:ascii="仿宋_GB2312" w:eastAsia="仿宋_GB2312" w:cs="仿宋_GB2312"/>
          <w:sz w:val="32"/>
          <w:szCs w:val="32"/>
        </w:rPr>
        <w:t>。</w:t>
      </w:r>
      <w:bookmarkEnd w:id="56"/>
      <w:bookmarkStart w:id="58" w:name="OLE_LINK75"/>
      <w:r>
        <w:rPr>
          <w:rFonts w:hint="eastAsia" w:ascii="仿宋_GB2312" w:eastAsia="仿宋_GB2312" w:cs="仿宋_GB2312"/>
          <w:color w:val="000000"/>
          <w:sz w:val="32"/>
          <w:szCs w:val="32"/>
        </w:rPr>
        <w:t>其中，</w:t>
      </w:r>
      <w:bookmarkEnd w:id="58"/>
      <w:bookmarkStart w:id="59" w:name="OLE_LINK31"/>
      <w:bookmarkStart w:id="60" w:name="OLE_LINK76"/>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，与上年相比，减少0万元、降低0%，减少的主要原因是：单位今年无出国考察、培训等安排，与上年一致；公务用车购置及运行维护费支出</w:t>
      </w:r>
      <w:bookmarkEnd w:id="59"/>
      <w:r>
        <w:rPr>
          <w:rFonts w:ascii="仿宋_GB2312" w:eastAsia="仿宋_GB2312" w:cs="仿宋_GB2312"/>
          <w:sz w:val="32"/>
          <w:szCs w:val="32"/>
        </w:rPr>
        <w:t>5.4</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0.6</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，减少的主要原因是：严格执行中央八项规定，厉行节约，减少公务公车购置及运行维护费的运行开支；</w:t>
      </w:r>
      <w:bookmarkEnd w:id="60"/>
      <w:bookmarkStart w:id="61" w:name="OLE_LINK32"/>
      <w:bookmarkStart w:id="62" w:name="OLE_LINK77"/>
      <w:bookmarkStart w:id="63" w:name="OLE_LINK78"/>
      <w:r>
        <w:rPr>
          <w:rFonts w:hint="eastAsia" w:ascii="仿宋_GB2312" w:eastAsia="仿宋_GB2312" w:cs="仿宋_GB2312"/>
          <w:color w:val="000000"/>
          <w:sz w:val="32"/>
          <w:szCs w:val="32"/>
        </w:rPr>
        <w:t>公务接待费支出</w:t>
      </w:r>
      <w:bookmarkEnd w:id="6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0.47</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单位严把监督检查关，对接待费严格控制，减少一切不必要的公务接待开支</w:t>
      </w:r>
      <w:r>
        <w:rPr>
          <w:rFonts w:hint="eastAsia" w:ascii="仿宋_GB2312" w:eastAsia="仿宋_GB2312" w:cs="仿宋_GB2312"/>
          <w:sz w:val="32"/>
          <w:szCs w:val="32"/>
        </w:rPr>
        <w:t>。</w:t>
      </w:r>
      <w:bookmarkEnd w:id="62"/>
      <w:bookmarkEnd w:id="63"/>
      <w:r>
        <w:rPr>
          <w:rFonts w:hint="eastAsia" w:ascii="仿宋_GB2312" w:eastAsia="仿宋_GB2312" w:cs="仿宋_GB2312"/>
          <w:color w:val="000000"/>
          <w:sz w:val="32"/>
          <w:szCs w:val="32"/>
        </w:rPr>
        <w:t>具体情况如下：</w:t>
      </w:r>
    </w:p>
    <w:p>
      <w:pPr>
        <w:spacing w:line="560" w:lineRule="exact"/>
        <w:ind w:firstLine="640" w:firstLineChars="200"/>
        <w:rPr>
          <w:rFonts w:ascii="仿宋_GB2312" w:eastAsia="仿宋_GB2312"/>
          <w:color w:val="000000"/>
          <w:sz w:val="32"/>
          <w:szCs w:val="32"/>
        </w:rPr>
      </w:pPr>
      <w:bookmarkStart w:id="64" w:name="OLE_LINK80"/>
      <w:bookmarkStart w:id="65" w:name="OLE_LINK79"/>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新疆喀什地区叶城县文化体育广播影视局</w:t>
      </w:r>
      <w:r>
        <w:rPr>
          <w:rFonts w:hint="eastAsia" w:ascii="仿宋_GB2312" w:eastAsia="仿宋_GB2312" w:cs="仿宋_GB2312"/>
          <w:color w:val="000000"/>
          <w:sz w:val="32"/>
          <w:szCs w:val="32"/>
        </w:rPr>
        <w:t>单位</w:t>
      </w:r>
      <w:bookmarkStart w:id="66" w:name="OLE_LINK33"/>
      <w:r>
        <w:rPr>
          <w:rFonts w:hint="eastAsia" w:ascii="仿宋_GB2312" w:eastAsia="仿宋_GB2312" w:cs="仿宋_GB2312"/>
          <w:color w:val="000000"/>
          <w:sz w:val="32"/>
          <w:szCs w:val="32"/>
        </w:rPr>
        <w:t>全年</w:t>
      </w:r>
      <w:bookmarkStart w:id="67" w:name="OLE_LINK35"/>
      <w:bookmarkStart w:id="68" w:name="OLE_LINK34"/>
      <w:bookmarkStart w:id="69" w:name="OLE_LINK36"/>
      <w:r>
        <w:rPr>
          <w:rFonts w:hint="eastAsia" w:ascii="仿宋_GB2312" w:eastAsia="仿宋_GB2312" w:cs="仿宋_GB2312"/>
          <w:color w:val="000000"/>
          <w:sz w:val="32"/>
          <w:szCs w:val="32"/>
        </w:rPr>
        <w:t>使用一般公共预算财政拨款安排的</w:t>
      </w:r>
      <w:r>
        <w:rPr>
          <w:rFonts w:hint="eastAsia" w:ascii="仿宋_GB2312" w:eastAsia="仿宋_GB2312" w:cs="仿宋_GB2312"/>
          <w:color w:val="000000"/>
          <w:sz w:val="32"/>
          <w:szCs w:val="32"/>
          <w:lang w:eastAsia="zh-CN"/>
        </w:rPr>
        <w:t>因公</w:t>
      </w:r>
      <w:r>
        <w:rPr>
          <w:rFonts w:hint="eastAsia" w:ascii="仿宋_GB2312" w:eastAsia="仿宋_GB2312" w:cs="仿宋_GB2312"/>
          <w:color w:val="000000"/>
          <w:sz w:val="32"/>
          <w:szCs w:val="32"/>
        </w:rPr>
        <w:t>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6"/>
      <w:bookmarkEnd w:id="67"/>
      <w:bookmarkEnd w:id="68"/>
      <w:r>
        <w:rPr>
          <w:rFonts w:ascii="仿宋_GB2312" w:eastAsia="仿宋_GB2312" w:cs="仿宋_GB2312"/>
          <w:sz w:val="32"/>
          <w:szCs w:val="32"/>
        </w:rPr>
        <w:t>0</w:t>
      </w:r>
      <w:r>
        <w:rPr>
          <w:rFonts w:hint="eastAsia" w:ascii="仿宋_GB2312" w:eastAsia="仿宋_GB2312" w:cs="仿宋_GB2312"/>
          <w:color w:val="000000"/>
          <w:sz w:val="32"/>
          <w:szCs w:val="32"/>
        </w:rPr>
        <w:t>个</w:t>
      </w:r>
      <w:bookmarkEnd w:id="69"/>
      <w:r>
        <w:rPr>
          <w:rFonts w:hint="eastAsia" w:ascii="仿宋_GB2312" w:eastAsia="仿宋_GB2312" w:cs="仿宋_GB2312"/>
          <w:color w:val="000000"/>
          <w:sz w:val="32"/>
          <w:szCs w:val="32"/>
        </w:rPr>
        <w:t>，</w:t>
      </w:r>
      <w:bookmarkStart w:id="70"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0"/>
      <w:r>
        <w:rPr>
          <w:rFonts w:hint="eastAsia" w:ascii="仿宋_GB2312" w:eastAsia="仿宋_GB2312" w:cs="仿宋_GB2312"/>
          <w:color w:val="000000"/>
          <w:sz w:val="32"/>
          <w:szCs w:val="32"/>
        </w:rPr>
        <w:t>。</w:t>
      </w:r>
      <w:bookmarkStart w:id="71" w:name="OLE_LINK38"/>
      <w:r>
        <w:rPr>
          <w:rFonts w:hint="eastAsia" w:ascii="仿宋_GB2312" w:eastAsia="仿宋_GB2312" w:cs="仿宋_GB2312"/>
          <w:color w:val="000000"/>
          <w:sz w:val="32"/>
          <w:szCs w:val="32"/>
        </w:rPr>
        <w:t>开支内容包括：本单位无因公出国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64"/>
      <w:bookmarkEnd w:id="65"/>
      <w:bookmarkEnd w:id="71"/>
    </w:p>
    <w:p>
      <w:pPr>
        <w:spacing w:line="560" w:lineRule="exact"/>
        <w:ind w:firstLine="640" w:firstLineChars="200"/>
        <w:rPr>
          <w:rFonts w:ascii="仿宋_GB2312" w:eastAsia="仿宋_GB2312"/>
          <w:color w:val="000000"/>
          <w:sz w:val="32"/>
          <w:szCs w:val="32"/>
        </w:rPr>
      </w:pPr>
      <w:bookmarkStart w:id="72"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5.4</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3"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3"/>
      <w:r>
        <w:rPr>
          <w:rFonts w:hint="eastAsia" w:ascii="仿宋_GB2312" w:eastAsia="仿宋_GB2312" w:cs="仿宋_GB2312"/>
          <w:color w:val="000000"/>
          <w:sz w:val="32"/>
          <w:szCs w:val="32"/>
        </w:rPr>
        <w:t>，</w:t>
      </w:r>
      <w:bookmarkStart w:id="74" w:name="OLE_LINK41"/>
      <w:bookmarkStart w:id="75"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5.4</w:t>
      </w:r>
      <w:r>
        <w:rPr>
          <w:rFonts w:hint="eastAsia" w:ascii="仿宋_GB2312" w:eastAsia="仿宋_GB2312" w:cs="仿宋_GB2312"/>
          <w:color w:val="000000"/>
          <w:sz w:val="32"/>
          <w:szCs w:val="32"/>
        </w:rPr>
        <w:t>万元</w:t>
      </w:r>
      <w:bookmarkEnd w:id="74"/>
      <w:bookmarkEnd w:id="75"/>
      <w:r>
        <w:rPr>
          <w:rFonts w:hint="eastAsia" w:ascii="仿宋_GB2312" w:eastAsia="仿宋_GB2312" w:cs="仿宋_GB2312"/>
          <w:color w:val="000000"/>
          <w:sz w:val="32"/>
          <w:szCs w:val="32"/>
        </w:rPr>
        <w:t>。</w:t>
      </w:r>
      <w:r>
        <w:rPr>
          <w:rFonts w:hint="eastAsia" w:ascii="仿宋_GB2312" w:eastAsia="仿宋_GB2312" w:cs="仿宋_GB2312"/>
          <w:sz w:val="32"/>
          <w:szCs w:val="32"/>
        </w:rPr>
        <w:t>主要用于单位车辆加油、审验、维修及保险等相关费用</w:t>
      </w:r>
      <w:r>
        <w:rPr>
          <w:rFonts w:hint="eastAsia" w:ascii="仿宋_GB2312" w:eastAsia="仿宋_GB2312" w:cs="仿宋_GB2312"/>
          <w:color w:val="000000"/>
          <w:sz w:val="32"/>
          <w:szCs w:val="32"/>
        </w:rPr>
        <w:t>等。</w:t>
      </w:r>
      <w:bookmarkEnd w:id="72"/>
      <w:bookmarkStart w:id="76"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6"/>
    </w:p>
    <w:p>
      <w:pPr>
        <w:spacing w:line="560" w:lineRule="exact"/>
        <w:ind w:firstLine="640" w:firstLineChars="200"/>
        <w:rPr>
          <w:rFonts w:ascii="仿宋_GB2312" w:eastAsia="仿宋_GB2312"/>
          <w:color w:val="000000"/>
          <w:sz w:val="32"/>
          <w:szCs w:val="32"/>
        </w:rPr>
      </w:pPr>
      <w:bookmarkStart w:id="77"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万元，主要是本单位无公务接待费支出。</w:t>
      </w:r>
      <w:bookmarkEnd w:id="77"/>
      <w:bookmarkStart w:id="78" w:name="OLE_LINK84"/>
      <w:r>
        <w:rPr>
          <w:rFonts w:hint="eastAsia" w:ascii="仿宋_GB2312" w:eastAsia="仿宋_GB2312" w:cs="仿宋_GB2312"/>
          <w:sz w:val="32"/>
          <w:szCs w:val="32"/>
        </w:rPr>
        <w:t>新疆喀什地区叶城县文化体育广播影视局</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8"/>
    </w:p>
    <w:p>
      <w:pPr>
        <w:spacing w:line="560" w:lineRule="exact"/>
        <w:ind w:firstLine="640" w:firstLineChars="200"/>
        <w:rPr>
          <w:rFonts w:ascii="仿宋_GB2312" w:hAnsi="宋体" w:eastAsia="仿宋_GB2312"/>
          <w:color w:val="000000"/>
          <w:kern w:val="0"/>
          <w:sz w:val="32"/>
          <w:szCs w:val="32"/>
        </w:rPr>
      </w:pPr>
      <w:bookmarkStart w:id="79"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5.4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5.4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，差异主要原因是决算与预算无差异。</w:t>
      </w:r>
      <w:bookmarkEnd w:id="79"/>
      <w:bookmarkStart w:id="80" w:name="OLE_LINK86"/>
      <w:bookmarkStart w:id="81" w:name="OLE_LINK87"/>
      <w:r>
        <w:rPr>
          <w:rFonts w:hint="eastAsia" w:ascii="仿宋_GB2312" w:hAnsi="宋体" w:eastAsia="仿宋_GB2312" w:cs="仿宋_GB2312"/>
          <w:color w:val="000000"/>
          <w:kern w:val="0"/>
          <w:sz w:val="32"/>
          <w:szCs w:val="32"/>
        </w:rPr>
        <w:t>其中：因公出国</w:t>
      </w:r>
      <w:r>
        <w:rPr>
          <w:rFonts w:hint="eastAsia" w:ascii="仿宋_GB2312" w:hAnsi="宋体" w:eastAsia="仿宋_GB2312" w:cs="仿宋_GB2312"/>
          <w:color w:val="000000"/>
          <w:kern w:val="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，差异主要原因是决算与预算相比无差异；</w:t>
      </w:r>
      <w:bookmarkEnd w:id="80"/>
      <w:bookmarkEnd w:id="81"/>
      <w:bookmarkStart w:id="82" w:name="OLE_LINK89"/>
      <w:bookmarkStart w:id="83"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，差异主要原因是决算与预算相比无差异；</w:t>
      </w:r>
      <w:bookmarkEnd w:id="82"/>
      <w:bookmarkEnd w:id="83"/>
      <w:bookmarkStart w:id="84"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5.4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5.4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，差异主要原因是决算与预算相比无差异；</w:t>
      </w:r>
      <w:bookmarkEnd w:id="84"/>
      <w:bookmarkStart w:id="85"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5"/>
      <w:r>
        <w:rPr>
          <w:rFonts w:hint="eastAsia" w:ascii="仿宋_GB2312" w:eastAsia="仿宋_GB2312" w:cs="仿宋_GB2312"/>
          <w:color w:val="000000"/>
          <w:sz w:val="32"/>
          <w:szCs w:val="32"/>
        </w:rPr>
        <w:t>决算与预算相比无差异。</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年度新疆喀什地区叶城县文化体育广播影视局机关运行经费支出</w:t>
      </w:r>
      <w:r>
        <w:rPr>
          <w:rFonts w:ascii="仿宋_GB2312" w:eastAsia="仿宋_GB2312" w:cs="仿宋_GB2312"/>
          <w:color w:val="000000"/>
          <w:sz w:val="32"/>
          <w:szCs w:val="32"/>
        </w:rPr>
        <w:t>18.3</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12.2</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40%</w:t>
      </w:r>
      <w:r>
        <w:rPr>
          <w:rFonts w:hint="eastAsia" w:ascii="仿宋_GB2312" w:eastAsia="仿宋_GB2312" w:cs="仿宋_GB2312"/>
          <w:color w:val="000000"/>
          <w:sz w:val="32"/>
          <w:szCs w:val="32"/>
        </w:rPr>
        <w:t>，减少的主要原因是：严格执行中央八项规定，压缩“三公”经费。</w:t>
      </w:r>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6" w:name="OLE_LINK45"/>
      <w:r>
        <w:rPr>
          <w:rFonts w:hint="eastAsia" w:ascii="仿宋_GB2312" w:eastAsia="仿宋_GB2312" w:cs="仿宋_GB2312"/>
          <w:color w:val="000000"/>
          <w:sz w:val="32"/>
          <w:szCs w:val="32"/>
        </w:rPr>
        <w:t>政府采购支出总额</w:t>
      </w:r>
      <w:bookmarkEnd w:id="86"/>
      <w:r>
        <w:rPr>
          <w:rFonts w:ascii="仿宋_GB2312" w:eastAsia="仿宋_GB2312" w:cs="仿宋_GB2312"/>
          <w:sz w:val="32"/>
          <w:szCs w:val="32"/>
        </w:rPr>
        <w:t>355.96</w:t>
      </w:r>
      <w:r>
        <w:rPr>
          <w:rFonts w:hint="eastAsia" w:ascii="仿宋_GB2312" w:eastAsia="仿宋_GB2312" w:cs="仿宋_GB2312"/>
          <w:color w:val="000000"/>
          <w:sz w:val="32"/>
          <w:szCs w:val="32"/>
        </w:rPr>
        <w:t>万元，其中：</w:t>
      </w:r>
      <w:bookmarkStart w:id="87" w:name="OLE_LINK46"/>
      <w:r>
        <w:rPr>
          <w:rFonts w:hint="eastAsia" w:ascii="仿宋_GB2312" w:eastAsia="仿宋_GB2312" w:cs="仿宋_GB2312"/>
          <w:color w:val="000000"/>
          <w:sz w:val="32"/>
          <w:szCs w:val="32"/>
        </w:rPr>
        <w:t>政府采购货物支出</w:t>
      </w:r>
      <w:bookmarkEnd w:id="87"/>
      <w:r>
        <w:rPr>
          <w:rFonts w:ascii="仿宋_GB2312" w:eastAsia="仿宋_GB2312" w:cs="仿宋_GB2312"/>
          <w:sz w:val="32"/>
          <w:szCs w:val="32"/>
        </w:rPr>
        <w:t>293.68</w:t>
      </w:r>
      <w:r>
        <w:rPr>
          <w:rFonts w:hint="eastAsia" w:ascii="仿宋_GB2312" w:eastAsia="仿宋_GB2312" w:cs="仿宋_GB2312"/>
          <w:color w:val="000000"/>
          <w:sz w:val="32"/>
          <w:szCs w:val="32"/>
        </w:rPr>
        <w:t>万元、</w:t>
      </w:r>
      <w:bookmarkStart w:id="88" w:name="OLE_LINK47"/>
      <w:r>
        <w:rPr>
          <w:rFonts w:hint="eastAsia" w:ascii="仿宋_GB2312" w:eastAsia="仿宋_GB2312" w:cs="仿宋_GB2312"/>
          <w:color w:val="000000"/>
          <w:sz w:val="32"/>
          <w:szCs w:val="32"/>
        </w:rPr>
        <w:t>政府采购工程支出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8"/>
      <w:r>
        <w:rPr>
          <w:rFonts w:hint="eastAsia" w:ascii="仿宋_GB2312" w:eastAsia="仿宋_GB2312" w:cs="仿宋_GB2312"/>
          <w:color w:val="000000"/>
          <w:sz w:val="32"/>
          <w:szCs w:val="32"/>
        </w:rPr>
        <w:t>政府采购服务支出</w:t>
      </w:r>
      <w:bookmarkEnd w:id="89"/>
      <w:r>
        <w:rPr>
          <w:rFonts w:ascii="仿宋_GB2312" w:eastAsia="仿宋_GB2312" w:cs="仿宋_GB2312"/>
          <w:sz w:val="32"/>
          <w:szCs w:val="32"/>
        </w:rPr>
        <w:t>62.28</w:t>
      </w:r>
      <w:r>
        <w:rPr>
          <w:rFonts w:hint="eastAsia" w:ascii="仿宋_GB2312" w:eastAsia="仿宋_GB2312" w:cs="仿宋_GB2312"/>
          <w:color w:val="000000"/>
          <w:sz w:val="32"/>
          <w:szCs w:val="32"/>
        </w:rPr>
        <w:t>万元。</w:t>
      </w:r>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6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60" w:lineRule="exact"/>
        <w:ind w:firstLine="640" w:firstLineChars="200"/>
        <w:rPr>
          <w:rFonts w:ascii="仿宋_GB2312" w:hAnsi="仿宋_GB2312" w:eastAsia="仿宋_GB2312" w:cs="仿宋_GB2312"/>
          <w:color w:val="000000"/>
          <w:sz w:val="32"/>
          <w:szCs w:val="32"/>
        </w:rPr>
      </w:pPr>
      <w:bookmarkStart w:id="90" w:name="OLE_LINK97"/>
      <w:r>
        <w:rPr>
          <w:rFonts w:hint="eastAsia" w:ascii="仿宋_GB2312" w:hAnsi="仿宋_GB2312" w:eastAsia="仿宋_GB2312" w:cs="仿宋_GB2312"/>
          <w:color w:val="000000"/>
          <w:sz w:val="32"/>
          <w:szCs w:val="32"/>
        </w:rPr>
        <w:t>截至2018年12月31日，单位共有车辆</w:t>
      </w:r>
      <w:r>
        <w:rPr>
          <w:rFonts w:hint="eastAsia" w:ascii="仿宋_GB2312" w:hAnsi="仿宋_GB2312" w:eastAsia="仿宋_GB2312" w:cs="仿宋_GB2312"/>
          <w:sz w:val="32"/>
          <w:szCs w:val="32"/>
        </w:rPr>
        <w:t>4</w:t>
      </w:r>
      <w:r>
        <w:rPr>
          <w:rFonts w:hint="eastAsia" w:ascii="仿宋_GB2312" w:hAnsi="仿宋_GB2312" w:eastAsia="仿宋_GB2312" w:cs="仿宋_GB2312"/>
          <w:color w:val="000000"/>
          <w:sz w:val="32"/>
          <w:szCs w:val="32"/>
        </w:rPr>
        <w:t>辆，价值</w:t>
      </w:r>
      <w:r>
        <w:rPr>
          <w:rFonts w:hint="eastAsia" w:ascii="仿宋_GB2312" w:hAnsi="仿宋_GB2312" w:eastAsia="仿宋_GB2312" w:cs="仿宋_GB2312"/>
          <w:sz w:val="32"/>
          <w:szCs w:val="32"/>
        </w:rPr>
        <w:t>122.88</w:t>
      </w:r>
      <w:r>
        <w:rPr>
          <w:rFonts w:hint="eastAsia" w:ascii="仿宋_GB2312" w:hAnsi="仿宋_GB2312" w:eastAsia="仿宋_GB2312" w:cs="仿宋_GB2312"/>
          <w:color w:val="000000"/>
          <w:sz w:val="32"/>
          <w:szCs w:val="32"/>
        </w:rPr>
        <w:t>万元，其中：部级领导干部用车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辆、主要领导干部用车0辆、机要通信用车0辆、应急保障用车0辆、执法执勤用车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辆、特种专业技术用车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辆、离退休干部用车0辆、其他用车4辆，其他用车主要是：其它车辆为：叶城县歌舞团下乡演出的宇通客车，图书馆流动图书车一辆，一般公务用车2辆；单位价值50万元以上通用设备</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台（套）、单位价值100万元以上专用设备</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台（套）。</w:t>
      </w:r>
      <w:bookmarkEnd w:id="90"/>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（二）预算绩效情况的说明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叶城县文化体育广播影视局2018年度部门预算总额为1586.49万元，执行金额为1586.49万元，预算执行率为167.37%。本次自评共涉及项目数10个，其中已完成项目10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自治区非物质文化遗产保护经费项目绩效自评综述：根据年初设定的绩效目标，该项目绩效自评得分为95分。项目全年预算数为10万元，执行数为10万元，完成预算的100%。主要产出和效果：（1）项目完成数量。数量指标有2条：资金涉及保护项项个1；举办培训班期2期。项完成质量：</w:t>
      </w:r>
      <w:r>
        <w:rPr>
          <w:rFonts w:hint="eastAsia" w:ascii="仿宋_GB2312" w:hAnsi="仿宋_GB2312" w:eastAsia="仿宋_GB2312" w:cs="仿宋_GB2312"/>
          <w:spacing w:val="-4"/>
          <w:sz w:val="32"/>
          <w:szCs w:val="32"/>
        </w:rPr>
        <w:t>质量指标有1条：乔鲁克（靴）制作技艺的保护与传承工作完成率100%</w:t>
      </w:r>
      <w:r>
        <w:rPr>
          <w:rFonts w:hint="eastAsia" w:ascii="仿宋_GB2312" w:hAnsi="仿宋_GB2312" w:eastAsia="仿宋_GB2312" w:cs="仿宋_GB2312"/>
          <w:sz w:val="32"/>
          <w:szCs w:val="32"/>
        </w:rPr>
        <w:t>（3）项目实施进度。</w:t>
      </w:r>
      <w:r>
        <w:rPr>
          <w:rFonts w:hint="eastAsia" w:ascii="仿宋_GB2312" w:hAnsi="仿宋_GB2312" w:eastAsia="仿宋_GB2312" w:cs="仿宋_GB2312"/>
          <w:spacing w:val="-4"/>
          <w:sz w:val="32"/>
          <w:szCs w:val="32"/>
        </w:rPr>
        <w:t>时效指标有1条：项目资金到位率100%</w:t>
      </w:r>
      <w:r>
        <w:rPr>
          <w:rFonts w:hint="eastAsia" w:ascii="仿宋_GB2312" w:hAnsi="仿宋_GB2312" w:eastAsia="仿宋_GB2312" w:cs="仿宋_GB2312"/>
          <w:sz w:val="32"/>
          <w:szCs w:val="32"/>
        </w:rPr>
        <w:t>。（4）项目成本节约情况。成本指标有3条：举办培训班培训费5000元/期； 购买原材料20000元/批；销信店、展示柜的制作70000元/个。2.效益指标完成情况分析。（1）项目实施的经济效益分析。</w:t>
      </w:r>
      <w:r>
        <w:rPr>
          <w:rFonts w:hint="eastAsia" w:ascii="仿宋_GB2312" w:hAnsi="仿宋_GB2312" w:eastAsia="仿宋_GB2312" w:cs="仿宋_GB2312"/>
          <w:spacing w:val="-4"/>
          <w:sz w:val="32"/>
          <w:szCs w:val="32"/>
        </w:rPr>
        <w:t>减轻了单位对该专项资金投入的负担10万元。</w:t>
      </w:r>
      <w:r>
        <w:rPr>
          <w:rFonts w:hint="eastAsia" w:ascii="仿宋_GB2312" w:hAnsi="仿宋_GB2312" w:eastAsia="仿宋_GB2312" w:cs="仿宋_GB2312"/>
          <w:sz w:val="32"/>
          <w:szCs w:val="32"/>
        </w:rPr>
        <w:t>（2）项目实施的社会效益分析。</w:t>
      </w:r>
      <w:r>
        <w:rPr>
          <w:rFonts w:hint="eastAsia" w:ascii="仿宋_GB2312" w:hAnsi="仿宋_GB2312" w:eastAsia="仿宋_GB2312" w:cs="仿宋_GB2312"/>
          <w:spacing w:val="-4"/>
          <w:sz w:val="32"/>
          <w:szCs w:val="32"/>
        </w:rPr>
        <w:t>项目的保护及传承率</w:t>
      </w:r>
      <w:r>
        <w:rPr>
          <w:rFonts w:hint="eastAsia" w:ascii="仿宋_GB2312" w:hAnsi="仿宋_GB2312" w:eastAsia="仿宋_GB2312" w:cs="仿宋_GB2312"/>
          <w:sz w:val="32"/>
          <w:szCs w:val="32"/>
        </w:rPr>
        <w:t>100%。（3）项目实施的生态效益分析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sz w:val="32"/>
          <w:szCs w:val="32"/>
        </w:rPr>
        <w:t>（4）项目实施的可持续影响分析。</w:t>
      </w:r>
      <w:r>
        <w:rPr>
          <w:rFonts w:hint="eastAsia" w:ascii="仿宋_GB2312" w:hAnsi="仿宋_GB2312" w:eastAsia="仿宋_GB2312" w:cs="仿宋_GB2312"/>
          <w:spacing w:val="-4"/>
          <w:sz w:val="32"/>
          <w:szCs w:val="32"/>
        </w:rPr>
        <w:t>项目的可持续影响1年。</w:t>
      </w:r>
      <w:r>
        <w:rPr>
          <w:rFonts w:hint="eastAsia" w:ascii="仿宋_GB2312" w:hAnsi="仿宋_GB2312" w:eastAsia="仿宋_GB2312" w:cs="仿宋_GB2312"/>
          <w:sz w:val="32"/>
          <w:szCs w:val="32"/>
        </w:rPr>
        <w:t>（5）满意度指标完成情况分析。该项目的非遗传承人对项目资金的满意度100%。发现的问题及原因：无下一步改进措施：无。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政府购买演出经费项目绩效自评综述：根据年初设定的绩效目标，该项目绩效自评得分为95分。项目全年预算数为161.39万元，执行数为161.39万元，完成预算的100%，主要产出和效果：1.产出指标完成情况分析。（1）项目完成数量：数量指标有3条：聘用演职人员32人，送文艺进村、社区次数100场/年，</w:t>
      </w:r>
      <w:r>
        <w:rPr>
          <w:rFonts w:hint="eastAsia" w:ascii="仿宋_GB2312" w:hAnsi="仿宋_GB2312" w:eastAsia="仿宋_GB2312" w:cs="仿宋_GB2312"/>
          <w:spacing w:val="-4"/>
          <w:sz w:val="32"/>
          <w:szCs w:val="32"/>
        </w:rPr>
        <w:t>文艺演出进乡村及社区惠及人数20万人，</w:t>
      </w:r>
      <w:r>
        <w:rPr>
          <w:rFonts w:hint="eastAsia" w:ascii="仿宋_GB2312" w:hAnsi="仿宋_GB2312" w:eastAsia="仿宋_GB2312" w:cs="仿宋_GB2312"/>
          <w:sz w:val="32"/>
          <w:szCs w:val="32"/>
        </w:rPr>
        <w:t>达到预期指标值，实际完成指标值100%。（2）项目完成质量：</w:t>
      </w:r>
      <w:r>
        <w:rPr>
          <w:rFonts w:hint="eastAsia" w:ascii="仿宋_GB2312" w:hAnsi="仿宋_GB2312" w:eastAsia="仿宋_GB2312" w:cs="仿宋_GB2312"/>
          <w:spacing w:val="-4"/>
          <w:sz w:val="32"/>
          <w:szCs w:val="32"/>
        </w:rPr>
        <w:t>质量指标有1条：工资发放及社保缴纳及时率100%，</w:t>
      </w:r>
      <w:r>
        <w:rPr>
          <w:rFonts w:hint="eastAsia" w:ascii="仿宋_GB2312" w:hAnsi="仿宋_GB2312" w:eastAsia="仿宋_GB2312" w:cs="仿宋_GB2312"/>
          <w:sz w:val="32"/>
          <w:szCs w:val="32"/>
        </w:rPr>
        <w:t>达到预期指标值，实际完成指标值100%。（3）项目实施进度。</w:t>
      </w:r>
      <w:r>
        <w:rPr>
          <w:rFonts w:hint="eastAsia" w:ascii="仿宋_GB2312" w:hAnsi="仿宋_GB2312" w:eastAsia="仿宋_GB2312" w:cs="仿宋_GB2312"/>
          <w:spacing w:val="-4"/>
          <w:sz w:val="32"/>
          <w:szCs w:val="32"/>
        </w:rPr>
        <w:t>时效指标有1条：项目完工及时率100%，</w:t>
      </w:r>
      <w:r>
        <w:rPr>
          <w:rFonts w:hint="eastAsia" w:ascii="仿宋_GB2312" w:hAnsi="仿宋_GB2312" w:eastAsia="仿宋_GB2312" w:cs="仿宋_GB2312"/>
          <w:sz w:val="32"/>
          <w:szCs w:val="32"/>
        </w:rPr>
        <w:t>达到预期指标值，实际完成指标值100%。（4）项目成本节约情况。成本指标有2条：人均工资(含三金) 39466.5元/年，歌舞团下乡演出日常运行费用35万元/年</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z w:val="32"/>
          <w:szCs w:val="32"/>
        </w:rPr>
        <w:t>达到预期指标值，实际完成指标值100%。2.效益指标完成情况分析。（1）项目实施的经济效益分析。</w:t>
      </w:r>
      <w:r>
        <w:rPr>
          <w:rFonts w:hint="eastAsia" w:ascii="仿宋_GB2312" w:hAnsi="仿宋_GB2312" w:eastAsia="仿宋_GB2312" w:cs="仿宋_GB2312"/>
          <w:spacing w:val="-4"/>
          <w:sz w:val="32"/>
          <w:szCs w:val="32"/>
        </w:rPr>
        <w:t>经济效益有2条：减轻了社会及家里的负担39466.5元/人/年，减轻了群众观看各类演出及优秀节目的交通费用2.5次/元，</w:t>
      </w:r>
      <w:r>
        <w:rPr>
          <w:rFonts w:hint="eastAsia" w:ascii="仿宋_GB2312" w:hAnsi="仿宋_GB2312" w:eastAsia="仿宋_GB2312" w:cs="仿宋_GB2312"/>
          <w:sz w:val="32"/>
          <w:szCs w:val="32"/>
        </w:rPr>
        <w:t>达到预期指标值，实际完成指标值100%。（2）项目实施的社会效益分析。</w:t>
      </w:r>
      <w:r>
        <w:rPr>
          <w:rFonts w:hint="eastAsia" w:ascii="仿宋_GB2312" w:hAnsi="仿宋_GB2312" w:eastAsia="仿宋_GB2312" w:cs="仿宋_GB2312"/>
          <w:spacing w:val="-4"/>
          <w:sz w:val="32"/>
          <w:szCs w:val="32"/>
        </w:rPr>
        <w:t>社会效益有1条：送文艺进乡村、社区受益群众覆盖率90%，</w:t>
      </w:r>
      <w:r>
        <w:rPr>
          <w:rFonts w:hint="eastAsia" w:ascii="仿宋_GB2312" w:hAnsi="仿宋_GB2312" w:eastAsia="仿宋_GB2312" w:cs="仿宋_GB2312"/>
          <w:sz w:val="32"/>
          <w:szCs w:val="32"/>
        </w:rPr>
        <w:t>达到预期指标值，实际完成指标值100%。（3）项目实施的生态效益分析：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sz w:val="32"/>
          <w:szCs w:val="32"/>
        </w:rPr>
        <w:t>（4）项目实施的可持续影响分析。</w:t>
      </w:r>
      <w:r>
        <w:rPr>
          <w:rFonts w:hint="eastAsia" w:ascii="仿宋_GB2312" w:hAnsi="仿宋_GB2312" w:eastAsia="仿宋_GB2312" w:cs="仿宋_GB2312"/>
          <w:spacing w:val="-4"/>
          <w:sz w:val="32"/>
          <w:szCs w:val="32"/>
        </w:rPr>
        <w:t>可持续影响指标有1条：项目的可持续影响时间为1年，</w:t>
      </w:r>
      <w:r>
        <w:rPr>
          <w:rFonts w:hint="eastAsia" w:ascii="仿宋_GB2312" w:hAnsi="仿宋_GB2312" w:eastAsia="仿宋_GB2312" w:cs="仿宋_GB2312"/>
          <w:sz w:val="32"/>
          <w:szCs w:val="32"/>
        </w:rPr>
        <w:t>达到预期指标值，实际完成指标值100%。（5）满意度指标完成情况分析。满意度指标有2条：</w:t>
      </w:r>
      <w:r>
        <w:rPr>
          <w:rFonts w:hint="eastAsia" w:ascii="仿宋_GB2312" w:hAnsi="仿宋_GB2312" w:eastAsia="仿宋_GB2312" w:cs="仿宋_GB2312"/>
          <w:spacing w:val="-4"/>
          <w:sz w:val="32"/>
          <w:szCs w:val="32"/>
        </w:rPr>
        <w:t>观看文艺演出项目群众满意度98%，聘用人员对项目的满意度98%，</w:t>
      </w:r>
      <w:r>
        <w:rPr>
          <w:rFonts w:hint="eastAsia" w:ascii="仿宋_GB2312" w:hAnsi="仿宋_GB2312" w:eastAsia="仿宋_GB2312" w:cs="仿宋_GB2312"/>
          <w:sz w:val="32"/>
          <w:szCs w:val="32"/>
        </w:rPr>
        <w:t>达到预期指标值，实际完成指标值100%。发现的问题及原因：</w:t>
      </w:r>
      <w:r>
        <w:rPr>
          <w:rFonts w:hint="eastAsia" w:ascii="仿宋_GB2312" w:hAnsi="仿宋_GB2312" w:eastAsia="仿宋_GB2312" w:cs="仿宋_GB2312"/>
          <w:bCs/>
          <w:sz w:val="32"/>
          <w:szCs w:val="32"/>
        </w:rPr>
        <w:t>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项目资料有待进一步完善；项目启动时同步做好档案的归纳与整理，及时整理、收集、汇总，健全档案资料。部门单位根据自己项目的特点进行总结。项目后续管理有待进一步加强；通过绩效管理，发现实施中存在漏洞，未能及时掌握市场动向，减少采购成本。以后加强管理，及时掌握与之相关的各类信息，减少成本，使资金效益最大化。部门单位根据自己项目的特点进行总结。</w:t>
      </w:r>
      <w:r>
        <w:rPr>
          <w:rFonts w:hint="eastAsia" w:ascii="仿宋_GB2312" w:hAnsi="仿宋_GB2312" w:eastAsia="仿宋_GB2312" w:cs="仿宋_GB2312"/>
          <w:sz w:val="32"/>
          <w:szCs w:val="32"/>
        </w:rPr>
        <w:t>下一步改进措施：</w:t>
      </w:r>
      <w:r>
        <w:rPr>
          <w:rFonts w:hint="eastAsia" w:ascii="仿宋_GB2312" w:hAnsi="仿宋_GB2312" w:eastAsia="仿宋_GB2312" w:cs="仿宋_GB2312"/>
          <w:kern w:val="0"/>
          <w:sz w:val="32"/>
          <w:szCs w:val="32"/>
        </w:rPr>
        <w:t>今后对项目绩效目标的三级指标和指标值的设定要进一步优化、完善，更加科学化。</w:t>
      </w:r>
    </w:p>
    <w:p>
      <w:pPr>
        <w:spacing w:line="560" w:lineRule="exact"/>
        <w:ind w:firstLine="640"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sz w:val="32"/>
          <w:szCs w:val="32"/>
        </w:rPr>
        <w:t>3、影剧院维修、房租及游泳馆门票返还收入项目绩效自评综述：根据年初设定的绩效目标，该项目绩效自评得分为95分。项目全年预算数为19万元，执行数为19万元，完成预算的100%。主要产出和效果：</w:t>
      </w:r>
      <w:r>
        <w:rPr>
          <w:rFonts w:hint="eastAsia" w:ascii="仿宋_GB2312" w:hAnsi="仿宋_GB2312" w:eastAsia="仿宋_GB2312" w:cs="仿宋_GB2312"/>
          <w:color w:val="000000"/>
          <w:spacing w:val="-4"/>
          <w:sz w:val="32"/>
          <w:szCs w:val="32"/>
        </w:rPr>
        <w:t>1.产出指标完成情况分析（1）项目完成数量数量指标有3条：资金惠及场馆个数3个，场馆开放每周6天，供暧面积5000平方米，已达到预期指标值，实际完成指标值100%。（2）项目完成质量</w:t>
      </w:r>
    </w:p>
    <w:p>
      <w:pPr>
        <w:spacing w:line="560" w:lineRule="exact"/>
        <w:rPr>
          <w:rFonts w:ascii="仿宋_GB2312" w:hAnsi="仿宋_GB2312" w:eastAsia="仿宋_GB2312" w:cs="仿宋_GB2312"/>
          <w:bCs/>
          <w:spacing w:val="-4"/>
          <w:sz w:val="32"/>
          <w:szCs w:val="32"/>
        </w:rPr>
      </w:pPr>
      <w:r>
        <w:rPr>
          <w:rFonts w:hint="eastAsia" w:ascii="仿宋_GB2312" w:hAnsi="仿宋_GB2312" w:eastAsia="仿宋_GB2312" w:cs="仿宋_GB2312"/>
          <w:color w:val="000000"/>
          <w:spacing w:val="-4"/>
          <w:sz w:val="32"/>
          <w:szCs w:val="32"/>
        </w:rPr>
        <w:t>质量指标有2条：资金到位保障率100%，验收合格率100%，已达到预期指标值，实际完成指标值100%。（3）项目实施进度时效指标有1条：项目完工及时率100% ，已达到预期指标值，实际完成指标值100%。（4）项目成本节约情况成本指标有4条：取暧费18平方米，水费1400元/月，维修费7万元/年，电费1100元/月，已达到预期指标值，实际完成指标值100%。2.效益指标完成情况分析（1）项目实施的经济效益分析经济效益指标有1条：减轻了单位的经济负担19万元/年，已达到预期指标值，实际完成指标值100%。</w:t>
      </w:r>
      <w:r>
        <w:rPr>
          <w:rFonts w:hint="eastAsia" w:ascii="仿宋_GB2312" w:hAnsi="仿宋_GB2312" w:eastAsia="仿宋_GB2312" w:cs="仿宋_GB2312"/>
          <w:b/>
          <w:bCs/>
          <w:color w:val="000000"/>
          <w:spacing w:val="-4"/>
          <w:sz w:val="32"/>
          <w:szCs w:val="32"/>
        </w:rPr>
        <w:t>（</w:t>
      </w:r>
      <w:r>
        <w:rPr>
          <w:rFonts w:hint="eastAsia" w:ascii="仿宋_GB2312" w:hAnsi="仿宋_GB2312" w:eastAsia="仿宋_GB2312" w:cs="仿宋_GB2312"/>
          <w:color w:val="000000"/>
          <w:spacing w:val="-4"/>
          <w:sz w:val="32"/>
          <w:szCs w:val="32"/>
        </w:rPr>
        <w:t>2）项目实施的社会效益分析；社会效益指标有1条： 场馆服务能力每年提升率达到10%，已达到预期指标值，实际完成指标值100%。（3）项目实施的生态效益分</w:t>
      </w:r>
      <w:r>
        <w:rPr>
          <w:rFonts w:hint="eastAsia" w:ascii="仿宋_GB2312" w:hAnsi="仿宋_GB2312" w:eastAsia="仿宋_GB2312" w:cs="仿宋_GB2312"/>
          <w:bCs/>
          <w:color w:val="000000"/>
          <w:spacing w:val="-4"/>
          <w:sz w:val="32"/>
          <w:szCs w:val="32"/>
        </w:rPr>
        <w:t>析</w:t>
      </w:r>
      <w:r>
        <w:rPr>
          <w:rFonts w:hint="eastAsia" w:ascii="仿宋_GB2312" w:hAnsi="仿宋_GB2312" w:eastAsia="仿宋_GB2312" w:cs="仿宋_GB2312"/>
          <w:color w:val="000000"/>
          <w:spacing w:val="-4"/>
          <w:sz w:val="32"/>
          <w:szCs w:val="32"/>
        </w:rPr>
        <w:t>无；</w:t>
      </w:r>
      <w:r>
        <w:rPr>
          <w:rFonts w:hint="eastAsia" w:ascii="仿宋_GB2312" w:hAnsi="仿宋_GB2312" w:eastAsia="仿宋_GB2312" w:cs="仿宋_GB2312"/>
          <w:bCs/>
          <w:color w:val="000000"/>
          <w:spacing w:val="-4"/>
          <w:sz w:val="32"/>
          <w:szCs w:val="32"/>
        </w:rPr>
        <w:t>（4）项目实施的可持续影响分析</w:t>
      </w:r>
      <w:r>
        <w:rPr>
          <w:rFonts w:hint="eastAsia" w:ascii="仿宋_GB2312" w:hAnsi="仿宋_GB2312" w:eastAsia="仿宋_GB2312" w:cs="仿宋_GB2312"/>
          <w:color w:val="000000"/>
          <w:spacing w:val="-4"/>
          <w:sz w:val="32"/>
          <w:szCs w:val="32"/>
        </w:rPr>
        <w:t>可持续影响指标有1条：项目可持续影响1年，已达到预期指标值，实际完成指标值100%。3.满意度指标完成情况分析满意度指标有1条：受益群众对场馆开放的服务满意率达95%，已达到预期指标值，实际完成指标值100%。</w:t>
      </w:r>
      <w:r>
        <w:rPr>
          <w:rFonts w:hint="eastAsia" w:ascii="仿宋_GB2312" w:hAnsi="仿宋_GB2312" w:eastAsia="仿宋_GB2312" w:cs="仿宋_GB2312"/>
          <w:bCs/>
          <w:spacing w:val="-4"/>
          <w:sz w:val="32"/>
          <w:szCs w:val="32"/>
        </w:rPr>
        <w:t>经济性：影剧院维修、</w:t>
      </w:r>
      <w:r>
        <w:rPr>
          <w:rFonts w:hint="eastAsia" w:ascii="仿宋_GB2312" w:hAnsi="仿宋_GB2312" w:eastAsia="仿宋_GB2312" w:cs="仿宋_GB2312"/>
          <w:bCs/>
          <w:spacing w:val="-4"/>
          <w:sz w:val="32"/>
          <w:szCs w:val="32"/>
          <w:lang w:val="zh-TW" w:eastAsia="zh-TW"/>
        </w:rPr>
        <w:t>房租及游泳馆门票返还收入</w:t>
      </w:r>
      <w:r>
        <w:rPr>
          <w:rFonts w:hint="eastAsia" w:ascii="仿宋_GB2312" w:hAnsi="仿宋_GB2312" w:eastAsia="仿宋_GB2312" w:cs="仿宋_GB2312"/>
          <w:bCs/>
          <w:spacing w:val="-4"/>
          <w:sz w:val="32"/>
          <w:szCs w:val="32"/>
          <w:lang w:val="zh-TW"/>
        </w:rPr>
        <w:t>主要用于体育馆、游泳馆取暧费</w:t>
      </w:r>
      <w:r>
        <w:rPr>
          <w:rFonts w:hint="eastAsia" w:ascii="仿宋_GB2312" w:hAnsi="仿宋_GB2312" w:eastAsia="仿宋_GB2312" w:cs="仿宋_GB2312"/>
          <w:bCs/>
          <w:spacing w:val="-4"/>
          <w:sz w:val="32"/>
          <w:szCs w:val="32"/>
        </w:rPr>
        <w:t>9万元，水费1.68万元，电费1.42万元，维修费用7万元。效率性：项目的实施进度为100%，完成质量为100%。效益性：项目的实施可减轻单位的济负担，促进基本公共文化服务和全民健身基本公共服务标准化、均等化、更好的满足人民群众精神文化需求和体育健身需求，提高全民文化素质和身体素质。</w:t>
      </w:r>
      <w:r>
        <w:rPr>
          <w:rFonts w:hint="eastAsia" w:ascii="仿宋_GB2312" w:hAnsi="仿宋_GB2312" w:eastAsia="仿宋_GB2312" w:cs="仿宋_GB2312"/>
          <w:sz w:val="32"/>
          <w:szCs w:val="32"/>
        </w:rPr>
        <w:t>发现的问题及原因：体育馆、游泳馆、影剧院无上级拨付免费开放服务保障经费，县财政也无相关保障经费，每年光靠游泳馆门票收入的返还经费来运转，难以维持三馆的日常运行，光每年的取暧费用都在50万元左右（包括取暧费、水费、电费、垃圾费及保洁人员工资等）下一步改进措施：上级及县财政加大对这三处公共文化体育设施的投入力度。</w:t>
      </w:r>
    </w:p>
    <w:p>
      <w:pPr>
        <w:spacing w:line="56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文化人才专项经费及2018年文化事业发展补助项目绩效自评综述：根据年初设定的绩效目标，该项目绩效自评得分为95分。项目全年预算数为15万元，执行数为15万元，完成预算的100%。主要产出和效果：1.产出指标完成情况分析。（1）项目完成数量，数量指标全部完成。（2）项目完成质量质量指标验收合格率100% 。（3）项目实施进度，按照申报目标的进度进行。（4）项目成本节约情况，无。2.效益指标完成情况分析。（1）项目实施的经济效益分析，工作经费的拨付改善我局相关工作的经费的短缺率大于65%。（2）项目实施的社会效益分析，工作经费的拨付,文化人才素质提升率大于90% 。（3）项目实施的生态效益分析，无。（4）项目实施的可持续影响分析，专项经费的可持续性影响1年。 3.满意度指标完成情况分析，按计划完成项目实施，干部对文化人才专项培训满意率达90%，服务对象满意度指标完成。发现的问题及原因：无下一步改进措施：无。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中央补助地方美术馆、公共图书馆、文化馆（站）免费开放补助资金项目绩效自评综述：根据年初设定的绩效目标，该项目绩效自评得分为95分。项目全年预算数为192万元，执行数为192万元，完成预算的100%。主要产出和效果：1.产出指标完成情况分析。（1）项目完成数量。数量指标有6条： 图书馆每周开放时间不少于56小时，每年开放时间不少于300天，举办阅览推广活动不少于2次，美术馆每年举办自主策划本土展、专题画展3次，文化馆举办各类文化培训班5次，举办各类大型文化活动3次，26个乡镇文化站每月举办文体活动每月每站不少于4次，已达到预期指标值，实际完成指标值100%。（2）项目完成质量：质量指标有3条：“三馆一站”免费开放惠及全县人数33万人次，专项资金的执行率100%，免费开放服务能力每年的提升率5%，已达到预期指标值，实际完成指标值100%。（3）项目实施进度：时效指标有1条：项目完工及时率100%，已达到预期指标值，实际完成指标值100%。（4）项目成本节约情况：</w:t>
      </w:r>
      <w:r>
        <w:rPr>
          <w:rFonts w:hint="eastAsia" w:ascii="仿宋_GB2312" w:hAnsi="仿宋_GB2312" w:eastAsia="仿宋_GB2312" w:cs="仿宋_GB2312"/>
          <w:color w:val="000000"/>
          <w:sz w:val="32"/>
          <w:szCs w:val="32"/>
        </w:rPr>
        <w:t>成本指标有4条：图书馆日常运行开支20万元，文化馆日常运行开支20万元，美术馆日常运行开支20万元，26个文化馆日常运行开支5万元</w:t>
      </w:r>
      <w:r>
        <w:rPr>
          <w:rFonts w:hint="eastAsia" w:ascii="仿宋_GB2312" w:hAnsi="仿宋_GB2312" w:eastAsia="仿宋_GB2312" w:cs="仿宋_GB2312"/>
          <w:sz w:val="32"/>
          <w:szCs w:val="32"/>
        </w:rPr>
        <w:t>，已达到预期指标值，实际完成指标值100%。2.效益指标完成情况分析。（1）项目实施的经济效益分析。经济效益指标有3条：减轻了单位的经济负担192万元，减轻了读者购书负担200人/年/元，减轻了群众精品文艺节目的门票10人/次/元，已达到预期指标值，实际完成指标值100%。（2）项目实施的社会效益分析。社会效益指标有3条：图书馆馆藏图书资源每年提升5%，文化馆、文化站公众服务意识，每年增涨5%，促进精神文明建设，丰富人民精神文化生活惠及全县人数达33万人次，已达到预期指标值，实际完成指标值100%。（3）项目实施的生态效益分析：无；（4）项目实施的可持续影响分析。可持续影响指标有1条：项目的可持续时间为1年，已达到预期指标值，实际完成指标值100%。3.满意度指标完成情况分析。满意度指标有1条：受益群众满意度达≥90%，已达到预期指标值，实际完成指标值100%。发现的问题及原因：无下一步改进措施：无。</w:t>
      </w:r>
    </w:p>
    <w:p>
      <w:pPr>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6、叶城县科技馆修复工程项目绩效自评综述：根据年初设定的绩效目标，该项目绩效自评得分为95分。项目全年预算数为277万元，执行数为277万元，完成预算的100%。主要产出和效果：</w:t>
      </w:r>
      <w:r>
        <w:rPr>
          <w:rFonts w:hint="eastAsia" w:ascii="仿宋_GB2312" w:hAnsi="仿宋_GB2312" w:eastAsia="仿宋_GB2312" w:cs="仿宋_GB2312"/>
          <w:bCs/>
          <w:spacing w:val="-4"/>
          <w:sz w:val="32"/>
          <w:szCs w:val="32"/>
        </w:rPr>
        <w:t>1.产出指标完成情况分析（1）项目完成数量：数量指标有3条：内部墙面装修3000平方米，安装座椅800座，消防管道消防设备全部更新100%，已达到预期指标值，实际完成指标值100%。（2）项目完成质量</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bCs/>
          <w:spacing w:val="-4"/>
          <w:sz w:val="32"/>
          <w:szCs w:val="32"/>
        </w:rPr>
        <w:t>质量指标有2条：工程质量验收合格率100%，产品质量合格率100%，已达到预期指标值，实际完成指标值100%。（3）项目实施进度时效指标有1条：资金拨付及时率100% ，已达到预期指标值，实际完成指标值100%。（4）项目成本节约情况：成本指标有5条：墙面装修装50元/平方米，墙面材料，消防材料150万元，椅子每个820元，人均工资200元，材料费及前期费40.4万元，已达到预期指标值，实际完成指标值100%。2.效益指标完成情况分析：经济效益指标有1条：增加农民工家庭人均收入4000元/人，增加15名农民工家庭人均收入4000元/人，已达到预期指标值，实际完成指标值100%。（2）项目实施的社会效益分析：社会效益指标有1条：改善群众参观科技展环境100%，已达到预期指标值，实际完成指标值100%。（3）项目实施的生态效益分析无；（4）项目实施的可持续影响分析：可持续影响指标有1条：维修改造可持续影响5年，已达到预期指标值，实际完成指标值100%。3.满意度指标完成情况分析：满意度指标有1条：受益群众满意率达100%，已达到预期指标值，实际完成指标值100%。</w:t>
      </w:r>
      <w:r>
        <w:rPr>
          <w:rFonts w:hint="eastAsia" w:ascii="仿宋_GB2312" w:hAnsi="仿宋_GB2312" w:eastAsia="仿宋_GB2312" w:cs="仿宋_GB2312"/>
          <w:sz w:val="32"/>
          <w:szCs w:val="32"/>
        </w:rPr>
        <w:t>发现的问题及原因：无下一步改进措施：无。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2018年公共体育普及工程及中央基建投资预算-公共体育场、田径跑道和足球场建设项目绩效自评综述：根据年初设定的绩效目标，该项目绩效自评得分为95分。项目全年预算数为600万元，执行数为600万元，完成预算的100%。主要产出和效果：1.产出指标完成情况分析。（1）项目完成数量：</w:t>
      </w:r>
      <w:r>
        <w:rPr>
          <w:rFonts w:hint="eastAsia" w:ascii="仿宋_GB2312" w:hAnsi="仿宋_GB2312" w:eastAsia="仿宋_GB2312" w:cs="仿宋_GB2312"/>
          <w:kern w:val="0"/>
          <w:sz w:val="32"/>
          <w:szCs w:val="32"/>
        </w:rPr>
        <w:t>数量指标有5条：综合体育场项目2018年6月动工,同年10月完工,综合体育场建设包含水泥地坪(平方米)8000,1000人的水泥看台椅、铺设400米塑胶跑道、600平方米的人草坪足球场、600米围墙及卫生间等建设，已达到</w:t>
      </w:r>
      <w:r>
        <w:rPr>
          <w:rFonts w:hint="eastAsia" w:ascii="仿宋_GB2312" w:hAnsi="仿宋_GB2312" w:eastAsia="仿宋_GB2312" w:cs="仿宋_GB2312"/>
          <w:sz w:val="32"/>
          <w:szCs w:val="32"/>
        </w:rPr>
        <w:t>预期指标值，实际完成指标值100%。（2）项目完成质量：质量指标有2条：工程质量验收合格率100%，产品质量合格率100%</w:t>
      </w:r>
      <w:r>
        <w:rPr>
          <w:rFonts w:hint="eastAsia" w:ascii="仿宋_GB2312" w:hAnsi="仿宋_GB2312" w:eastAsia="仿宋_GB2312" w:cs="仿宋_GB2312"/>
          <w:kern w:val="0"/>
          <w:sz w:val="32"/>
          <w:szCs w:val="32"/>
        </w:rPr>
        <w:t>，已达到</w:t>
      </w:r>
      <w:r>
        <w:rPr>
          <w:rFonts w:hint="eastAsia" w:ascii="仿宋_GB2312" w:hAnsi="仿宋_GB2312" w:eastAsia="仿宋_GB2312" w:cs="仿宋_GB2312"/>
          <w:sz w:val="32"/>
          <w:szCs w:val="32"/>
        </w:rPr>
        <w:t>预期指标值，实际完成指标值100%。（3）项目实施进度。时效指标有1条：资金拨付及时率100%</w:t>
      </w:r>
      <w:r>
        <w:rPr>
          <w:rFonts w:hint="eastAsia" w:ascii="仿宋_GB2312" w:hAnsi="仿宋_GB2312" w:eastAsia="仿宋_GB2312" w:cs="仿宋_GB2312"/>
          <w:kern w:val="0"/>
          <w:sz w:val="32"/>
          <w:szCs w:val="32"/>
        </w:rPr>
        <w:t>，已达到</w:t>
      </w:r>
      <w:r>
        <w:rPr>
          <w:rFonts w:hint="eastAsia" w:ascii="仿宋_GB2312" w:hAnsi="仿宋_GB2312" w:eastAsia="仿宋_GB2312" w:cs="仿宋_GB2312"/>
          <w:sz w:val="32"/>
          <w:szCs w:val="32"/>
        </w:rPr>
        <w:t>预期指标值，实际完成指标值100%。（4）项目成本节约情况。</w:t>
      </w:r>
      <w:r>
        <w:rPr>
          <w:rFonts w:hint="eastAsia" w:ascii="仿宋_GB2312" w:hAnsi="仿宋_GB2312" w:eastAsia="仿宋_GB2312" w:cs="仿宋_GB2312"/>
          <w:color w:val="000000"/>
          <w:sz w:val="32"/>
          <w:szCs w:val="32"/>
        </w:rPr>
        <w:t>成本指标有7条：水泥地坪150元/平方米，足球场铺设人工草皮435元/平方米，安装水泥凳300元/座，跑道安装塑革地板210平方米，安装270米，人均工资标准200元，前期费及材料费用74.072万元，已达到预期指标</w:t>
      </w:r>
      <w:r>
        <w:rPr>
          <w:rFonts w:hint="eastAsia" w:ascii="仿宋_GB2312" w:hAnsi="仿宋_GB2312" w:eastAsia="仿宋_GB2312" w:cs="仿宋_GB2312"/>
          <w:sz w:val="32"/>
          <w:szCs w:val="32"/>
        </w:rPr>
        <w:t>值，实际完成指标值100%。2.效益指标完成情况分析。（1）项目实施的经济效益分析：经济效益指标有1条：增加农民工家庭收入100万元，</w:t>
      </w:r>
      <w:r>
        <w:rPr>
          <w:rFonts w:hint="eastAsia" w:ascii="仿宋_GB2312" w:hAnsi="仿宋_GB2312" w:eastAsia="仿宋_GB2312" w:cs="仿宋_GB2312"/>
          <w:kern w:val="0"/>
          <w:sz w:val="32"/>
          <w:szCs w:val="32"/>
        </w:rPr>
        <w:t>已达到</w:t>
      </w:r>
      <w:r>
        <w:rPr>
          <w:rFonts w:hint="eastAsia" w:ascii="仿宋_GB2312" w:hAnsi="仿宋_GB2312" w:eastAsia="仿宋_GB2312" w:cs="仿宋_GB2312"/>
          <w:sz w:val="32"/>
          <w:szCs w:val="32"/>
        </w:rPr>
        <w:t>预期指标值，实际完成指标值100%。（2）项目实施的社会效益分析。社会效益指标有1条：良好的健身场地,提升各族群众的精神文化生活惠及人数有效提升，已达到预期指标值，实际完成指标值100%。（3）项目实施的生态效益分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sz w:val="32"/>
          <w:szCs w:val="32"/>
        </w:rPr>
        <w:t>（4）项目实施的可持续影响分析。</w:t>
      </w:r>
      <w:r>
        <w:rPr>
          <w:rFonts w:hint="eastAsia" w:ascii="仿宋_GB2312" w:hAnsi="仿宋_GB2312" w:eastAsia="仿宋_GB2312" w:cs="仿宋_GB2312"/>
          <w:color w:val="000000"/>
          <w:kern w:val="0"/>
          <w:sz w:val="32"/>
          <w:szCs w:val="32"/>
        </w:rPr>
        <w:t>可</w:t>
      </w:r>
      <w:r>
        <w:rPr>
          <w:rFonts w:hint="eastAsia" w:ascii="仿宋_GB2312" w:hAnsi="仿宋_GB2312" w:eastAsia="仿宋_GB2312" w:cs="仿宋_GB2312"/>
          <w:spacing w:val="-4"/>
          <w:sz w:val="32"/>
          <w:szCs w:val="32"/>
        </w:rPr>
        <w:t>持续影响指标有1条：保障持续时间为1年，已达到预期指标值，实际完成指标值100%。</w:t>
      </w:r>
      <w:r>
        <w:rPr>
          <w:rFonts w:hint="eastAsia" w:ascii="仿宋_GB2312" w:hAnsi="仿宋_GB2312" w:eastAsia="仿宋_GB2312" w:cs="仿宋_GB2312"/>
          <w:sz w:val="32"/>
          <w:szCs w:val="32"/>
        </w:rPr>
        <w:t>满意度指标完成情况分析：</w:t>
      </w:r>
      <w:r>
        <w:rPr>
          <w:rFonts w:hint="eastAsia" w:ascii="仿宋_GB2312" w:hAnsi="仿宋_GB2312" w:eastAsia="仿宋_GB2312" w:cs="仿宋_GB2312"/>
          <w:spacing w:val="-4"/>
          <w:sz w:val="32"/>
          <w:szCs w:val="32"/>
        </w:rPr>
        <w:t>满意度指标有1条：受益群众满意率达95%，</w:t>
      </w:r>
      <w:r>
        <w:rPr>
          <w:rFonts w:hint="eastAsia" w:ascii="仿宋_GB2312" w:hAnsi="仿宋_GB2312" w:eastAsia="仿宋_GB2312" w:cs="仿宋_GB2312"/>
          <w:kern w:val="0"/>
          <w:sz w:val="32"/>
          <w:szCs w:val="32"/>
        </w:rPr>
        <w:t>已达到</w:t>
      </w:r>
      <w:r>
        <w:rPr>
          <w:rFonts w:hint="eastAsia" w:ascii="仿宋_GB2312" w:hAnsi="仿宋_GB2312" w:eastAsia="仿宋_GB2312" w:cs="仿宋_GB2312"/>
          <w:sz w:val="32"/>
          <w:szCs w:val="32"/>
        </w:rPr>
        <w:t>预期指标值，实际完成指标值100%。发现的问题及原因：无下一步改进措施：无。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8、自治区野外文物保护单位人员专项补助项目绩效自评综述：根据年初设定的绩效目标，该项目绩效自评得分为96分。项目全年预算数为28.8万元，执行数为28.8万元，完成预算的100%。主要产出和效果：</w:t>
      </w:r>
      <w:r>
        <w:rPr>
          <w:rFonts w:hint="eastAsia" w:ascii="仿宋_GB2312" w:hAnsi="仿宋_GB2312" w:eastAsia="仿宋_GB2312" w:cs="仿宋_GB2312"/>
          <w:spacing w:val="-4"/>
          <w:sz w:val="32"/>
          <w:szCs w:val="32"/>
        </w:rPr>
        <w:t>1.产出指标完成情况分析（1）项目完成数量；数量指标有2条：野外文物点处数6(处)，每处人数2(人)，已达到预期指标值，实际完成指标值100%。（2）项目完成质量：质量指标有2条：资金到位保障率100%。、自治区级文物点覆盖率100%，已达到预期指标值，实际完成指标值100%。（3）项目实施进度：时效指标有1条：项目完工及时率100%，已达到预期指标值，实际完成指标值100%。（4）项目成本节约情况：成本指标有1条：补助标准2000元/人/月，已达到预期指标值，实际完成指标值100%。2.效益指标完成情况分析：（1）项目实施的经济效益分析：经济效益指标有1条：减少人员家庭负担2000人/月，已达到预期指标值，实际完成指标值100%。</w:t>
      </w:r>
      <w:r>
        <w:rPr>
          <w:rFonts w:hint="eastAsia" w:ascii="仿宋_GB2312" w:hAnsi="仿宋_GB2312" w:eastAsia="仿宋_GB2312" w:cs="仿宋_GB2312"/>
          <w:b/>
          <w:bCs/>
          <w:spacing w:val="-4"/>
          <w:sz w:val="32"/>
          <w:szCs w:val="32"/>
        </w:rPr>
        <w:t>（</w:t>
      </w:r>
      <w:r>
        <w:rPr>
          <w:rFonts w:hint="eastAsia" w:ascii="仿宋_GB2312" w:hAnsi="仿宋_GB2312" w:eastAsia="仿宋_GB2312" w:cs="仿宋_GB2312"/>
          <w:spacing w:val="-4"/>
          <w:sz w:val="32"/>
          <w:szCs w:val="32"/>
        </w:rPr>
        <w:t>2）项目实施的社会效益分析：社会效益指标有1条：自治区级文物点保护率达到100%，已达到预期指标值，实际完成指标值100%。（3）项目实施的生态效益分</w:t>
      </w:r>
      <w:r>
        <w:rPr>
          <w:rFonts w:hint="eastAsia" w:ascii="仿宋_GB2312" w:hAnsi="仿宋_GB2312" w:eastAsia="仿宋_GB2312" w:cs="仿宋_GB2312"/>
          <w:bCs/>
          <w:spacing w:val="-4"/>
          <w:sz w:val="32"/>
          <w:szCs w:val="32"/>
        </w:rPr>
        <w:t>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bCs/>
          <w:spacing w:val="-4"/>
          <w:sz w:val="32"/>
          <w:szCs w:val="32"/>
        </w:rPr>
        <w:t>（4）项目实施的可持续影响分析：</w:t>
      </w:r>
      <w:r>
        <w:rPr>
          <w:rFonts w:hint="eastAsia" w:ascii="仿宋_GB2312" w:hAnsi="仿宋_GB2312" w:eastAsia="仿宋_GB2312" w:cs="仿宋_GB2312"/>
          <w:spacing w:val="-4"/>
          <w:sz w:val="32"/>
          <w:szCs w:val="32"/>
        </w:rPr>
        <w:t>可持续影响指标有1条：可持续使用年限1年，已达到预期指标值，实际完成指标值100%。</w:t>
      </w:r>
      <w:r>
        <w:rPr>
          <w:rFonts w:hint="eastAsia" w:ascii="仿宋_GB2312" w:hAnsi="仿宋_GB2312" w:eastAsia="仿宋_GB2312" w:cs="仿宋_GB2312"/>
          <w:bCs/>
          <w:spacing w:val="-4"/>
          <w:sz w:val="32"/>
          <w:szCs w:val="32"/>
        </w:rPr>
        <w:t>（5）</w:t>
      </w:r>
      <w:r>
        <w:rPr>
          <w:rFonts w:hint="eastAsia" w:ascii="仿宋_GB2312" w:hAnsi="仿宋_GB2312" w:eastAsia="仿宋_GB2312" w:cs="仿宋_GB2312"/>
          <w:spacing w:val="-4"/>
          <w:sz w:val="32"/>
          <w:szCs w:val="32"/>
        </w:rPr>
        <w:t>满意度指标完成情况分析满意度指标有1条：看护人员对经费发放的满意度≥98%，已达到预期指标值，实际完成指标值100%。</w:t>
      </w:r>
      <w:r>
        <w:rPr>
          <w:rFonts w:hint="eastAsia" w:ascii="仿宋_GB2312" w:hAnsi="仿宋_GB2312" w:eastAsia="仿宋_GB2312" w:cs="仿宋_GB2312"/>
          <w:sz w:val="32"/>
          <w:szCs w:val="32"/>
        </w:rPr>
        <w:t>发现的问题及原因：无下一步改进措施：无。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中央补助地方公共文化服务体系建设专项资金项目绩效自评综述：根据年初设定的绩效目标，该项目绩效自评得分为95分。项目全年预算数为273.3万元，执行数为273.3万元，完成预算的100%。主要产出和效果：1.产出指标完成情况分析。（1）项目完成数量。</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有4条：为296个行政村农牧民群众提供数字电影放映服务,每村每月1场,全年3552场；县歌舞团全年为每个乡镇、社区免费送文艺、戏曲演出不少于200场；296村文化室开展文体活动不少于（年/场）12场；村文化室正常开放每星期不少于5天，已达到预期指标值，实际完成指标值100%。（2）项目完成质量：</w:t>
      </w:r>
      <w:r>
        <w:rPr>
          <w:rFonts w:hint="eastAsia" w:ascii="仿宋_GB2312" w:hAnsi="仿宋_GB2312" w:eastAsia="仿宋_GB2312" w:cs="仿宋_GB2312"/>
          <w:color w:val="000000"/>
          <w:kern w:val="0"/>
          <w:sz w:val="32"/>
          <w:szCs w:val="32"/>
        </w:rPr>
        <w:t>质量指标有3条：公益电影放映下乡活动进乡、村、社区覆盖率95%以上；文艺、戏曲下乡活动进乡、村、社区覆盖率95%以上；村文化室文体活动开展率95%以上，</w:t>
      </w:r>
      <w:r>
        <w:rPr>
          <w:rFonts w:hint="eastAsia" w:ascii="仿宋_GB2312" w:hAnsi="仿宋_GB2312" w:eastAsia="仿宋_GB2312" w:cs="仿宋_GB2312"/>
          <w:sz w:val="32"/>
          <w:szCs w:val="32"/>
        </w:rPr>
        <w:t>已达到预期指标值，实际完成指标值100%。（3）项目实施进度：时效指标有2条：金拨付及时率100%，项目资金的到位率100%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rPr>
        <w:t>已达到预期指标值，实际完成指标值100%。</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（4）项目成本节约情况：成本指标有4条：农村数字电影放映200元/场，送文艺、戏曲下乡300元/场，村文化室开展文体活动300元/场，296个村文化室日常运行开支35.7万元/年</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rPr>
        <w:t>已达到预期指标值，实际完成指标值100%。2.效益指标完成情况分析。（1）项目实施的经济效益分析。经济效益指标有2条：减轻农牧民群众，观看各类演出及优秀节目的交通费用5次/元，减轻农牧民群众，观看公益电影门票费10次/元</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rPr>
        <w:t>已达到预期指标值，实际完成指标值100%。（2）项目实施的社会效益分析。</w:t>
      </w:r>
      <w:r>
        <w:rPr>
          <w:rFonts w:hint="eastAsia" w:ascii="仿宋_GB2312" w:hAnsi="仿宋_GB2312" w:eastAsia="仿宋_GB2312" w:cs="仿宋_GB2312"/>
          <w:kern w:val="0"/>
          <w:sz w:val="32"/>
          <w:szCs w:val="32"/>
        </w:rPr>
        <w:t>社会效益指标有1条：促进精神文明建设,丰富人民精神生活45人数/万人</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rPr>
        <w:t>已达到预期指标值，实际完成指标值100%。（3）项目实施的生态效益分析：无；（4）项目实施的可持续影响分析。可持续指标有1条：</w:t>
      </w:r>
      <w:r>
        <w:rPr>
          <w:rFonts w:hint="eastAsia" w:ascii="仿宋_GB2312" w:hAnsi="仿宋_GB2312" w:eastAsia="仿宋_GB2312" w:cs="仿宋_GB2312"/>
          <w:color w:val="000000"/>
          <w:kern w:val="0"/>
          <w:sz w:val="32"/>
          <w:szCs w:val="32"/>
        </w:rPr>
        <w:t>项目的可持续影响时间1年，</w:t>
      </w:r>
      <w:r>
        <w:rPr>
          <w:rFonts w:hint="eastAsia" w:ascii="仿宋_GB2312" w:hAnsi="仿宋_GB2312" w:eastAsia="仿宋_GB2312" w:cs="仿宋_GB2312"/>
          <w:sz w:val="32"/>
          <w:szCs w:val="32"/>
        </w:rPr>
        <w:t>已达到预期指标值，实际完成指标值100%。（5）满意度指标完成情况分析。满意度指标有1条：受益群众满意度达95%以上，已达到预期指标值，实际完成指标值100%。发现的问题及原因：无；下一步改进措施：无。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2018年博物馆、纪念馆免费开放补助资金项目绩效自评综述：根据年初设定的绩效目标，该项目绩效自评得分为95分。项目全年预算数为10万元，执行数为10万元，完成预算的100%。主要产出和效果：1.产出指标完成情况分析。（1）项目完成数量：数量指标有2条：免费平均次数25次，参观平均人数3000人，已达到预期指标值，实际完成指标值100%。项目完成质量：质量指标有2条：博物馆、纪念馆免费开放乡镇、村、社区覆盖率≥90%，资金到位保障率≥98%，已达到预期指标值，实际完成指标值100%。（3）项目实施进度。</w:t>
      </w:r>
      <w:r>
        <w:rPr>
          <w:rFonts w:hint="eastAsia" w:ascii="仿宋_GB2312" w:hAnsi="仿宋_GB2312" w:eastAsia="仿宋_GB2312" w:cs="仿宋_GB2312"/>
          <w:spacing w:val="-4"/>
          <w:sz w:val="32"/>
          <w:szCs w:val="32"/>
        </w:rPr>
        <w:t>时效指标有1条：项目完工及时率100% ，</w:t>
      </w:r>
      <w:r>
        <w:rPr>
          <w:rFonts w:hint="eastAsia" w:ascii="仿宋_GB2312" w:hAnsi="仿宋_GB2312" w:eastAsia="仿宋_GB2312" w:cs="仿宋_GB2312"/>
          <w:sz w:val="32"/>
          <w:szCs w:val="32"/>
        </w:rPr>
        <w:t>已达到预期指标值，实际完成指标值100%。（4）项目成本节约情况。成本指标有3条：水、电、取暧等支出严格控的制在平均每月2500元，清洁1名，月人均工资1800元，日常运行费用年控制在26800元，已达到预期指标值，实际完成指标值100%。2.效益指标完成情况分析。</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经济效益指标有2条：减轻了单位的经济负担10万元/年，减轻了参观博物馆纪念馆门票10元/人/次，已达到预期指标值，实际完成指标值100%。（2）项目实施的社会效益分析。社会效益指标有1条：拓展了博物馆这一公共文化设施的服务空间和有效利用率≥95%，已达到预期指标值，实际完成指标值100%。（3）项目实施的生态效益分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sz w:val="32"/>
          <w:szCs w:val="32"/>
        </w:rPr>
        <w:t>（4）项目实施的可持续影响分析。可持续影响指标有1条：项目的可持续时间为1年，已达到预期指标值，实际完成指标值100%。3、满意度指标完成情况分析。</w:t>
      </w:r>
      <w:r>
        <w:rPr>
          <w:rFonts w:hint="eastAsia" w:ascii="仿宋_GB2312" w:hAnsi="仿宋_GB2312" w:eastAsia="仿宋_GB2312" w:cs="仿宋_GB2312"/>
          <w:spacing w:val="-4"/>
          <w:sz w:val="32"/>
          <w:szCs w:val="32"/>
        </w:rPr>
        <w:t>满意度指标有1条：计划完成项目实施，参观博物馆、纪念馆的受益群众满意率达95%</w:t>
      </w:r>
      <w:r>
        <w:rPr>
          <w:rFonts w:hint="eastAsia" w:ascii="仿宋_GB2312" w:hAnsi="仿宋_GB2312" w:eastAsia="仿宋_GB2312" w:cs="仿宋_GB2312"/>
          <w:sz w:val="32"/>
          <w:szCs w:val="32"/>
        </w:rPr>
        <w:t>，已达到预期指标值，实际完成指标值100%。发现的问题及原因：无下一步改进措施：无。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ind w:firstLine="646"/>
        <w:jc w:val="left"/>
        <w:rPr>
          <w:rFonts w:ascii="仿宋_GB2312" w:eastAsia="仿宋_GB2312"/>
          <w:sz w:val="32"/>
          <w:szCs w:val="32"/>
        </w:rPr>
      </w:pPr>
      <w:r>
        <w:rPr>
          <w:rFonts w:hint="eastAsia" w:ascii="仿宋_GB2312" w:hAnsi="仿宋_GB2312" w:eastAsia="仿宋_GB2312" w:cs="仿宋_GB2312"/>
          <w:sz w:val="32"/>
          <w:szCs w:val="32"/>
        </w:rPr>
        <w:t>有关项目自评情况可附项目支出绩</w:t>
      </w:r>
      <w:r>
        <w:rPr>
          <w:rFonts w:hint="eastAsia" w:ascii="仿宋_GB2312" w:eastAsia="仿宋_GB2312" w:cs="仿宋_GB2312"/>
          <w:sz w:val="32"/>
          <w:szCs w:val="32"/>
        </w:rPr>
        <w:t>效自评表。</w:t>
      </w:r>
    </w:p>
    <w:p>
      <w:pPr>
        <w:spacing w:line="56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费、公务用车购置及运行费和公务接待费。其中，因公出国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费反映单位公务出国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（项）指：其他体育支出。</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（项）指：文物保护。</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（项）指：图书馆。</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11</w:t>
      </w:r>
      <w:r>
        <w:rPr>
          <w:rFonts w:hint="eastAsia" w:ascii="仿宋_GB2312" w:eastAsia="仿宋_GB2312" w:cs="仿宋_GB2312"/>
          <w:sz w:val="32"/>
          <w:szCs w:val="32"/>
        </w:rPr>
        <w:t>（项）指：文化创作与保护。</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（项）指：其他文化支出。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（项）指：其他文化体育与传媒支出。</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07</w:t>
      </w:r>
      <w:r>
        <w:rPr>
          <w:rFonts w:hint="eastAsia" w:ascii="仿宋_GB2312" w:eastAsia="仿宋_GB2312" w:cs="仿宋_GB2312"/>
          <w:sz w:val="32"/>
          <w:szCs w:val="32"/>
        </w:rPr>
        <w:t>（项）指：艺术表演团体。</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06</w:t>
      </w:r>
      <w:r>
        <w:rPr>
          <w:rFonts w:hint="eastAsia" w:ascii="仿宋_GB2312" w:eastAsia="仿宋_GB2312" w:cs="仿宋_GB2312"/>
          <w:sz w:val="32"/>
          <w:szCs w:val="32"/>
        </w:rPr>
        <w:t>（项）指：艺术表演。</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（项）指：博物馆。</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（项）指：群众文化。</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06</w:t>
      </w:r>
      <w:r>
        <w:rPr>
          <w:rFonts w:hint="eastAsia" w:ascii="仿宋_GB2312" w:eastAsia="仿宋_GB2312" w:cs="仿宋_GB2312"/>
          <w:sz w:val="32"/>
          <w:szCs w:val="32"/>
        </w:rPr>
        <w:t>（项）指：电影。</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60" w:lineRule="exact"/>
        <w:ind w:firstLine="643" w:firstLineChars="200"/>
        <w:rPr>
          <w:rFonts w:ascii="仿宋_GB2312" w:eastAsia="仿宋_GB2312"/>
          <w:b/>
          <w:bCs/>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6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6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- 22 -</w:t>
    </w:r>
    <w:r>
      <w:rPr>
        <w:rStyle w:val="10"/>
        <w:rFonts w:ascii="宋体" w:hAnsi="宋体" w:eastAsia="宋体" w:cs="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109FD"/>
    <w:rsid w:val="0002118A"/>
    <w:rsid w:val="0002131C"/>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66DB"/>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2EC2"/>
    <w:rsid w:val="00295B34"/>
    <w:rsid w:val="0029700A"/>
    <w:rsid w:val="002A7E48"/>
    <w:rsid w:val="002B1DA2"/>
    <w:rsid w:val="002B2CBD"/>
    <w:rsid w:val="002B557B"/>
    <w:rsid w:val="002B5D8E"/>
    <w:rsid w:val="002C0FB9"/>
    <w:rsid w:val="002C4530"/>
    <w:rsid w:val="002D2B8C"/>
    <w:rsid w:val="002D34C1"/>
    <w:rsid w:val="002D76FA"/>
    <w:rsid w:val="002E189D"/>
    <w:rsid w:val="002E18D1"/>
    <w:rsid w:val="002E531F"/>
    <w:rsid w:val="002E64E8"/>
    <w:rsid w:val="002F3234"/>
    <w:rsid w:val="002F4F3E"/>
    <w:rsid w:val="002F6502"/>
    <w:rsid w:val="00300B06"/>
    <w:rsid w:val="00301FF1"/>
    <w:rsid w:val="0030440B"/>
    <w:rsid w:val="00305C33"/>
    <w:rsid w:val="00307208"/>
    <w:rsid w:val="00311036"/>
    <w:rsid w:val="003136FF"/>
    <w:rsid w:val="0031596F"/>
    <w:rsid w:val="003167D1"/>
    <w:rsid w:val="00317644"/>
    <w:rsid w:val="00317B91"/>
    <w:rsid w:val="00320F9D"/>
    <w:rsid w:val="003217D2"/>
    <w:rsid w:val="003228EE"/>
    <w:rsid w:val="0032647C"/>
    <w:rsid w:val="00326734"/>
    <w:rsid w:val="00332EAA"/>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27E8"/>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351B"/>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24268"/>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0FF"/>
    <w:rsid w:val="006304D1"/>
    <w:rsid w:val="00631DA8"/>
    <w:rsid w:val="0063431E"/>
    <w:rsid w:val="00645C30"/>
    <w:rsid w:val="0065497B"/>
    <w:rsid w:val="00654E41"/>
    <w:rsid w:val="006667F8"/>
    <w:rsid w:val="0067149A"/>
    <w:rsid w:val="00674819"/>
    <w:rsid w:val="0069278A"/>
    <w:rsid w:val="006A1C84"/>
    <w:rsid w:val="006A745B"/>
    <w:rsid w:val="006A78F4"/>
    <w:rsid w:val="006B0F85"/>
    <w:rsid w:val="006B4B06"/>
    <w:rsid w:val="006B4D0D"/>
    <w:rsid w:val="006B56B4"/>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3420E"/>
    <w:rsid w:val="0074240E"/>
    <w:rsid w:val="00742FA1"/>
    <w:rsid w:val="007476BA"/>
    <w:rsid w:val="00750798"/>
    <w:rsid w:val="00752BCF"/>
    <w:rsid w:val="0076538D"/>
    <w:rsid w:val="007714E5"/>
    <w:rsid w:val="00773D5E"/>
    <w:rsid w:val="00776FAF"/>
    <w:rsid w:val="00777229"/>
    <w:rsid w:val="007775E8"/>
    <w:rsid w:val="0078072D"/>
    <w:rsid w:val="00786C7E"/>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8F4754"/>
    <w:rsid w:val="00910BA2"/>
    <w:rsid w:val="00910E73"/>
    <w:rsid w:val="009110DE"/>
    <w:rsid w:val="00913B22"/>
    <w:rsid w:val="00914BA4"/>
    <w:rsid w:val="00920C0A"/>
    <w:rsid w:val="00920E2A"/>
    <w:rsid w:val="009224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54F0"/>
    <w:rsid w:val="009E711C"/>
    <w:rsid w:val="009F06B8"/>
    <w:rsid w:val="00A0017F"/>
    <w:rsid w:val="00A037A6"/>
    <w:rsid w:val="00A04134"/>
    <w:rsid w:val="00A11A5F"/>
    <w:rsid w:val="00A11F40"/>
    <w:rsid w:val="00A13D3F"/>
    <w:rsid w:val="00A24081"/>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B49F5"/>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1812"/>
    <w:rsid w:val="00B32A4F"/>
    <w:rsid w:val="00B358E2"/>
    <w:rsid w:val="00B40CB6"/>
    <w:rsid w:val="00B50AD6"/>
    <w:rsid w:val="00B51AB3"/>
    <w:rsid w:val="00B5337C"/>
    <w:rsid w:val="00B5340F"/>
    <w:rsid w:val="00B570C0"/>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06831"/>
    <w:rsid w:val="00C10300"/>
    <w:rsid w:val="00C238F0"/>
    <w:rsid w:val="00C25CC6"/>
    <w:rsid w:val="00C31297"/>
    <w:rsid w:val="00C61A9B"/>
    <w:rsid w:val="00C732F1"/>
    <w:rsid w:val="00C73864"/>
    <w:rsid w:val="00C73E50"/>
    <w:rsid w:val="00C8565C"/>
    <w:rsid w:val="00C92227"/>
    <w:rsid w:val="00CB0287"/>
    <w:rsid w:val="00CB11AE"/>
    <w:rsid w:val="00CB2CF7"/>
    <w:rsid w:val="00CC1506"/>
    <w:rsid w:val="00CC176A"/>
    <w:rsid w:val="00CC1B4E"/>
    <w:rsid w:val="00CC3731"/>
    <w:rsid w:val="00CC4506"/>
    <w:rsid w:val="00CC4F04"/>
    <w:rsid w:val="00CD723D"/>
    <w:rsid w:val="00CE1BBB"/>
    <w:rsid w:val="00CE68B2"/>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23E5"/>
    <w:rsid w:val="00D85A61"/>
    <w:rsid w:val="00D87AC8"/>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08D9"/>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2010E"/>
    <w:rsid w:val="00F42630"/>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B28EC"/>
    <w:rsid w:val="00FC29A0"/>
    <w:rsid w:val="00FC6C17"/>
    <w:rsid w:val="00FE17E8"/>
    <w:rsid w:val="00FE48DB"/>
    <w:rsid w:val="00FF3620"/>
    <w:rsid w:val="00FF3A84"/>
    <w:rsid w:val="01110239"/>
    <w:rsid w:val="013800AD"/>
    <w:rsid w:val="028847F9"/>
    <w:rsid w:val="03AA79F6"/>
    <w:rsid w:val="03AD13CF"/>
    <w:rsid w:val="046C1484"/>
    <w:rsid w:val="04741FE5"/>
    <w:rsid w:val="04DB02C7"/>
    <w:rsid w:val="06B856EE"/>
    <w:rsid w:val="06DE069F"/>
    <w:rsid w:val="07FE5938"/>
    <w:rsid w:val="084604BC"/>
    <w:rsid w:val="08883825"/>
    <w:rsid w:val="09725983"/>
    <w:rsid w:val="0A382BB5"/>
    <w:rsid w:val="0AA4543A"/>
    <w:rsid w:val="0BE61132"/>
    <w:rsid w:val="0C9B0DD6"/>
    <w:rsid w:val="0CE4791C"/>
    <w:rsid w:val="0D543233"/>
    <w:rsid w:val="0E063C64"/>
    <w:rsid w:val="0E4951FA"/>
    <w:rsid w:val="0F4C7B96"/>
    <w:rsid w:val="0FFB575E"/>
    <w:rsid w:val="10845F1B"/>
    <w:rsid w:val="11463A00"/>
    <w:rsid w:val="11600918"/>
    <w:rsid w:val="11B0398F"/>
    <w:rsid w:val="131D0B7E"/>
    <w:rsid w:val="135E074C"/>
    <w:rsid w:val="13B960C5"/>
    <w:rsid w:val="152777F4"/>
    <w:rsid w:val="15C674B6"/>
    <w:rsid w:val="18D54A0D"/>
    <w:rsid w:val="1A4106A0"/>
    <w:rsid w:val="1A4F5437"/>
    <w:rsid w:val="1AB77CD0"/>
    <w:rsid w:val="1D37039C"/>
    <w:rsid w:val="1E807156"/>
    <w:rsid w:val="1EA657F6"/>
    <w:rsid w:val="1F097CB6"/>
    <w:rsid w:val="2166156B"/>
    <w:rsid w:val="21792CE5"/>
    <w:rsid w:val="21895ADE"/>
    <w:rsid w:val="21B02D83"/>
    <w:rsid w:val="22A236F5"/>
    <w:rsid w:val="23995975"/>
    <w:rsid w:val="23D7249B"/>
    <w:rsid w:val="2432220E"/>
    <w:rsid w:val="248303BA"/>
    <w:rsid w:val="24837E47"/>
    <w:rsid w:val="252E01AA"/>
    <w:rsid w:val="2680023E"/>
    <w:rsid w:val="26B2203D"/>
    <w:rsid w:val="28BC0424"/>
    <w:rsid w:val="29680352"/>
    <w:rsid w:val="2A020F75"/>
    <w:rsid w:val="2B007AEE"/>
    <w:rsid w:val="2BC14C56"/>
    <w:rsid w:val="2BEE2C11"/>
    <w:rsid w:val="2C1B026F"/>
    <w:rsid w:val="2CC61F55"/>
    <w:rsid w:val="2EF7452F"/>
    <w:rsid w:val="2F1D13B4"/>
    <w:rsid w:val="2F566730"/>
    <w:rsid w:val="2FAA3DA6"/>
    <w:rsid w:val="30682E1F"/>
    <w:rsid w:val="30E210D2"/>
    <w:rsid w:val="310D4CE9"/>
    <w:rsid w:val="311371D6"/>
    <w:rsid w:val="31EB64C9"/>
    <w:rsid w:val="336D0D6F"/>
    <w:rsid w:val="33CD0E0F"/>
    <w:rsid w:val="3495030D"/>
    <w:rsid w:val="352E4BEC"/>
    <w:rsid w:val="36543059"/>
    <w:rsid w:val="37DD5594"/>
    <w:rsid w:val="38F24FA8"/>
    <w:rsid w:val="3A98342A"/>
    <w:rsid w:val="3AB6780E"/>
    <w:rsid w:val="3AD56D70"/>
    <w:rsid w:val="3B2920C2"/>
    <w:rsid w:val="3BE41ABD"/>
    <w:rsid w:val="3C5421A9"/>
    <w:rsid w:val="3D861877"/>
    <w:rsid w:val="3D903B21"/>
    <w:rsid w:val="3EAE3F79"/>
    <w:rsid w:val="3F440741"/>
    <w:rsid w:val="3F49541F"/>
    <w:rsid w:val="41FC306C"/>
    <w:rsid w:val="42FB44F6"/>
    <w:rsid w:val="44BE5554"/>
    <w:rsid w:val="451E0908"/>
    <w:rsid w:val="452C2D31"/>
    <w:rsid w:val="45D26E14"/>
    <w:rsid w:val="46A541B1"/>
    <w:rsid w:val="48964CDF"/>
    <w:rsid w:val="48A302FE"/>
    <w:rsid w:val="48C57772"/>
    <w:rsid w:val="49782886"/>
    <w:rsid w:val="49E54C3C"/>
    <w:rsid w:val="4A6F0D28"/>
    <w:rsid w:val="4AAF085C"/>
    <w:rsid w:val="4AEB7E60"/>
    <w:rsid w:val="4B0C7F60"/>
    <w:rsid w:val="4B4B135B"/>
    <w:rsid w:val="4BC7055F"/>
    <w:rsid w:val="4BD92F4A"/>
    <w:rsid w:val="4C7A26CD"/>
    <w:rsid w:val="4CFC7DB2"/>
    <w:rsid w:val="4E2F5A4A"/>
    <w:rsid w:val="4E7C187D"/>
    <w:rsid w:val="4F06276B"/>
    <w:rsid w:val="4F5445D4"/>
    <w:rsid w:val="4FF3363D"/>
    <w:rsid w:val="506C6293"/>
    <w:rsid w:val="508941AD"/>
    <w:rsid w:val="50E65530"/>
    <w:rsid w:val="51457139"/>
    <w:rsid w:val="51574DBD"/>
    <w:rsid w:val="515F2399"/>
    <w:rsid w:val="51EC1DA8"/>
    <w:rsid w:val="52FC5524"/>
    <w:rsid w:val="532D7A17"/>
    <w:rsid w:val="54AF4562"/>
    <w:rsid w:val="54C9674B"/>
    <w:rsid w:val="550466B4"/>
    <w:rsid w:val="556318EA"/>
    <w:rsid w:val="55A60AA1"/>
    <w:rsid w:val="55C16C7A"/>
    <w:rsid w:val="56451615"/>
    <w:rsid w:val="57FC5774"/>
    <w:rsid w:val="59B332C9"/>
    <w:rsid w:val="5A44758A"/>
    <w:rsid w:val="5B385622"/>
    <w:rsid w:val="5BEC4BB3"/>
    <w:rsid w:val="5C070B55"/>
    <w:rsid w:val="5CB96DCE"/>
    <w:rsid w:val="5CE61580"/>
    <w:rsid w:val="5D175666"/>
    <w:rsid w:val="5D556A3C"/>
    <w:rsid w:val="5D7B25C9"/>
    <w:rsid w:val="5D891E77"/>
    <w:rsid w:val="5E096236"/>
    <w:rsid w:val="5ECB44B4"/>
    <w:rsid w:val="5EE2043C"/>
    <w:rsid w:val="602D2E37"/>
    <w:rsid w:val="61460FBE"/>
    <w:rsid w:val="62775810"/>
    <w:rsid w:val="62D83744"/>
    <w:rsid w:val="630F4048"/>
    <w:rsid w:val="636A4FA8"/>
    <w:rsid w:val="63AA02E5"/>
    <w:rsid w:val="64700DE9"/>
    <w:rsid w:val="6593145D"/>
    <w:rsid w:val="65C613BD"/>
    <w:rsid w:val="65FD118C"/>
    <w:rsid w:val="682C3D89"/>
    <w:rsid w:val="68611305"/>
    <w:rsid w:val="6A162DE0"/>
    <w:rsid w:val="6A331428"/>
    <w:rsid w:val="6AB97772"/>
    <w:rsid w:val="6B25476E"/>
    <w:rsid w:val="6B2E5CB6"/>
    <w:rsid w:val="6B3D4886"/>
    <w:rsid w:val="6B511942"/>
    <w:rsid w:val="6DF8675E"/>
    <w:rsid w:val="6E671134"/>
    <w:rsid w:val="6EA80098"/>
    <w:rsid w:val="6F7E60A6"/>
    <w:rsid w:val="6F8D70FF"/>
    <w:rsid w:val="6FFE5011"/>
    <w:rsid w:val="703D61AD"/>
    <w:rsid w:val="7178734D"/>
    <w:rsid w:val="71791096"/>
    <w:rsid w:val="717B0C34"/>
    <w:rsid w:val="71FB78FD"/>
    <w:rsid w:val="7275064A"/>
    <w:rsid w:val="733F750B"/>
    <w:rsid w:val="735702E2"/>
    <w:rsid w:val="73C33C11"/>
    <w:rsid w:val="74C31045"/>
    <w:rsid w:val="765F635A"/>
    <w:rsid w:val="76B73454"/>
    <w:rsid w:val="76D254BD"/>
    <w:rsid w:val="776F1751"/>
    <w:rsid w:val="77727ACD"/>
    <w:rsid w:val="78071142"/>
    <w:rsid w:val="79296B37"/>
    <w:rsid w:val="7A4C4C40"/>
    <w:rsid w:val="7AA0518E"/>
    <w:rsid w:val="7B041636"/>
    <w:rsid w:val="7CA86749"/>
    <w:rsid w:val="7DC871D3"/>
    <w:rsid w:val="7E936FF6"/>
    <w:rsid w:val="7EC92370"/>
    <w:rsid w:val="7F2238BD"/>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qFormat/>
    <w:locked/>
    <w:uiPriority w:val="99"/>
    <w:pPr>
      <w:keepNext/>
      <w:widowControl/>
      <w:spacing w:before="240" w:after="60"/>
      <w:jc w:val="left"/>
      <w:outlineLvl w:val="2"/>
    </w:pPr>
    <w:rPr>
      <w:rFonts w:ascii="Calibri Light" w:hAnsi="Calibri Light"/>
      <w:b/>
      <w:bCs/>
      <w:kern w:val="0"/>
      <w:sz w:val="26"/>
      <w:szCs w:val="26"/>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semiHidden/>
    <w:qFormat/>
    <w:uiPriority w:val="99"/>
    <w:pPr>
      <w:jc w:val="left"/>
    </w:pPr>
  </w:style>
  <w:style w:type="paragraph" w:styleId="4">
    <w:name w:val="Balloon Text"/>
    <w:basedOn w:val="1"/>
    <w:link w:val="13"/>
    <w:semiHidden/>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qFormat/>
    <w:uiPriority w:val="99"/>
    <w:rPr>
      <w:b/>
      <w:bCs/>
    </w:rPr>
  </w:style>
  <w:style w:type="character" w:styleId="10">
    <w:name w:val="page number"/>
    <w:basedOn w:val="9"/>
    <w:qFormat/>
    <w:uiPriority w:val="99"/>
  </w:style>
  <w:style w:type="character" w:styleId="11">
    <w:name w:val="annotation reference"/>
    <w:semiHidden/>
    <w:qFormat/>
    <w:uiPriority w:val="99"/>
    <w:rPr>
      <w:sz w:val="21"/>
      <w:szCs w:val="21"/>
    </w:rPr>
  </w:style>
  <w:style w:type="character" w:customStyle="1" w:styleId="12">
    <w:name w:val="批注文字 Char"/>
    <w:link w:val="3"/>
    <w:semiHidden/>
    <w:qFormat/>
    <w:locked/>
    <w:uiPriority w:val="99"/>
    <w:rPr>
      <w:rFonts w:ascii="Times New Roman" w:hAnsi="Times New Roman" w:eastAsia="宋体" w:cs="Times New Roman"/>
      <w:sz w:val="24"/>
      <w:szCs w:val="24"/>
    </w:rPr>
  </w:style>
  <w:style w:type="character" w:customStyle="1" w:styleId="13">
    <w:name w:val="批注框文本 Char"/>
    <w:link w:val="4"/>
    <w:semiHidden/>
    <w:qFormat/>
    <w:locked/>
    <w:uiPriority w:val="99"/>
    <w:rPr>
      <w:rFonts w:ascii="Times New Roman" w:hAnsi="Times New Roman" w:eastAsia="宋体" w:cs="Times New Roman"/>
      <w:sz w:val="18"/>
      <w:szCs w:val="18"/>
    </w:rPr>
  </w:style>
  <w:style w:type="character" w:customStyle="1" w:styleId="14">
    <w:name w:val="页脚 Char"/>
    <w:link w:val="5"/>
    <w:qFormat/>
    <w:locked/>
    <w:uiPriority w:val="99"/>
    <w:rPr>
      <w:rFonts w:ascii="Times New Roman" w:hAnsi="Times New Roman" w:eastAsia="黑体" w:cs="Times New Roman"/>
      <w:snapToGrid w:val="0"/>
      <w:kern w:val="0"/>
      <w:sz w:val="18"/>
      <w:szCs w:val="18"/>
    </w:rPr>
  </w:style>
  <w:style w:type="character" w:customStyle="1" w:styleId="15">
    <w:name w:val="页眉 Char"/>
    <w:link w:val="6"/>
    <w:qFormat/>
    <w:locked/>
    <w:uiPriority w:val="99"/>
    <w:rPr>
      <w:rFonts w:ascii="Times New Roman" w:hAnsi="Times New Roman" w:eastAsia="宋体" w:cs="Times New Roman"/>
      <w:sz w:val="18"/>
      <w:szCs w:val="18"/>
    </w:rPr>
  </w:style>
  <w:style w:type="character" w:customStyle="1" w:styleId="16">
    <w:name w:val="批注主题 Char"/>
    <w:link w:val="7"/>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26</Pages>
  <Words>12945</Words>
  <Characters>1365</Characters>
  <Lines>11</Lines>
  <Paragraphs>28</Paragraphs>
  <TotalTime>0</TotalTime>
  <ScaleCrop>false</ScaleCrop>
  <LinksUpToDate>false</LinksUpToDate>
  <CharactersWithSpaces>14282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2025-02-12T04:54:46Z</dcterms:modified>
  <cp:revision>824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