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喀什地区叶城县教育局自治区农村学前三年免费教育发展保障经费</w:t>
      </w:r>
      <w:r>
        <w:rPr>
          <w:rFonts w:hint="eastAsia" w:ascii="方正小标宋简体" w:eastAsia="方正小标宋简体"/>
          <w:sz w:val="44"/>
          <w:szCs w:val="44"/>
          <w:lang w:val="en-US" w:eastAsia="zh-CN"/>
        </w:rPr>
        <w:t>项目</w:t>
      </w:r>
      <w:r>
        <w:rPr>
          <w:rFonts w:hint="eastAsia" w:ascii="方正小标宋简体" w:eastAsia="方正小标宋简体"/>
          <w:sz w:val="44"/>
          <w:szCs w:val="44"/>
        </w:rPr>
        <w:t>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项目名称：自治区农村学前三年免费教育发展保障经费</w:t>
      </w:r>
      <w:r>
        <w:rPr>
          <w:rFonts w:hint="eastAsia" w:ascii="仿宋_GB2312" w:hAnsi="仿宋" w:eastAsia="仿宋_GB2312" w:cs="Times New Roman"/>
          <w:spacing w:val="-2"/>
          <w:sz w:val="36"/>
          <w:szCs w:val="36"/>
          <w:lang w:val="en-US" w:eastAsia="zh-CN"/>
        </w:rPr>
        <w:t>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实施单位：叶城县教育局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评价部门：叶城县教育局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二零一九年十二月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5"/>
        <w:numPr>
          <w:ilvl w:val="0"/>
          <w:numId w:val="2"/>
        </w:numPr>
        <w:ind w:firstLineChars="0"/>
        <w:rPr>
          <w:lang w:bidi="ar"/>
        </w:rPr>
      </w:pPr>
      <w:r>
        <w:rPr>
          <w:rFonts w:hint="eastAsia"/>
          <w:lang w:bidi="ar"/>
        </w:rPr>
        <w:t>基本情况</w:t>
      </w:r>
    </w:p>
    <w:p>
      <w:pPr>
        <w:pStyle w:val="27"/>
        <w:ind w:left="0" w:firstLine="643" w:firstLineChars="200"/>
        <w:rPr>
          <w:lang w:bidi="ar"/>
        </w:rPr>
      </w:pPr>
      <w:bookmarkStart w:id="0" w:name="_Toc26401549"/>
      <w:r>
        <w:rPr>
          <w:rFonts w:hint="eastAsia"/>
          <w:lang w:bidi="ar"/>
        </w:rPr>
        <w:t>项目概况</w:t>
      </w:r>
      <w:bookmarkEnd w:id="0"/>
    </w:p>
    <w:p>
      <w:pPr>
        <w:pStyle w:val="21"/>
        <w:numPr>
          <w:ilvl w:val="0"/>
          <w:numId w:val="3"/>
        </w:numPr>
        <w:spacing w:before="120"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_GB2312" w:eastAsia="仿宋_GB2312" w:cs="仿宋_GB2312"/>
          <w:sz w:val="32"/>
          <w:szCs w:val="32"/>
        </w:rPr>
        <w:t>根据</w:t>
      </w:r>
      <w:r>
        <w:rPr>
          <w:rFonts w:hint="eastAsia" w:ascii="仿宋_GB2312" w:hAnsi="仿宋" w:eastAsia="仿宋_GB2312" w:cs="宋体"/>
          <w:sz w:val="32"/>
          <w:szCs w:val="32"/>
          <w:lang w:bidi="ar"/>
        </w:rPr>
        <w:t>喀地财教【2018】152号、喀地财教【2019】3号、县喀地财教【2019】98号</w:t>
      </w:r>
      <w:r>
        <w:rPr>
          <w:rFonts w:hint="eastAsia" w:ascii="仿宋_GB2312" w:hAnsi="仿宋_GB2312" w:eastAsia="仿宋_GB2312" w:cs="仿宋_GB2312"/>
          <w:sz w:val="32"/>
          <w:szCs w:val="32"/>
        </w:rPr>
        <w:t>资金文号，下发资金预算金额为</w:t>
      </w:r>
      <w:r>
        <w:rPr>
          <w:rFonts w:hint="eastAsia" w:ascii="仿宋_GB2312" w:hAnsi="仿宋_GB2312" w:eastAsia="仿宋_GB2312" w:cs="仿宋_GB2312"/>
          <w:sz w:val="32"/>
          <w:szCs w:val="32"/>
          <w:lang w:val="en-US" w:eastAsia="zh-CN"/>
        </w:rPr>
        <w:t>14795.36万</w:t>
      </w:r>
      <w:r>
        <w:rPr>
          <w:rFonts w:hint="eastAsia" w:ascii="仿宋_GB2312" w:hAnsi="仿宋_GB2312" w:eastAsia="仿宋_GB2312" w:cs="仿宋_GB2312"/>
          <w:sz w:val="32"/>
          <w:szCs w:val="32"/>
        </w:rPr>
        <w:t>元，年度设定的预期目标是</w:t>
      </w:r>
      <w:r>
        <w:rPr>
          <w:rFonts w:hint="eastAsia" w:ascii="仿宋_GB2312" w:hAnsi="仿宋_GB2312" w:eastAsia="仿宋_GB2312" w:cs="仿宋_GB2312"/>
          <w:sz w:val="32"/>
          <w:szCs w:val="32"/>
          <w:lang w:val="en-US" w:eastAsia="zh-CN"/>
        </w:rPr>
        <w:t>14795.36万</w:t>
      </w:r>
      <w:r>
        <w:rPr>
          <w:rFonts w:hint="eastAsia" w:ascii="仿宋_GB2312" w:hAnsi="仿宋_GB2312" w:eastAsia="仿宋_GB2312" w:cs="仿宋_GB2312"/>
          <w:sz w:val="32"/>
          <w:szCs w:val="32"/>
        </w:rPr>
        <w:t>元</w:t>
      </w:r>
      <w:r>
        <w:rPr>
          <w:rFonts w:ascii="仿宋_GB2312" w:hAnsi="仿宋" w:eastAsia="仿宋_GB2312" w:cs="宋体"/>
          <w:sz w:val="32"/>
          <w:szCs w:val="32"/>
          <w:lang w:bidi="ar"/>
        </w:rPr>
        <w:t>，为青少年</w:t>
      </w:r>
      <w:r>
        <w:rPr>
          <w:rFonts w:hint="eastAsia" w:ascii="仿宋_GB2312" w:hAnsi="仿宋" w:eastAsia="仿宋_GB2312" w:cs="宋体"/>
          <w:sz w:val="32"/>
          <w:szCs w:val="32"/>
          <w:lang w:bidi="ar"/>
        </w:rPr>
        <w:t>“学习</w:t>
      </w:r>
      <w:r>
        <w:rPr>
          <w:rFonts w:ascii="仿宋_GB2312" w:hAnsi="仿宋" w:eastAsia="仿宋_GB2312" w:cs="宋体"/>
          <w:sz w:val="32"/>
          <w:szCs w:val="32"/>
          <w:lang w:bidi="ar"/>
        </w:rPr>
        <w:t>在学校、生活在学校、成长在学校</w:t>
      </w:r>
      <w:r>
        <w:rPr>
          <w:rFonts w:hint="eastAsia" w:ascii="仿宋_GB2312" w:hAnsi="仿宋" w:eastAsia="仿宋_GB2312" w:cs="宋体"/>
          <w:sz w:val="32"/>
          <w:szCs w:val="32"/>
          <w:lang w:bidi="ar"/>
        </w:rPr>
        <w:t>”创造</w:t>
      </w:r>
      <w:r>
        <w:rPr>
          <w:rFonts w:ascii="仿宋_GB2312" w:hAnsi="仿宋" w:eastAsia="仿宋_GB2312" w:cs="宋体"/>
          <w:sz w:val="32"/>
          <w:szCs w:val="32"/>
          <w:lang w:bidi="ar"/>
        </w:rPr>
        <w:t>良好条件，全面推进</w:t>
      </w:r>
      <w:r>
        <w:rPr>
          <w:rFonts w:hint="eastAsia" w:ascii="仿宋_GB2312" w:hAnsi="仿宋" w:eastAsia="仿宋_GB2312" w:cs="宋体"/>
          <w:sz w:val="32"/>
          <w:szCs w:val="32"/>
          <w:lang w:eastAsia="zh-CN" w:bidi="ar"/>
        </w:rPr>
        <w:t>国家通用语言教育</w:t>
      </w:r>
      <w:r>
        <w:rPr>
          <w:rFonts w:ascii="仿宋_GB2312" w:hAnsi="仿宋" w:eastAsia="仿宋_GB2312" w:cs="宋体"/>
          <w:sz w:val="32"/>
          <w:szCs w:val="32"/>
          <w:lang w:bidi="ar"/>
        </w:rPr>
        <w:t>、全面提升教育质量</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全面</w:t>
      </w:r>
      <w:r>
        <w:rPr>
          <w:rFonts w:hint="eastAsia" w:ascii="仿宋_GB2312" w:hAnsi="仿宋" w:eastAsia="仿宋_GB2312" w:cs="宋体"/>
          <w:sz w:val="32"/>
          <w:szCs w:val="32"/>
          <w:lang w:bidi="ar"/>
        </w:rPr>
        <w:t>实现</w:t>
      </w:r>
      <w:r>
        <w:rPr>
          <w:rFonts w:ascii="仿宋_GB2312" w:hAnsi="仿宋" w:eastAsia="仿宋_GB2312" w:cs="宋体"/>
          <w:sz w:val="32"/>
          <w:szCs w:val="32"/>
          <w:lang w:bidi="ar"/>
        </w:rPr>
        <w:t>均衡发展，努力办好让党和政府放心、让人民群众满意的教育，努力</w:t>
      </w:r>
      <w:r>
        <w:rPr>
          <w:rFonts w:hint="eastAsia" w:ascii="仿宋_GB2312" w:hAnsi="仿宋" w:eastAsia="仿宋_GB2312" w:cs="宋体"/>
          <w:sz w:val="32"/>
          <w:szCs w:val="32"/>
          <w:lang w:bidi="ar"/>
        </w:rPr>
        <w:t>培养</w:t>
      </w:r>
      <w:r>
        <w:rPr>
          <w:rFonts w:ascii="仿宋_GB2312" w:hAnsi="仿宋" w:eastAsia="仿宋_GB2312" w:cs="宋体"/>
          <w:sz w:val="32"/>
          <w:szCs w:val="32"/>
          <w:lang w:bidi="ar"/>
        </w:rPr>
        <w:t>社会主义事业合格建设</w:t>
      </w:r>
      <w:r>
        <w:rPr>
          <w:rFonts w:hint="eastAsia" w:ascii="仿宋_GB2312" w:hAnsi="仿宋" w:eastAsia="仿宋_GB2312" w:cs="宋体"/>
          <w:sz w:val="32"/>
          <w:szCs w:val="32"/>
          <w:lang w:bidi="ar"/>
        </w:rPr>
        <w:t>者</w:t>
      </w:r>
      <w:r>
        <w:rPr>
          <w:rFonts w:ascii="仿宋_GB2312" w:hAnsi="仿宋" w:eastAsia="仿宋_GB2312" w:cs="宋体"/>
          <w:sz w:val="32"/>
          <w:szCs w:val="32"/>
          <w:lang w:bidi="ar"/>
        </w:rPr>
        <w:t>和可靠接班人。</w:t>
      </w:r>
    </w:p>
    <w:p>
      <w:pPr>
        <w:pStyle w:val="21"/>
        <w:numPr>
          <w:ilvl w:val="0"/>
          <w:numId w:val="3"/>
        </w:numPr>
        <w:spacing w:before="120"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before="120" w:beforeLines="50" w:line="600" w:lineRule="exact"/>
        <w:rPr>
          <w:rFonts w:ascii="仿宋_GB2312" w:hAnsi="仿宋" w:eastAsia="仿宋_GB2312" w:cs="宋体"/>
          <w:sz w:val="32"/>
          <w:szCs w:val="32"/>
          <w:lang w:bidi="ar"/>
        </w:rPr>
      </w:pPr>
      <w:r>
        <w:rPr>
          <w:rFonts w:hint="eastAsia" w:ascii="仿宋_GB2312" w:hAnsi="仿宋" w:eastAsia="仿宋_GB2312" w:cs="宋体"/>
          <w:sz w:val="32"/>
          <w:szCs w:val="32"/>
          <w:lang w:bidi="ar"/>
        </w:rPr>
        <w:t xml:space="preserve"> </w:t>
      </w:r>
      <w:r>
        <w:rPr>
          <w:rFonts w:ascii="仿宋_GB2312" w:hAnsi="仿宋" w:eastAsia="仿宋_GB2312" w:cs="宋体"/>
          <w:sz w:val="32"/>
          <w:szCs w:val="32"/>
          <w:lang w:bidi="ar"/>
        </w:rPr>
        <w:t xml:space="preserve">   </w:t>
      </w:r>
      <w:r>
        <w:rPr>
          <w:rFonts w:hint="eastAsia" w:ascii="仿宋_GB2312" w:hAnsi="仿宋" w:eastAsia="仿宋_GB2312" w:cs="宋体"/>
          <w:sz w:val="32"/>
          <w:szCs w:val="32"/>
          <w:lang w:bidi="ar"/>
        </w:rPr>
        <w:t>项目的主要内容为：</w:t>
      </w:r>
      <w:r>
        <w:rPr>
          <w:rFonts w:hint="eastAsia" w:ascii="仿宋_GB2312" w:hAnsi="仿宋_GB2312" w:eastAsia="仿宋_GB2312" w:cs="仿宋_GB2312"/>
          <w:sz w:val="32"/>
          <w:szCs w:val="32"/>
        </w:rPr>
        <w:t>该项资金主要用于支付支付学前教育公用经费、取暖费和幼儿保育员、厨师工资，幼儿</w:t>
      </w:r>
      <w:r>
        <w:rPr>
          <w:rFonts w:hint="eastAsia" w:ascii="仿宋_GB2312" w:hAnsi="仿宋_GB2312" w:eastAsia="仿宋_GB2312" w:cs="仿宋_GB2312"/>
          <w:sz w:val="32"/>
          <w:szCs w:val="32"/>
          <w:lang w:eastAsia="zh-CN"/>
        </w:rPr>
        <w:t>伙食补助费</w:t>
      </w:r>
      <w:r>
        <w:rPr>
          <w:rFonts w:hint="eastAsia" w:ascii="仿宋_GB2312" w:hAnsi="仿宋_GB2312" w:eastAsia="仿宋_GB2312" w:cs="仿宋_GB2312"/>
          <w:sz w:val="32"/>
          <w:szCs w:val="32"/>
        </w:rPr>
        <w:t>补助等费用，涉及39个学校建档立卡贫困户14492户，改善了学生的伙食生活。增加贫困户收入，激发贫困户增收的信心</w:t>
      </w:r>
      <w:r>
        <w:rPr>
          <w:rFonts w:ascii="仿宋_GB2312" w:hAnsi="仿宋" w:eastAsia="仿宋_GB2312" w:cs="宋体"/>
          <w:sz w:val="32"/>
          <w:szCs w:val="32"/>
          <w:lang w:bidi="ar"/>
        </w:rPr>
        <w:t>。</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项目的实施情况：</w:t>
      </w:r>
    </w:p>
    <w:p>
      <w:pPr>
        <w:keepNext w:val="0"/>
        <w:keepLines w:val="0"/>
        <w:pageBreakBefore w:val="0"/>
        <w:widowControl w:val="0"/>
        <w:tabs>
          <w:tab w:val="right" w:pos="7706"/>
        </w:tabs>
        <w:kinsoku/>
        <w:wordWrap/>
        <w:overflowPunct/>
        <w:topLinePunct w:val="0"/>
        <w:autoSpaceDE/>
        <w:autoSpaceDN/>
        <w:bidi w:val="0"/>
        <w:spacing w:line="560" w:lineRule="exact"/>
        <w:ind w:left="0" w:leftChars="0" w:firstLine="643" w:firstLineChars="200"/>
        <w:textAlignment w:val="auto"/>
        <w:outlineLvl w:val="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（一）前期准备。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1、整理项目全过程资料建档：立项依据、资金及项目批复文件、绩效目标申报表、可行性研究报告、实施方案、（招标文件）绩效目标过程</w:t>
      </w:r>
      <w:r>
        <w:rPr>
          <w:rFonts w:hint="eastAsia" w:ascii="仿宋_GB2312" w:hAnsi="仿宋_GB2312" w:eastAsia="仿宋_GB2312" w:cs="仿宋_GB2312"/>
          <w:sz w:val="32"/>
          <w:szCs w:val="32"/>
          <w:lang w:eastAsia="zh-CN"/>
        </w:rPr>
        <w:t>记录</w:t>
      </w:r>
      <w:r>
        <w:rPr>
          <w:rFonts w:hint="eastAsia" w:ascii="仿宋_GB2312" w:hAnsi="仿宋_GB2312" w:eastAsia="仿宋_GB2312" w:cs="仿宋_GB2312"/>
          <w:sz w:val="32"/>
          <w:szCs w:val="32"/>
        </w:rPr>
        <w:t>表、验收报告（或决算）、满意度调查问卷。作为评价基础资料。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2、由本单位（实施单位）绩效分管领导、项目负责人、财务负责人等人员组成评价组。</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由叶城县教育局局长努尔买买提·</w:t>
      </w:r>
      <w:r>
        <w:rPr>
          <w:rFonts w:ascii="仿宋_GB2312" w:hAnsi="仿宋" w:eastAsia="仿宋_GB2312" w:cs="宋体"/>
          <w:sz w:val="32"/>
          <w:szCs w:val="32"/>
          <w:lang w:bidi="ar"/>
        </w:rPr>
        <w:t>阿不来提任</w:t>
      </w:r>
      <w:r>
        <w:rPr>
          <w:rFonts w:hint="eastAsia" w:ascii="仿宋_GB2312" w:hAnsi="仿宋" w:eastAsia="仿宋_GB2312" w:cs="宋体"/>
          <w:sz w:val="32"/>
          <w:szCs w:val="32"/>
          <w:lang w:bidi="ar"/>
        </w:rPr>
        <w:t>组长</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分管</w:t>
      </w:r>
      <w:r>
        <w:rPr>
          <w:rFonts w:ascii="仿宋_GB2312" w:hAnsi="仿宋" w:eastAsia="仿宋_GB2312" w:cs="宋体"/>
          <w:sz w:val="32"/>
          <w:szCs w:val="32"/>
          <w:lang w:bidi="ar"/>
        </w:rPr>
        <w:t>财务副局长李建中</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代建主任蔡天龙任副组长，</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办、财务室</w:t>
      </w:r>
      <w:r>
        <w:rPr>
          <w:rFonts w:hint="eastAsia" w:ascii="仿宋_GB2312" w:hAnsi="仿宋" w:eastAsia="仿宋_GB2312" w:cs="宋体"/>
          <w:sz w:val="32"/>
          <w:szCs w:val="32"/>
          <w:lang w:bidi="ar"/>
        </w:rPr>
        <w:t>干部</w:t>
      </w:r>
      <w:r>
        <w:rPr>
          <w:rFonts w:ascii="仿宋_GB2312" w:hAnsi="仿宋" w:eastAsia="仿宋_GB2312" w:cs="宋体"/>
          <w:sz w:val="32"/>
          <w:szCs w:val="32"/>
          <w:lang w:bidi="ar"/>
        </w:rPr>
        <w:t>为成员的</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领导小组。</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明确了责任分工</w:t>
      </w:r>
      <w:r>
        <w:rPr>
          <w:rFonts w:ascii="仿宋_GB2312" w:hAnsi="仿宋" w:eastAsia="仿宋_GB2312" w:cs="宋体"/>
          <w:sz w:val="32"/>
          <w:szCs w:val="32"/>
          <w:lang w:bidi="ar"/>
        </w:rPr>
        <w:t>：</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组长</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努尔买买提·</w:t>
      </w:r>
      <w:r>
        <w:rPr>
          <w:rFonts w:ascii="仿宋_GB2312" w:hAnsi="仿宋" w:eastAsia="仿宋_GB2312" w:cs="宋体"/>
          <w:sz w:val="32"/>
          <w:szCs w:val="32"/>
          <w:lang w:bidi="ar"/>
        </w:rPr>
        <w:t>阿不来提</w:t>
      </w:r>
      <w:r>
        <w:rPr>
          <w:rFonts w:hint="eastAsia" w:ascii="仿宋_GB2312" w:hAnsi="仿宋" w:eastAsia="仿宋_GB2312" w:cs="宋体"/>
          <w:sz w:val="32"/>
          <w:szCs w:val="32"/>
          <w:lang w:bidi="ar"/>
        </w:rPr>
        <w:t>（教育局</w:t>
      </w:r>
      <w:r>
        <w:rPr>
          <w:rFonts w:ascii="仿宋_GB2312" w:hAnsi="仿宋" w:eastAsia="仿宋_GB2312" w:cs="宋体"/>
          <w:sz w:val="32"/>
          <w:szCs w:val="32"/>
          <w:lang w:bidi="ar"/>
        </w:rPr>
        <w:t>局长）</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职责</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负责</w:t>
      </w:r>
      <w:r>
        <w:rPr>
          <w:rFonts w:ascii="仿宋_GB2312" w:hAnsi="仿宋" w:eastAsia="仿宋_GB2312" w:cs="宋体"/>
          <w:sz w:val="32"/>
          <w:szCs w:val="32"/>
          <w:lang w:bidi="ar"/>
        </w:rPr>
        <w:t>项目</w:t>
      </w:r>
      <w:r>
        <w:rPr>
          <w:rFonts w:hint="eastAsia" w:ascii="仿宋_GB2312" w:hAnsi="仿宋" w:eastAsia="仿宋_GB2312" w:cs="宋体"/>
          <w:sz w:val="32"/>
          <w:szCs w:val="32"/>
          <w:lang w:bidi="ar"/>
        </w:rPr>
        <w:t>全过程</w:t>
      </w:r>
      <w:r>
        <w:rPr>
          <w:rFonts w:ascii="仿宋_GB2312" w:hAnsi="仿宋" w:eastAsia="仿宋_GB2312" w:cs="宋体"/>
          <w:sz w:val="32"/>
          <w:szCs w:val="32"/>
          <w:lang w:bidi="ar"/>
        </w:rPr>
        <w:t>实施</w:t>
      </w:r>
      <w:r>
        <w:rPr>
          <w:rFonts w:hint="eastAsia" w:ascii="仿宋_GB2312" w:hAnsi="仿宋" w:eastAsia="仿宋_GB2312" w:cs="宋体"/>
          <w:sz w:val="32"/>
          <w:szCs w:val="32"/>
          <w:lang w:bidi="ar"/>
        </w:rPr>
        <w:t>，统筹</w:t>
      </w:r>
      <w:r>
        <w:rPr>
          <w:rFonts w:ascii="仿宋_GB2312" w:hAnsi="仿宋" w:eastAsia="仿宋_GB2312" w:cs="宋体"/>
          <w:sz w:val="32"/>
          <w:szCs w:val="32"/>
          <w:lang w:bidi="ar"/>
        </w:rPr>
        <w:t>协调</w:t>
      </w:r>
      <w:r>
        <w:rPr>
          <w:rFonts w:hint="eastAsia" w:ascii="仿宋_GB2312" w:hAnsi="仿宋" w:eastAsia="仿宋_GB2312" w:cs="宋体"/>
          <w:sz w:val="32"/>
          <w:szCs w:val="32"/>
          <w:lang w:bidi="ar"/>
        </w:rPr>
        <w:t>县委</w:t>
      </w:r>
      <w:r>
        <w:rPr>
          <w:rFonts w:hint="eastAsia" w:ascii="仿宋_GB2312" w:hAnsi="仿宋" w:eastAsia="仿宋_GB2312" w:cs="宋体"/>
          <w:sz w:val="32"/>
          <w:szCs w:val="32"/>
          <w:lang w:eastAsia="zh-CN" w:bidi="ar"/>
        </w:rPr>
        <w:t>县</w:t>
      </w:r>
      <w:r>
        <w:rPr>
          <w:rFonts w:ascii="仿宋_GB2312" w:hAnsi="仿宋" w:eastAsia="仿宋_GB2312" w:cs="宋体"/>
          <w:sz w:val="32"/>
          <w:szCs w:val="32"/>
          <w:lang w:bidi="ar"/>
        </w:rPr>
        <w:t>政府等相关责任部门</w:t>
      </w:r>
      <w:r>
        <w:rPr>
          <w:rFonts w:hint="eastAsia" w:ascii="仿宋_GB2312" w:hAnsi="仿宋" w:eastAsia="仿宋_GB2312" w:cs="宋体"/>
          <w:sz w:val="32"/>
          <w:szCs w:val="32"/>
          <w:lang w:bidi="ar"/>
        </w:rPr>
        <w:t>针对本项目</w:t>
      </w:r>
      <w:r>
        <w:rPr>
          <w:rFonts w:ascii="仿宋_GB2312" w:hAnsi="仿宋" w:eastAsia="仿宋_GB2312" w:cs="宋体"/>
          <w:sz w:val="32"/>
          <w:szCs w:val="32"/>
          <w:lang w:bidi="ar"/>
        </w:rPr>
        <w:t>推进过程中的问题和困难，</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副</w:t>
      </w:r>
      <w:r>
        <w:rPr>
          <w:rFonts w:ascii="仿宋_GB2312" w:hAnsi="仿宋" w:eastAsia="仿宋_GB2312" w:cs="宋体"/>
          <w:sz w:val="32"/>
          <w:szCs w:val="32"/>
          <w:lang w:bidi="ar"/>
        </w:rPr>
        <w:t>组长：李建中（</w:t>
      </w:r>
      <w:r>
        <w:rPr>
          <w:rFonts w:hint="eastAsia" w:ascii="仿宋_GB2312" w:hAnsi="仿宋" w:eastAsia="仿宋_GB2312" w:cs="宋体"/>
          <w:sz w:val="32"/>
          <w:szCs w:val="32"/>
          <w:lang w:bidi="ar"/>
        </w:rPr>
        <w:t>教育局</w:t>
      </w:r>
      <w:r>
        <w:rPr>
          <w:rFonts w:ascii="仿宋_GB2312" w:hAnsi="仿宋" w:eastAsia="仿宋_GB2312" w:cs="宋体"/>
          <w:sz w:val="32"/>
          <w:szCs w:val="32"/>
          <w:lang w:bidi="ar"/>
        </w:rPr>
        <w:t>副局长）</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副组长</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蔡</w:t>
      </w:r>
      <w:r>
        <w:rPr>
          <w:rFonts w:ascii="仿宋_GB2312" w:hAnsi="仿宋" w:eastAsia="仿宋_GB2312" w:cs="宋体"/>
          <w:sz w:val="32"/>
          <w:szCs w:val="32"/>
          <w:lang w:bidi="ar"/>
        </w:rPr>
        <w:t>天龙（</w:t>
      </w:r>
      <w:r>
        <w:rPr>
          <w:rFonts w:hint="eastAsia" w:ascii="仿宋_GB2312" w:hAnsi="仿宋" w:eastAsia="仿宋_GB2312" w:cs="宋体"/>
          <w:sz w:val="32"/>
          <w:szCs w:val="32"/>
          <w:lang w:bidi="ar"/>
        </w:rPr>
        <w:t>代建</w:t>
      </w:r>
      <w:r>
        <w:rPr>
          <w:rFonts w:ascii="仿宋_GB2312" w:hAnsi="仿宋" w:eastAsia="仿宋_GB2312" w:cs="宋体"/>
          <w:sz w:val="32"/>
          <w:szCs w:val="32"/>
          <w:lang w:bidi="ar"/>
        </w:rPr>
        <w:t>主任）</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成员：翟</w:t>
      </w:r>
      <w:r>
        <w:rPr>
          <w:rFonts w:ascii="仿宋_GB2312" w:hAnsi="仿宋" w:eastAsia="仿宋_GB2312" w:cs="宋体"/>
          <w:sz w:val="32"/>
          <w:szCs w:val="32"/>
          <w:lang w:bidi="ar"/>
        </w:rPr>
        <w:t>百超（</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办干部）</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成员：陈</w:t>
      </w:r>
      <w:r>
        <w:rPr>
          <w:rFonts w:ascii="仿宋_GB2312" w:hAnsi="仿宋" w:eastAsia="仿宋_GB2312" w:cs="宋体"/>
          <w:sz w:val="32"/>
          <w:szCs w:val="32"/>
          <w:lang w:bidi="ar"/>
        </w:rPr>
        <w:t>敏</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办干部）</w:t>
      </w:r>
    </w:p>
    <w:p>
      <w:pPr>
        <w:spacing w:before="120" w:beforeLines="50" w:line="600" w:lineRule="exact"/>
        <w:ind w:firstLine="645"/>
        <w:rPr>
          <w:rFonts w:hint="eastAsia" w:ascii="仿宋_GB2312" w:hAnsi="仿宋_GB2312" w:eastAsia="仿宋_GB2312" w:cs="仿宋_GB2312"/>
          <w:sz w:val="32"/>
          <w:szCs w:val="32"/>
        </w:rPr>
      </w:pPr>
      <w:r>
        <w:rPr>
          <w:rFonts w:hint="eastAsia" w:ascii="仿宋_GB2312" w:hAnsi="仿宋" w:eastAsia="仿宋_GB2312" w:cs="宋体"/>
          <w:sz w:val="32"/>
          <w:szCs w:val="32"/>
          <w:lang w:bidi="ar"/>
        </w:rPr>
        <w:t>成员</w:t>
      </w:r>
      <w:r>
        <w:rPr>
          <w:rFonts w:ascii="仿宋_GB2312" w:hAnsi="仿宋" w:eastAsia="仿宋_GB2312" w:cs="宋体"/>
          <w:sz w:val="32"/>
          <w:szCs w:val="32"/>
          <w:lang w:bidi="ar"/>
        </w:rPr>
        <w:t>：张良（</w:t>
      </w:r>
      <w:r>
        <w:rPr>
          <w:rFonts w:hint="eastAsia" w:ascii="仿宋_GB2312" w:hAnsi="仿宋" w:eastAsia="仿宋_GB2312" w:cs="宋体"/>
          <w:sz w:val="32"/>
          <w:szCs w:val="32"/>
          <w:lang w:bidi="ar"/>
        </w:rPr>
        <w:t>项目财务室会计</w:t>
      </w:r>
      <w:r>
        <w:rPr>
          <w:rFonts w:ascii="仿宋_GB2312" w:hAnsi="仿宋" w:eastAsia="仿宋_GB2312" w:cs="宋体"/>
          <w:sz w:val="32"/>
          <w:szCs w:val="32"/>
          <w:lang w:bidi="ar"/>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3、评级工作组采取“年初绩效目标预定与实施效果比较法”进行评价，评价指标体系以绩效目标申报指</w:t>
      </w:r>
      <w:bookmarkStart w:id="8" w:name="_GoBack"/>
      <w:bookmarkEnd w:id="8"/>
      <w:r>
        <w:rPr>
          <w:rFonts w:hint="eastAsia" w:ascii="仿宋_GB2312" w:hAnsi="仿宋_GB2312" w:eastAsia="仿宋_GB2312" w:cs="仿宋_GB2312"/>
          <w:sz w:val="32"/>
          <w:szCs w:val="32"/>
        </w:rPr>
        <w:t>标为依据。</w:t>
      </w:r>
    </w:p>
    <w:p>
      <w:pPr>
        <w:keepNext w:val="0"/>
        <w:keepLines w:val="0"/>
        <w:pageBreakBefore w:val="0"/>
        <w:widowControl w:val="0"/>
        <w:tabs>
          <w:tab w:val="right" w:pos="7706"/>
        </w:tabs>
        <w:kinsoku/>
        <w:wordWrap/>
        <w:overflowPunct/>
        <w:topLinePunct w:val="0"/>
        <w:autoSpaceDE/>
        <w:autoSpaceDN/>
        <w:bidi w:val="0"/>
        <w:spacing w:line="560" w:lineRule="exact"/>
        <w:ind w:left="0" w:leftChars="0" w:firstLine="643" w:firstLineChars="200"/>
        <w:textAlignment w:val="auto"/>
        <w:outlineLvl w:val="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（二）组织过程。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1、采取现场和非现场评价相结合的方式实施评价，核查核实评价基础资料，对缺少的资料要求实施单位补充，对由资金下发不及时和跨年度等原因导致未完成项目，提供相关说明和批复文件。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2、记录工作底稿并经项目负责人和经办人签字确认。需要调查问卷的，发放调查问卷开展满意度调查工作。</w:t>
      </w:r>
    </w:p>
    <w:p>
      <w:pPr>
        <w:keepNext w:val="0"/>
        <w:keepLines w:val="0"/>
        <w:pageBreakBefore w:val="0"/>
        <w:widowControl w:val="0"/>
        <w:tabs>
          <w:tab w:val="right" w:pos="7706"/>
        </w:tabs>
        <w:kinsoku/>
        <w:wordWrap/>
        <w:overflowPunct/>
        <w:topLinePunct w:val="0"/>
        <w:autoSpaceDE/>
        <w:autoSpaceDN/>
        <w:bidi w:val="0"/>
        <w:spacing w:line="560" w:lineRule="exact"/>
        <w:ind w:left="0" w:leftChars="0" w:firstLine="643" w:firstLineChars="200"/>
        <w:textAlignment w:val="auto"/>
        <w:outlineLvl w:val="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（三）分析评价。</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_GB2312" w:eastAsia="仿宋_GB2312" w:cs="仿宋_GB2312"/>
          <w:sz w:val="32"/>
          <w:szCs w:val="32"/>
        </w:rPr>
        <w:t>对采集的数据资料进行复核汇总、分类整理和综合分析，按照设立的评价指标、标准、权重、方法实施评价，并形成评价结论。</w:t>
      </w:r>
    </w:p>
    <w:p>
      <w:pPr>
        <w:spacing w:before="120" w:beforeLines="50" w:line="600" w:lineRule="exact"/>
        <w:ind w:firstLine="645"/>
        <w:rPr>
          <w:rFonts w:ascii="仿宋_GB2312" w:hAnsi="仿宋" w:eastAsia="仿宋_GB2312" w:cs="宋体"/>
          <w:color w:val="FF0000"/>
          <w:sz w:val="32"/>
          <w:szCs w:val="32"/>
          <w:lang w:bidi="ar"/>
        </w:rPr>
      </w:pPr>
      <w:r>
        <w:rPr>
          <w:rFonts w:hint="eastAsia" w:ascii="仿宋_GB2312" w:hAnsi="仿宋" w:eastAsia="仿宋_GB2312" w:cs="宋体"/>
          <w:sz w:val="32"/>
          <w:szCs w:val="32"/>
          <w:lang w:val="en-US" w:eastAsia="zh-CN" w:bidi="ar"/>
        </w:rPr>
        <w:t>3.项目负责人为：</w:t>
      </w:r>
      <w:r>
        <w:rPr>
          <w:rFonts w:ascii="仿宋_GB2312" w:hAnsi="仿宋" w:eastAsia="仿宋_GB2312" w:cs="宋体"/>
          <w:sz w:val="32"/>
          <w:szCs w:val="32"/>
          <w:lang w:bidi="ar"/>
        </w:rPr>
        <w:t>李建中</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职责</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具体负责</w:t>
      </w:r>
      <w:r>
        <w:rPr>
          <w:rFonts w:ascii="仿宋_GB2312" w:hAnsi="仿宋" w:eastAsia="仿宋_GB2312" w:cs="宋体"/>
          <w:sz w:val="32"/>
          <w:szCs w:val="32"/>
          <w:lang w:bidi="ar"/>
        </w:rPr>
        <w:t>项目</w:t>
      </w:r>
      <w:r>
        <w:rPr>
          <w:rFonts w:hint="eastAsia" w:ascii="仿宋_GB2312" w:hAnsi="仿宋" w:eastAsia="仿宋_GB2312" w:cs="宋体"/>
          <w:sz w:val="32"/>
          <w:szCs w:val="32"/>
          <w:lang w:bidi="ar"/>
        </w:rPr>
        <w:t>全部</w:t>
      </w:r>
      <w:r>
        <w:rPr>
          <w:rFonts w:ascii="仿宋_GB2312" w:hAnsi="仿宋" w:eastAsia="仿宋_GB2312" w:cs="宋体"/>
          <w:sz w:val="32"/>
          <w:szCs w:val="32"/>
          <w:lang w:bidi="ar"/>
        </w:rPr>
        <w:t>前期编制</w:t>
      </w:r>
      <w:r>
        <w:rPr>
          <w:rFonts w:hint="eastAsia" w:ascii="仿宋_GB2312" w:hAnsi="仿宋" w:eastAsia="仿宋_GB2312" w:cs="宋体"/>
          <w:sz w:val="32"/>
          <w:szCs w:val="32"/>
          <w:lang w:bidi="ar"/>
        </w:rPr>
        <w:t>及</w:t>
      </w:r>
      <w:r>
        <w:rPr>
          <w:rFonts w:ascii="仿宋_GB2312" w:hAnsi="仿宋" w:eastAsia="仿宋_GB2312" w:cs="宋体"/>
          <w:sz w:val="32"/>
          <w:szCs w:val="32"/>
          <w:lang w:bidi="ar"/>
        </w:rPr>
        <w:t>实施</w:t>
      </w:r>
      <w:r>
        <w:rPr>
          <w:rFonts w:hint="eastAsia" w:ascii="仿宋_GB2312" w:hAnsi="仿宋" w:eastAsia="仿宋_GB2312" w:cs="宋体"/>
          <w:sz w:val="32"/>
          <w:szCs w:val="32"/>
          <w:lang w:bidi="ar"/>
        </w:rPr>
        <w:t>工作</w:t>
      </w:r>
      <w:r>
        <w:rPr>
          <w:rFonts w:ascii="仿宋_GB2312" w:hAnsi="仿宋" w:eastAsia="仿宋_GB2312" w:cs="宋体"/>
          <w:sz w:val="32"/>
          <w:szCs w:val="32"/>
          <w:lang w:bidi="ar"/>
        </w:rPr>
        <w:t>。</w:t>
      </w:r>
    </w:p>
    <w:p>
      <w:pPr>
        <w:pStyle w:val="27"/>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1.项目资金到位情况分析。</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根据本年喀地财教【2018】152号、喀地财教【2019】3号、喀地财教【2019】98号文件要求，学前教育保障经费项目资金</w:t>
      </w:r>
      <w:r>
        <w:rPr>
          <w:rFonts w:hint="eastAsia" w:ascii="仿宋_GB2312" w:hAnsi="仿宋" w:eastAsia="仿宋_GB2312" w:cs="宋体"/>
          <w:sz w:val="32"/>
          <w:szCs w:val="32"/>
          <w:lang w:val="en-US" w:eastAsia="zh-CN" w:bidi="ar"/>
        </w:rPr>
        <w:t>14795.36</w:t>
      </w:r>
      <w:r>
        <w:rPr>
          <w:rFonts w:hint="eastAsia" w:ascii="仿宋_GB2312" w:hAnsi="仿宋" w:eastAsia="仿宋_GB2312" w:cs="宋体"/>
          <w:sz w:val="32"/>
          <w:szCs w:val="32"/>
          <w:lang w:bidi="ar"/>
        </w:rPr>
        <w:t>万元，到位资金</w:t>
      </w:r>
      <w:r>
        <w:rPr>
          <w:rFonts w:hint="eastAsia" w:ascii="仿宋_GB2312" w:hAnsi="仿宋" w:eastAsia="仿宋_GB2312" w:cs="宋体"/>
          <w:sz w:val="32"/>
          <w:szCs w:val="32"/>
          <w:lang w:val="en-US" w:eastAsia="zh-CN" w:bidi="ar"/>
        </w:rPr>
        <w:t>14795.36</w:t>
      </w:r>
      <w:r>
        <w:rPr>
          <w:rFonts w:hint="eastAsia" w:ascii="仿宋_GB2312" w:hAnsi="仿宋" w:eastAsia="仿宋_GB2312" w:cs="宋体"/>
          <w:sz w:val="32"/>
          <w:szCs w:val="32"/>
          <w:lang w:bidi="ar"/>
        </w:rPr>
        <w:t>万元；资金到位率100%。项目资金执行情况分析。</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根据本年喀地财教【2018】152号、喀地财教【2019】3号、喀地财教【2019】98号文件要求，本项目总资金</w:t>
      </w:r>
      <w:r>
        <w:rPr>
          <w:rFonts w:hint="eastAsia" w:ascii="仿宋_GB2312" w:hAnsi="仿宋" w:eastAsia="仿宋_GB2312" w:cs="宋体"/>
          <w:sz w:val="32"/>
          <w:szCs w:val="32"/>
          <w:lang w:val="en-US" w:eastAsia="zh-CN" w:bidi="ar"/>
        </w:rPr>
        <w:t>14795.36</w:t>
      </w:r>
      <w:r>
        <w:rPr>
          <w:rFonts w:hint="eastAsia" w:ascii="仿宋_GB2312" w:hAnsi="仿宋" w:eastAsia="仿宋_GB2312" w:cs="宋体"/>
          <w:sz w:val="32"/>
          <w:szCs w:val="32"/>
          <w:lang w:bidi="ar"/>
        </w:rPr>
        <w:t>万元，实际支付资金</w:t>
      </w:r>
      <w:r>
        <w:rPr>
          <w:rFonts w:hint="eastAsia" w:ascii="仿宋_GB2312" w:hAnsi="仿宋" w:eastAsia="仿宋_GB2312" w:cs="宋体"/>
          <w:sz w:val="32"/>
          <w:szCs w:val="32"/>
          <w:lang w:val="en-US" w:eastAsia="zh-CN" w:bidi="ar"/>
        </w:rPr>
        <w:t>14795.36</w:t>
      </w:r>
      <w:r>
        <w:rPr>
          <w:rFonts w:hint="eastAsia" w:ascii="仿宋_GB2312" w:hAnsi="仿宋" w:eastAsia="仿宋_GB2312" w:cs="宋体"/>
          <w:sz w:val="32"/>
          <w:szCs w:val="32"/>
          <w:lang w:bidi="ar"/>
        </w:rPr>
        <w:t>万元，预算执行率</w:t>
      </w:r>
      <w:r>
        <w:rPr>
          <w:rFonts w:hint="eastAsia" w:ascii="仿宋_GB2312" w:hAnsi="仿宋" w:eastAsia="仿宋_GB2312" w:cs="宋体"/>
          <w:sz w:val="32"/>
          <w:szCs w:val="32"/>
          <w:lang w:val="en-US" w:eastAsia="zh-CN" w:bidi="ar"/>
        </w:rPr>
        <w:t>100</w:t>
      </w:r>
      <w:r>
        <w:rPr>
          <w:rFonts w:hint="eastAsia" w:ascii="仿宋_GB2312" w:hAnsi="仿宋" w:eastAsia="仿宋_GB2312" w:cs="宋体"/>
          <w:sz w:val="32"/>
          <w:szCs w:val="32"/>
          <w:lang w:bidi="ar"/>
        </w:rPr>
        <w:t>%。项目资金主要用于支付支付学前教育公用经费、取暖费和幼儿保育员、厨师工资，幼儿</w:t>
      </w:r>
      <w:r>
        <w:rPr>
          <w:rFonts w:hint="eastAsia" w:ascii="仿宋_GB2312" w:hAnsi="仿宋" w:eastAsia="仿宋_GB2312" w:cs="宋体"/>
          <w:sz w:val="32"/>
          <w:szCs w:val="32"/>
          <w:lang w:eastAsia="zh-CN" w:bidi="ar"/>
        </w:rPr>
        <w:t>伙食补助费</w:t>
      </w:r>
      <w:r>
        <w:rPr>
          <w:rFonts w:hint="eastAsia" w:ascii="仿宋_GB2312" w:hAnsi="仿宋" w:eastAsia="仿宋_GB2312" w:cs="宋体"/>
          <w:sz w:val="32"/>
          <w:szCs w:val="32"/>
          <w:lang w:bidi="ar"/>
        </w:rPr>
        <w:t>补助等费用支付</w:t>
      </w:r>
      <w:r>
        <w:rPr>
          <w:rFonts w:hint="eastAsia" w:ascii="仿宋_GB2312" w:hAnsi="仿宋" w:eastAsia="仿宋_GB2312" w:cs="宋体"/>
          <w:sz w:val="32"/>
          <w:szCs w:val="32"/>
          <w:lang w:val="en-US" w:eastAsia="zh-CN" w:bidi="ar"/>
        </w:rPr>
        <w:t>14795.36</w:t>
      </w:r>
      <w:r>
        <w:rPr>
          <w:rFonts w:hint="eastAsia" w:ascii="仿宋_GB2312" w:hAnsi="仿宋" w:eastAsia="仿宋_GB2312" w:cs="宋体"/>
          <w:sz w:val="32"/>
          <w:szCs w:val="32"/>
          <w:lang w:bidi="ar"/>
        </w:rPr>
        <w:t>万元。</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根据中央、自治区和喀什地区项目资金管理办法的要求，教育局严格按照项目资金规定的专项资金支持的项目条件和范围要求，严格按照有关规定使用管理项目资金。</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项目资金管理情况分析。</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项目资金严格按照项目资金管理办法和地区财政资金管理制度支付资金；资金支付由本单位分管县领导、主管财务领导、县财政局等各级部门审批审核；资金的支付有完整的审批程序和手续符合制度要求；不存在截留、挤占、挪用、虚列支出等情况。</w:t>
      </w:r>
    </w:p>
    <w:p>
      <w:pPr>
        <w:pStyle w:val="27"/>
        <w:ind w:left="0" w:firstLine="643" w:firstLineChars="200"/>
        <w:rPr>
          <w:lang w:bidi="ar"/>
        </w:rPr>
      </w:pPr>
      <w:bookmarkStart w:id="2" w:name="_Toc26401551"/>
      <w:r>
        <w:rPr>
          <w:rFonts w:hint="eastAsia"/>
          <w:lang w:bidi="ar"/>
        </w:rPr>
        <w:t>绩效目标</w:t>
      </w:r>
      <w:bookmarkEnd w:id="2"/>
    </w:p>
    <w:p>
      <w:pPr>
        <w:pStyle w:val="3"/>
        <w:keepNext w:val="0"/>
        <w:keepLines w:val="0"/>
        <w:tabs>
          <w:tab w:val="left" w:pos="1063"/>
        </w:tabs>
        <w:autoSpaceDE w:val="0"/>
        <w:autoSpaceDN w:val="0"/>
        <w:spacing w:before="2" w:after="0" w:line="240" w:lineRule="auto"/>
        <w:ind w:firstLine="643" w:firstLineChars="200"/>
        <w:rPr>
          <w:rFonts w:ascii="仿宋_GB2312" w:hAnsi="仿宋" w:eastAsia="仿宋_GB2312" w:cs="宋体"/>
          <w:lang w:bidi="ar"/>
        </w:rPr>
      </w:pPr>
      <w:r>
        <w:rPr>
          <w:rFonts w:hint="eastAsia" w:ascii="仿宋_GB2312" w:hAnsi="仿宋" w:eastAsia="仿宋_GB2312" w:cs="宋体"/>
          <w:lang w:bidi="ar"/>
        </w:rPr>
        <w:t>1、总体目标</w:t>
      </w:r>
    </w:p>
    <w:p>
      <w:pPr>
        <w:spacing w:line="560" w:lineRule="exact"/>
        <w:ind w:firstLine="645"/>
        <w:jc w:val="left"/>
        <w:rPr>
          <w:rFonts w:hint="eastAsia"/>
        </w:rPr>
      </w:pPr>
      <w:r>
        <w:rPr>
          <w:rFonts w:hint="eastAsia" w:ascii="仿宋_GB2312" w:hAnsi="仿宋" w:eastAsia="仿宋_GB2312" w:cs="宋体"/>
          <w:sz w:val="32"/>
          <w:szCs w:val="32"/>
          <w:lang w:bidi="ar"/>
        </w:rPr>
        <w:t>学前教育经费基准定额为：1、学前教育保教经费每生每年1100元，2、学前教育</w:t>
      </w:r>
      <w:r>
        <w:rPr>
          <w:rFonts w:hint="eastAsia" w:ascii="仿宋_GB2312" w:hAnsi="仿宋" w:eastAsia="仿宋_GB2312" w:cs="宋体"/>
          <w:sz w:val="32"/>
          <w:szCs w:val="32"/>
          <w:lang w:eastAsia="zh-CN" w:bidi="ar"/>
        </w:rPr>
        <w:t>伙食补助费</w:t>
      </w:r>
      <w:r>
        <w:rPr>
          <w:rFonts w:hint="eastAsia" w:ascii="仿宋_GB2312" w:hAnsi="仿宋" w:eastAsia="仿宋_GB2312" w:cs="宋体"/>
          <w:sz w:val="32"/>
          <w:szCs w:val="32"/>
          <w:lang w:bidi="ar"/>
        </w:rPr>
        <w:t>每生每年1450元，3、学前教育采暖补贴每生每年120元。4，覆盖建档立卡贫困学生人数14492人。学前保障经费用于幼儿园教育教学公用经费和幼儿</w:t>
      </w:r>
      <w:r>
        <w:rPr>
          <w:rFonts w:hint="eastAsia" w:ascii="仿宋_GB2312" w:hAnsi="仿宋" w:eastAsia="仿宋_GB2312" w:cs="宋体"/>
          <w:sz w:val="32"/>
          <w:szCs w:val="32"/>
          <w:lang w:eastAsia="zh-CN" w:bidi="ar"/>
        </w:rPr>
        <w:t>伙食补助费</w:t>
      </w:r>
      <w:r>
        <w:rPr>
          <w:rFonts w:hint="eastAsia" w:ascii="仿宋_GB2312" w:hAnsi="仿宋" w:eastAsia="仿宋_GB2312" w:cs="宋体"/>
          <w:sz w:val="32"/>
          <w:szCs w:val="32"/>
          <w:lang w:bidi="ar"/>
        </w:rPr>
        <w:t>补助，达到正常开展教育教学，实现学前三年免费教育、保障幼儿身心健康发展的总目标</w:t>
      </w:r>
      <w:r>
        <w:rPr>
          <w:rFonts w:ascii="仿宋_GB2312" w:hAnsi="仿宋" w:eastAsia="仿宋_GB2312" w:cs="宋体"/>
          <w:sz w:val="32"/>
          <w:szCs w:val="32"/>
          <w:lang w:bidi="ar"/>
        </w:rPr>
        <w:t>。</w:t>
      </w:r>
    </w:p>
    <w:p>
      <w:pPr>
        <w:spacing w:line="560" w:lineRule="exact"/>
        <w:ind w:firstLine="640" w:firstLineChars="200"/>
        <w:jc w:val="left"/>
        <w:rPr>
          <w:rFonts w:ascii="仿宋_GB2312" w:hAnsi="仿宋" w:eastAsia="仿宋_GB2312" w:cs="宋体"/>
          <w:kern w:val="0"/>
          <w:sz w:val="32"/>
          <w:szCs w:val="32"/>
          <w:lang w:val="zh-CN" w:bidi="ar"/>
        </w:rPr>
      </w:pPr>
      <w:r>
        <w:rPr>
          <w:rFonts w:ascii="仿宋_GB2312" w:hAnsi="仿宋" w:eastAsia="仿宋_GB2312" w:cs="宋体"/>
          <w:kern w:val="0"/>
          <w:sz w:val="32"/>
          <w:szCs w:val="32"/>
          <w:lang w:val="zh-CN" w:bidi="ar"/>
        </w:rPr>
        <w:t>评价小组对项目绩效目标进行了进一步的完善，并与项目单位沟通确定后，设置了绩效目标如下：</w:t>
      </w:r>
    </w:p>
    <w:p>
      <w:pPr>
        <w:spacing w:line="560" w:lineRule="exact"/>
        <w:ind w:firstLine="320" w:firstLineChars="1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（1</w:t>
      </w:r>
      <w:r>
        <w:rPr>
          <w:rFonts w:ascii="仿宋_GB2312" w:hAnsi="仿宋" w:eastAsia="仿宋_GB2312" w:cs="宋体"/>
          <w:kern w:val="0"/>
          <w:sz w:val="32"/>
          <w:szCs w:val="32"/>
          <w:lang w:val="zh-CN" w:bidi="ar"/>
        </w:rPr>
        <w:t>）</w:t>
      </w:r>
      <w:r>
        <w:rPr>
          <w:rFonts w:hint="eastAsia" w:ascii="仿宋_GB2312" w:hAnsi="仿宋" w:eastAsia="仿宋_GB2312" w:cs="宋体"/>
          <w:kern w:val="0"/>
          <w:sz w:val="32"/>
          <w:szCs w:val="32"/>
          <w:lang w:val="zh-CN" w:bidi="ar"/>
        </w:rPr>
        <w:t>产出</w:t>
      </w:r>
      <w:r>
        <w:rPr>
          <w:rFonts w:ascii="仿宋_GB2312" w:hAnsi="仿宋" w:eastAsia="仿宋_GB2312" w:cs="宋体"/>
          <w:kern w:val="0"/>
          <w:sz w:val="32"/>
          <w:szCs w:val="32"/>
          <w:lang w:val="zh-CN" w:bidi="ar"/>
        </w:rPr>
        <w:t>目标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数量指标：</w:t>
      </w:r>
    </w:p>
    <w:p>
      <w:pPr>
        <w:spacing w:line="560" w:lineRule="exact"/>
        <w:ind w:firstLine="640" w:firstLineChars="200"/>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农村学前三年适龄幼儿人数（名）</w:t>
      </w:r>
      <w:r>
        <w:rPr>
          <w:rFonts w:hint="eastAsia" w:ascii="仿宋_GB2312" w:hAnsi="仿宋" w:eastAsia="仿宋_GB2312" w:cs="宋体"/>
          <w:kern w:val="0"/>
          <w:sz w:val="32"/>
          <w:szCs w:val="32"/>
          <w:lang w:val="zh-CN" w:bidi="ar"/>
        </w:rPr>
        <w:tab/>
      </w:r>
    </w:p>
    <w:p>
      <w:pPr>
        <w:spacing w:line="560" w:lineRule="exact"/>
        <w:ind w:firstLine="640" w:firstLineChars="200"/>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新增幼儿园（所）</w:t>
      </w:r>
      <w:r>
        <w:rPr>
          <w:rFonts w:hint="eastAsia" w:ascii="仿宋_GB2312" w:hAnsi="仿宋" w:eastAsia="仿宋_GB2312" w:cs="宋体"/>
          <w:kern w:val="0"/>
          <w:sz w:val="32"/>
          <w:szCs w:val="32"/>
          <w:lang w:val="zh-CN" w:bidi="ar"/>
        </w:rPr>
        <w:tab/>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质量指标：</w:t>
      </w:r>
    </w:p>
    <w:p>
      <w:pPr>
        <w:spacing w:line="560" w:lineRule="exact"/>
        <w:ind w:firstLine="640" w:firstLineChars="200"/>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学前三年毛入园率（%）</w:t>
      </w:r>
      <w:r>
        <w:rPr>
          <w:rFonts w:hint="eastAsia" w:ascii="仿宋_GB2312" w:hAnsi="仿宋" w:eastAsia="仿宋_GB2312" w:cs="宋体"/>
          <w:kern w:val="0"/>
          <w:sz w:val="32"/>
          <w:szCs w:val="32"/>
          <w:lang w:val="zh-CN" w:bidi="ar"/>
        </w:rPr>
        <w:tab/>
      </w:r>
    </w:p>
    <w:p>
      <w:pPr>
        <w:spacing w:line="560" w:lineRule="exact"/>
        <w:ind w:firstLine="640" w:firstLineChars="200"/>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农村学前保障覆盖率（%）</w:t>
      </w:r>
      <w:r>
        <w:rPr>
          <w:rFonts w:hint="eastAsia" w:ascii="仿宋_GB2312" w:hAnsi="仿宋" w:eastAsia="仿宋_GB2312" w:cs="宋体"/>
          <w:kern w:val="0"/>
          <w:sz w:val="32"/>
          <w:szCs w:val="32"/>
          <w:lang w:val="zh-CN" w:bidi="ar"/>
        </w:rPr>
        <w:tab/>
      </w:r>
    </w:p>
    <w:p>
      <w:pPr>
        <w:spacing w:line="560" w:lineRule="exact"/>
        <w:ind w:firstLine="640" w:firstLineChars="200"/>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资金到位率（%）</w:t>
      </w:r>
      <w:r>
        <w:rPr>
          <w:rFonts w:hint="eastAsia" w:ascii="仿宋_GB2312" w:hAnsi="仿宋" w:eastAsia="仿宋_GB2312" w:cs="宋体"/>
          <w:kern w:val="0"/>
          <w:sz w:val="32"/>
          <w:szCs w:val="32"/>
          <w:lang w:val="zh-CN" w:bidi="ar"/>
        </w:rPr>
        <w:tab/>
      </w:r>
    </w:p>
    <w:p>
      <w:pPr>
        <w:spacing w:line="560" w:lineRule="exact"/>
        <w:ind w:firstLine="640" w:firstLineChars="200"/>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资助家庭经济困难幼儿入园率（%）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时效</w:t>
      </w:r>
      <w:r>
        <w:rPr>
          <w:rFonts w:ascii="仿宋_GB2312" w:hAnsi="仿宋" w:eastAsia="仿宋_GB2312" w:cs="宋体"/>
          <w:kern w:val="0"/>
          <w:sz w:val="32"/>
          <w:szCs w:val="32"/>
          <w:lang w:val="zh-CN" w:bidi="ar"/>
        </w:rPr>
        <w:t>指标：</w:t>
      </w:r>
    </w:p>
    <w:p>
      <w:pPr>
        <w:spacing w:line="560" w:lineRule="exact"/>
        <w:ind w:firstLine="645"/>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资金及时拨付率（%）</w:t>
      </w:r>
      <w:r>
        <w:rPr>
          <w:rFonts w:hint="eastAsia" w:ascii="仿宋_GB2312" w:hAnsi="仿宋" w:eastAsia="仿宋_GB2312" w:cs="宋体"/>
          <w:kern w:val="0"/>
          <w:sz w:val="32"/>
          <w:szCs w:val="32"/>
          <w:lang w:val="zh-CN" w:bidi="ar"/>
        </w:rPr>
        <w:tab/>
      </w:r>
    </w:p>
    <w:p>
      <w:pPr>
        <w:spacing w:line="560" w:lineRule="exact"/>
        <w:ind w:firstLine="645"/>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成本</w:t>
      </w:r>
      <w:r>
        <w:rPr>
          <w:rFonts w:ascii="仿宋_GB2312" w:hAnsi="仿宋" w:eastAsia="仿宋_GB2312" w:cs="宋体"/>
          <w:kern w:val="0"/>
          <w:sz w:val="32"/>
          <w:szCs w:val="32"/>
          <w:lang w:val="zh-CN" w:bidi="ar"/>
        </w:rPr>
        <w:t>指标：</w:t>
      </w:r>
    </w:p>
    <w:p>
      <w:pPr>
        <w:spacing w:line="560" w:lineRule="exact"/>
        <w:ind w:firstLine="645"/>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农村学前适龄儿童享受标准（元/年/名）</w:t>
      </w:r>
      <w:r>
        <w:rPr>
          <w:rFonts w:hint="eastAsia" w:ascii="仿宋_GB2312" w:hAnsi="仿宋" w:eastAsia="仿宋_GB2312" w:cs="宋体"/>
          <w:kern w:val="0"/>
          <w:sz w:val="32"/>
          <w:szCs w:val="32"/>
          <w:lang w:val="zh-CN" w:bidi="ar"/>
        </w:rPr>
        <w:tab/>
      </w:r>
    </w:p>
    <w:p>
      <w:pPr>
        <w:spacing w:line="560" w:lineRule="exact"/>
        <w:ind w:firstLine="320" w:firstLineChars="1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（2</w:t>
      </w:r>
      <w:r>
        <w:rPr>
          <w:rFonts w:ascii="仿宋_GB2312" w:hAnsi="仿宋" w:eastAsia="仿宋_GB2312" w:cs="宋体"/>
          <w:kern w:val="0"/>
          <w:sz w:val="32"/>
          <w:szCs w:val="32"/>
          <w:lang w:val="zh-CN" w:bidi="ar"/>
        </w:rPr>
        <w:t>）</w:t>
      </w:r>
      <w:r>
        <w:rPr>
          <w:rFonts w:hint="eastAsia" w:ascii="仿宋_GB2312" w:hAnsi="仿宋" w:eastAsia="仿宋_GB2312" w:cs="宋体"/>
          <w:kern w:val="0"/>
          <w:sz w:val="32"/>
          <w:szCs w:val="32"/>
          <w:lang w:val="zh-CN" w:bidi="ar"/>
        </w:rPr>
        <w:t>效益</w:t>
      </w:r>
      <w:r>
        <w:rPr>
          <w:rFonts w:ascii="仿宋_GB2312" w:hAnsi="仿宋" w:eastAsia="仿宋_GB2312" w:cs="宋体"/>
          <w:kern w:val="0"/>
          <w:sz w:val="32"/>
          <w:szCs w:val="32"/>
          <w:lang w:val="zh-CN" w:bidi="ar"/>
        </w:rPr>
        <w:t>指标</w:t>
      </w:r>
    </w:p>
    <w:p>
      <w:pPr>
        <w:spacing w:line="560" w:lineRule="exact"/>
        <w:ind w:firstLine="645"/>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经济</w:t>
      </w:r>
      <w:r>
        <w:rPr>
          <w:rFonts w:ascii="仿宋_GB2312" w:hAnsi="仿宋" w:eastAsia="仿宋_GB2312" w:cs="宋体"/>
          <w:kern w:val="0"/>
          <w:sz w:val="32"/>
          <w:szCs w:val="32"/>
          <w:lang w:val="zh-CN" w:bidi="ar"/>
        </w:rPr>
        <w:t>效益指标：</w:t>
      </w:r>
    </w:p>
    <w:p>
      <w:pPr>
        <w:spacing w:line="560" w:lineRule="exact"/>
        <w:ind w:firstLine="645"/>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减轻地方财政负担（万元）</w:t>
      </w:r>
      <w:r>
        <w:rPr>
          <w:rFonts w:hint="eastAsia" w:ascii="仿宋_GB2312" w:hAnsi="仿宋" w:eastAsia="仿宋_GB2312" w:cs="宋体"/>
          <w:kern w:val="0"/>
          <w:sz w:val="32"/>
          <w:szCs w:val="32"/>
          <w:lang w:val="zh-CN" w:bidi="ar"/>
        </w:rPr>
        <w:tab/>
      </w:r>
    </w:p>
    <w:p>
      <w:pPr>
        <w:spacing w:line="560" w:lineRule="exact"/>
        <w:ind w:firstLine="645"/>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社会效益</w:t>
      </w:r>
      <w:r>
        <w:rPr>
          <w:rFonts w:ascii="仿宋_GB2312" w:hAnsi="仿宋" w:eastAsia="仿宋_GB2312" w:cs="宋体"/>
          <w:kern w:val="0"/>
          <w:sz w:val="32"/>
          <w:szCs w:val="32"/>
          <w:lang w:val="zh-CN" w:bidi="ar"/>
        </w:rPr>
        <w:t>：</w:t>
      </w:r>
    </w:p>
    <w:p>
      <w:pPr>
        <w:spacing w:line="560" w:lineRule="exact"/>
        <w:ind w:firstLine="645"/>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引导地方提高义务教育普惠保障水平（%）</w:t>
      </w:r>
      <w:r>
        <w:rPr>
          <w:rFonts w:hint="eastAsia" w:ascii="仿宋_GB2312" w:hAnsi="仿宋" w:eastAsia="仿宋_GB2312" w:cs="宋体"/>
          <w:kern w:val="0"/>
          <w:sz w:val="32"/>
          <w:szCs w:val="32"/>
          <w:lang w:val="zh-CN" w:bidi="ar"/>
        </w:rPr>
        <w:tab/>
      </w:r>
    </w:p>
    <w:p>
      <w:pPr>
        <w:spacing w:line="560" w:lineRule="exact"/>
        <w:ind w:firstLine="645"/>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覆盖建档立卡贫困户儿童免费享受学前教育人数（人）</w:t>
      </w:r>
    </w:p>
    <w:p>
      <w:pPr>
        <w:spacing w:line="560" w:lineRule="exact"/>
        <w:ind w:firstLine="645"/>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可持续</w:t>
      </w:r>
      <w:r>
        <w:rPr>
          <w:rFonts w:ascii="仿宋_GB2312" w:hAnsi="仿宋" w:eastAsia="仿宋_GB2312" w:cs="宋体"/>
          <w:kern w:val="0"/>
          <w:sz w:val="32"/>
          <w:szCs w:val="32"/>
          <w:lang w:val="zh-CN" w:bidi="ar"/>
        </w:rPr>
        <w:t>影响效益：</w:t>
      </w:r>
    </w:p>
    <w:p>
      <w:pPr>
        <w:spacing w:line="560" w:lineRule="exact"/>
        <w:ind w:firstLine="645"/>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城乡教育幼儿园差距逐年降低，教育教学水平每年提升率（%）</w:t>
      </w:r>
      <w:r>
        <w:rPr>
          <w:rFonts w:hint="eastAsia" w:ascii="仿宋_GB2312" w:hAnsi="仿宋" w:eastAsia="仿宋_GB2312" w:cs="宋体"/>
          <w:kern w:val="0"/>
          <w:sz w:val="32"/>
          <w:szCs w:val="32"/>
          <w:lang w:val="zh-CN" w:bidi="ar"/>
        </w:rPr>
        <w:tab/>
      </w:r>
    </w:p>
    <w:p>
      <w:pPr>
        <w:spacing w:line="560" w:lineRule="exact"/>
        <w:ind w:firstLine="320" w:firstLineChars="100"/>
        <w:jc w:val="left"/>
        <w:rPr>
          <w:rFonts w:hint="eastAsia"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（3</w:t>
      </w:r>
      <w:r>
        <w:rPr>
          <w:rFonts w:ascii="仿宋_GB2312" w:hAnsi="仿宋" w:eastAsia="仿宋_GB2312" w:cs="宋体"/>
          <w:kern w:val="0"/>
          <w:sz w:val="32"/>
          <w:szCs w:val="32"/>
          <w:lang w:val="zh-CN" w:bidi="ar"/>
        </w:rPr>
        <w:t>）</w:t>
      </w:r>
      <w:r>
        <w:rPr>
          <w:rFonts w:hint="eastAsia" w:ascii="仿宋_GB2312" w:hAnsi="仿宋" w:eastAsia="仿宋_GB2312" w:cs="宋体"/>
          <w:kern w:val="0"/>
          <w:sz w:val="32"/>
          <w:szCs w:val="32"/>
          <w:lang w:val="zh-CN" w:bidi="ar"/>
        </w:rPr>
        <w:t>满意度</w:t>
      </w:r>
      <w:r>
        <w:rPr>
          <w:rFonts w:ascii="仿宋_GB2312" w:hAnsi="仿宋" w:eastAsia="仿宋_GB2312" w:cs="宋体"/>
          <w:kern w:val="0"/>
          <w:sz w:val="32"/>
          <w:szCs w:val="32"/>
          <w:lang w:val="zh-CN" w:bidi="ar"/>
        </w:rPr>
        <w:t>指标</w:t>
      </w:r>
      <w:r>
        <w:rPr>
          <w:rFonts w:hint="eastAsia" w:ascii="仿宋_GB2312" w:hAnsi="仿宋" w:eastAsia="仿宋_GB2312" w:cs="宋体"/>
          <w:kern w:val="0"/>
          <w:sz w:val="32"/>
          <w:szCs w:val="32"/>
          <w:lang w:val="zh-CN" w:bidi="ar"/>
        </w:rPr>
        <w:t>：</w:t>
      </w:r>
    </w:p>
    <w:p>
      <w:pPr>
        <w:spacing w:line="560" w:lineRule="exact"/>
        <w:ind w:firstLine="645"/>
        <w:jc w:val="left"/>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建档立卡贫困学前儿童人数满意率（%）</w:t>
      </w:r>
      <w:r>
        <w:rPr>
          <w:rFonts w:hint="eastAsia" w:ascii="仿宋_GB2312" w:hAnsi="仿宋" w:eastAsia="仿宋_GB2312" w:cs="宋体"/>
          <w:sz w:val="32"/>
          <w:szCs w:val="32"/>
          <w:lang w:bidi="ar"/>
        </w:rPr>
        <w:tab/>
      </w:r>
    </w:p>
    <w:p>
      <w:pPr>
        <w:spacing w:line="560" w:lineRule="exact"/>
        <w:ind w:firstLine="645"/>
        <w:jc w:val="left"/>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非建档立卡贫困学前儿童人数满意率（</w:t>
      </w:r>
      <w:r>
        <w:rPr>
          <w:rFonts w:ascii="仿宋_GB2312" w:hAnsi="仿宋" w:eastAsia="仿宋_GB2312" w:cs="宋体"/>
          <w:sz w:val="32"/>
          <w:szCs w:val="32"/>
          <w:lang w:bidi="ar"/>
        </w:rPr>
        <w:t>%）</w:t>
      </w:r>
    </w:p>
    <w:p>
      <w:pPr>
        <w:pStyle w:val="25"/>
        <w:numPr>
          <w:ilvl w:val="0"/>
          <w:numId w:val="2"/>
        </w:numPr>
        <w:ind w:firstLineChars="0"/>
        <w:rPr>
          <w:lang w:bidi="ar"/>
        </w:rPr>
      </w:pPr>
      <w:bookmarkStart w:id="3" w:name="_Toc26401552"/>
      <w:r>
        <w:rPr>
          <w:rFonts w:hint="eastAsia"/>
          <w:lang w:bidi="ar"/>
        </w:rPr>
        <w:t>评价工作简述</w:t>
      </w:r>
      <w:bookmarkEnd w:id="3"/>
    </w:p>
    <w:p>
      <w:pPr>
        <w:pStyle w:val="27"/>
        <w:numPr>
          <w:ilvl w:val="0"/>
          <w:numId w:val="4"/>
        </w:numPr>
        <w:ind w:left="0" w:firstLine="643" w:firstLineChars="200"/>
        <w:rPr>
          <w:lang w:bidi="ar"/>
        </w:rPr>
      </w:pPr>
      <w:bookmarkStart w:id="4" w:name="_Toc26401553"/>
      <w:r>
        <w:rPr>
          <w:rFonts w:hint="eastAsia"/>
          <w:lang w:bidi="ar"/>
        </w:rPr>
        <w:t>评价目的</w:t>
      </w:r>
      <w:bookmarkEnd w:id="4"/>
    </w:p>
    <w:p>
      <w:pPr>
        <w:spacing w:before="120" w:beforeLines="50" w:line="600" w:lineRule="exact"/>
        <w:ind w:firstLine="640" w:firstLineChars="200"/>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旨在评价2018-2019年南疆四地州深度贫困地区教育脱贫攻坚项目实施前期、过程及效果，评价财政预算资金使用的效率及效益。</w:t>
      </w:r>
    </w:p>
    <w:p>
      <w:pPr>
        <w:spacing w:before="120" w:beforeLines="50" w:line="60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hint="eastAsia" w:ascii="仿宋_GB2312" w:hAnsi="仿宋" w:eastAsia="仿宋_GB2312" w:cs="宋体"/>
          <w:color w:val="000000" w:themeColor="text1"/>
          <w:sz w:val="32"/>
          <w:szCs w:val="32"/>
          <w:lang w:bidi="ar"/>
          <w14:textFill>
            <w14:solidFill>
              <w14:schemeClr w14:val="tx1"/>
            </w14:solidFill>
          </w14:textFill>
        </w:rPr>
        <w:t>本次评价从2018-2019年自治区农村学前三年免费教育发展保障经费项目产生的效果角度出发,力求从绩效的角度发现2018-2019年度2018-2019年自治区农村学前三年免费教育发展保障经费项目中取得的成绩和产生的问题,优化财政支出管理改革,为下一步实施绩效预算奠定基础。</w:t>
      </w:r>
    </w:p>
    <w:p>
      <w:pPr>
        <w:spacing w:before="120" w:beforeLines="50" w:line="60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hint="eastAsia" w:ascii="仿宋_GB2312" w:hAnsi="仿宋" w:eastAsia="仿宋_GB2312" w:cs="宋体"/>
          <w:color w:val="000000" w:themeColor="text1"/>
          <w:sz w:val="32"/>
          <w:szCs w:val="32"/>
          <w:lang w:val="en-US" w:eastAsia="zh-CN" w:bidi="ar"/>
          <w14:textFill>
            <w14:solidFill>
              <w14:schemeClr w14:val="tx1"/>
            </w14:solidFill>
          </w14:textFill>
        </w:rPr>
        <w:t>1.</w:t>
      </w:r>
      <w:r>
        <w:rPr>
          <w:rFonts w:hint="eastAsia" w:ascii="仿宋_GB2312" w:hAnsi="仿宋" w:eastAsia="仿宋_GB2312" w:cs="宋体"/>
          <w:color w:val="000000" w:themeColor="text1"/>
          <w:sz w:val="32"/>
          <w:szCs w:val="32"/>
          <w:lang w:bidi="ar"/>
          <w14:textFill>
            <w14:solidFill>
              <w14:schemeClr w14:val="tx1"/>
            </w14:solidFill>
          </w14:textFill>
        </w:rPr>
        <w:t>通过评价,了解2019年自治区农村学前三年免费教育发展保障经费项目的基本情况对项目背景和目的、项目内容和现状、项目预算做深入调研和分析;</w:t>
      </w:r>
    </w:p>
    <w:p>
      <w:pPr>
        <w:spacing w:before="120" w:beforeLines="50" w:line="60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ascii="仿宋_GB2312" w:hAnsi="仿宋" w:eastAsia="仿宋_GB2312" w:cs="宋体"/>
          <w:color w:val="000000" w:themeColor="text1"/>
          <w:sz w:val="32"/>
          <w:szCs w:val="32"/>
          <w:lang w:bidi="ar"/>
          <w14:textFill>
            <w14:solidFill>
              <w14:schemeClr w14:val="tx1"/>
            </w14:solidFill>
          </w14:textFill>
        </w:rPr>
        <w:t>百年大计，教育为本。教育是</w:t>
      </w:r>
      <w:r>
        <w:rPr>
          <w:rFonts w:hint="eastAsia" w:ascii="仿宋_GB2312" w:hAnsi="仿宋" w:eastAsia="仿宋_GB2312" w:cs="宋体"/>
          <w:color w:val="000000" w:themeColor="text1"/>
          <w:sz w:val="32"/>
          <w:szCs w:val="32"/>
          <w:lang w:eastAsia="zh-CN" w:bidi="ar"/>
          <w14:textFill>
            <w14:solidFill>
              <w14:schemeClr w14:val="tx1"/>
            </w14:solidFill>
          </w14:textFill>
        </w:rPr>
        <w:t>国家</w:t>
      </w:r>
      <w:r>
        <w:rPr>
          <w:rFonts w:ascii="仿宋_GB2312" w:hAnsi="仿宋" w:eastAsia="仿宋_GB2312" w:cs="宋体"/>
          <w:color w:val="000000" w:themeColor="text1"/>
          <w:sz w:val="32"/>
          <w:szCs w:val="32"/>
          <w:lang w:bidi="ar"/>
          <w14:textFill>
            <w14:solidFill>
              <w14:schemeClr w14:val="tx1"/>
            </w14:solidFill>
          </w14:textFill>
        </w:rPr>
        <w:t>振兴、社会进步的基石，是提高国民素质、促进人的全面发展的根本途径，寄托着亿万家庭对美好生活的期盼。强国必先强教。优先发展教育、提高教育现代化水平，对实现全面建设小康社会奋斗目标、建设富强民主文明和谐的社会主义现代化国家具有决定性意义。</w:t>
      </w:r>
    </w:p>
    <w:p>
      <w:pPr>
        <w:pStyle w:val="5"/>
        <w:spacing w:line="360" w:lineRule="auto"/>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ascii="仿宋_GB2312" w:hAnsi="仿宋" w:eastAsia="仿宋_GB2312" w:cs="宋体"/>
          <w:color w:val="000000" w:themeColor="text1"/>
          <w:sz w:val="32"/>
          <w:szCs w:val="32"/>
          <w:lang w:bidi="ar"/>
          <w14:textFill>
            <w14:solidFill>
              <w14:schemeClr w14:val="tx1"/>
            </w14:solidFill>
          </w14:textFill>
        </w:rPr>
        <w:t>有利于改善办学条件</w:t>
      </w:r>
      <w:r>
        <w:rPr>
          <w:rFonts w:hint="eastAsia" w:ascii="仿宋_GB2312" w:hAnsi="仿宋" w:eastAsia="仿宋_GB2312" w:cs="宋体"/>
          <w:color w:val="000000" w:themeColor="text1"/>
          <w:sz w:val="32"/>
          <w:szCs w:val="32"/>
          <w:lang w:bidi="ar"/>
          <w14:textFill>
            <w14:solidFill>
              <w14:schemeClr w14:val="tx1"/>
            </w14:solidFill>
          </w14:textFill>
        </w:rPr>
        <w:t>,</w:t>
      </w:r>
      <w:r>
        <w:rPr>
          <w:rFonts w:ascii="仿宋_GB2312" w:hAnsi="仿宋" w:eastAsia="仿宋_GB2312" w:cs="宋体"/>
          <w:color w:val="000000" w:themeColor="text1"/>
          <w:sz w:val="32"/>
          <w:szCs w:val="32"/>
          <w:lang w:bidi="ar"/>
          <w14:textFill>
            <w14:solidFill>
              <w14:schemeClr w14:val="tx1"/>
            </w14:solidFill>
          </w14:textFill>
        </w:rPr>
        <w:t>强化</w:t>
      </w:r>
      <w:r>
        <w:rPr>
          <w:rFonts w:hint="eastAsia" w:ascii="仿宋_GB2312" w:hAnsi="仿宋" w:eastAsia="仿宋_GB2312" w:cs="宋体"/>
          <w:color w:val="000000" w:themeColor="text1"/>
          <w:sz w:val="32"/>
          <w:szCs w:val="32"/>
          <w:lang w:eastAsia="zh-CN" w:bidi="ar"/>
          <w14:textFill>
            <w14:solidFill>
              <w14:schemeClr w14:val="tx1"/>
            </w14:solidFill>
          </w14:textFill>
        </w:rPr>
        <w:t>国家通用语言教育</w:t>
      </w:r>
      <w:r>
        <w:rPr>
          <w:rFonts w:ascii="仿宋_GB2312" w:hAnsi="仿宋" w:eastAsia="仿宋_GB2312" w:cs="宋体"/>
          <w:color w:val="000000" w:themeColor="text1"/>
          <w:sz w:val="32"/>
          <w:szCs w:val="32"/>
          <w:lang w:bidi="ar"/>
          <w14:textFill>
            <w14:solidFill>
              <w14:schemeClr w14:val="tx1"/>
            </w14:solidFill>
          </w14:textFill>
        </w:rPr>
        <w:t>，提升教育质量；有利于增强学生身心健康，身体素质的提升；有利于加强学生良好品德的养成教育，促进学生全面发展和健康成长；有利于延长学生在校学习、生活、文娱活动时间，充分享受十五年免费教育政策，减轻农村贫困学生家庭负担， 推进脱贫攻坚进程；有利于传播现代文化，增强学生的国家意识、 法律意识、公民意识和中华</w:t>
      </w:r>
      <w:r>
        <w:rPr>
          <w:rFonts w:hint="eastAsia" w:ascii="仿宋_GB2312" w:hAnsi="仿宋" w:eastAsia="仿宋_GB2312" w:cs="宋体"/>
          <w:color w:val="000000" w:themeColor="text1"/>
          <w:sz w:val="32"/>
          <w:szCs w:val="32"/>
          <w:lang w:eastAsia="zh-CN" w:bidi="ar"/>
          <w14:textFill>
            <w14:solidFill>
              <w14:schemeClr w14:val="tx1"/>
            </w14:solidFill>
          </w14:textFill>
        </w:rPr>
        <w:t>国家</w:t>
      </w:r>
      <w:r>
        <w:rPr>
          <w:rFonts w:ascii="仿宋_GB2312" w:hAnsi="仿宋" w:eastAsia="仿宋_GB2312" w:cs="宋体"/>
          <w:color w:val="000000" w:themeColor="text1"/>
          <w:sz w:val="32"/>
          <w:szCs w:val="32"/>
          <w:lang w:bidi="ar"/>
          <w14:textFill>
            <w14:solidFill>
              <w14:schemeClr w14:val="tx1"/>
            </w14:solidFill>
          </w14:textFill>
        </w:rPr>
        <w:t>自信心和自豪感，成长为维护社会</w:t>
      </w:r>
      <w:r>
        <w:rPr>
          <w:rFonts w:hint="eastAsia" w:ascii="仿宋_GB2312" w:hAnsi="仿宋" w:eastAsia="仿宋_GB2312" w:cs="宋体"/>
          <w:color w:val="000000" w:themeColor="text1"/>
          <w:sz w:val="32"/>
          <w:szCs w:val="32"/>
          <w:lang w:val="en-US" w:eastAsia="zh-CN" w:bidi="ar"/>
          <w14:textFill>
            <w14:solidFill>
              <w14:schemeClr w14:val="tx1"/>
            </w14:solidFill>
          </w14:textFill>
        </w:rPr>
        <w:t>安</w:t>
      </w:r>
      <w:r>
        <w:rPr>
          <w:rFonts w:ascii="仿宋_GB2312" w:hAnsi="仿宋" w:eastAsia="仿宋_GB2312" w:cs="宋体"/>
          <w:color w:val="000000" w:themeColor="text1"/>
          <w:sz w:val="32"/>
          <w:szCs w:val="32"/>
          <w:lang w:bidi="ar"/>
          <w14:textFill>
            <w14:solidFill>
              <w14:schemeClr w14:val="tx1"/>
            </w14:solidFill>
          </w14:textFill>
        </w:rPr>
        <w:t>定和长治久安、实现中华</w:t>
      </w:r>
      <w:r>
        <w:rPr>
          <w:rFonts w:hint="eastAsia" w:ascii="仿宋_GB2312" w:hAnsi="仿宋" w:eastAsia="仿宋_GB2312" w:cs="宋体"/>
          <w:color w:val="000000" w:themeColor="text1"/>
          <w:sz w:val="32"/>
          <w:szCs w:val="32"/>
          <w:lang w:eastAsia="zh-CN" w:bidi="ar"/>
          <w14:textFill>
            <w14:solidFill>
              <w14:schemeClr w14:val="tx1"/>
            </w14:solidFill>
          </w14:textFill>
        </w:rPr>
        <w:t>国家</w:t>
      </w:r>
      <w:r>
        <w:rPr>
          <w:rFonts w:ascii="仿宋_GB2312" w:hAnsi="仿宋" w:eastAsia="仿宋_GB2312" w:cs="宋体"/>
          <w:color w:val="000000" w:themeColor="text1"/>
          <w:sz w:val="32"/>
          <w:szCs w:val="32"/>
          <w:lang w:bidi="ar"/>
          <w14:textFill>
            <w14:solidFill>
              <w14:schemeClr w14:val="tx1"/>
            </w14:solidFill>
          </w14:textFill>
        </w:rPr>
        <w:t>伟大复兴中国梦的实践者。</w:t>
      </w:r>
    </w:p>
    <w:p>
      <w:pPr>
        <w:pStyle w:val="5"/>
        <w:spacing w:line="360" w:lineRule="auto"/>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ascii="仿宋_GB2312" w:hAnsi="仿宋" w:eastAsia="仿宋_GB2312" w:cs="宋体"/>
          <w:color w:val="000000" w:themeColor="text1"/>
          <w:sz w:val="32"/>
          <w:szCs w:val="32"/>
          <w:lang w:bidi="ar"/>
          <w14:textFill>
            <w14:solidFill>
              <w14:schemeClr w14:val="tx1"/>
            </w14:solidFill>
          </w14:textFill>
        </w:rPr>
        <w:t>结合全县中小学布局现状，推进义务教育学校标准化建设和均衡发展，巩固提高义务教育质量，整合教育资源，缩短城乡教育差距。全面推进</w:t>
      </w:r>
      <w:r>
        <w:rPr>
          <w:rFonts w:hint="eastAsia" w:ascii="仿宋_GB2312" w:hAnsi="仿宋" w:eastAsia="仿宋_GB2312" w:cs="宋体"/>
          <w:color w:val="000000" w:themeColor="text1"/>
          <w:sz w:val="32"/>
          <w:szCs w:val="32"/>
          <w:lang w:eastAsia="zh-CN" w:bidi="ar"/>
          <w14:textFill>
            <w14:solidFill>
              <w14:schemeClr w14:val="tx1"/>
            </w14:solidFill>
          </w14:textFill>
        </w:rPr>
        <w:t>国家通用语言教育</w:t>
      </w:r>
      <w:r>
        <w:rPr>
          <w:rFonts w:ascii="仿宋_GB2312" w:hAnsi="仿宋" w:eastAsia="仿宋_GB2312" w:cs="宋体"/>
          <w:color w:val="000000" w:themeColor="text1"/>
          <w:sz w:val="32"/>
          <w:szCs w:val="32"/>
          <w:lang w:bidi="ar"/>
          <w14:textFill>
            <w14:solidFill>
              <w14:schemeClr w14:val="tx1"/>
            </w14:solidFill>
          </w14:textFill>
        </w:rPr>
        <w:t>，全面提升教育质量，全面实现均衡发展，办好让党和政府放心、人民群众满意的教育</w:t>
      </w:r>
      <w:r>
        <w:rPr>
          <w:rFonts w:hint="eastAsia" w:ascii="仿宋_GB2312" w:hAnsi="仿宋" w:eastAsia="仿宋_GB2312" w:cs="宋体"/>
          <w:color w:val="000000" w:themeColor="text1"/>
          <w:sz w:val="32"/>
          <w:szCs w:val="32"/>
          <w:lang w:bidi="ar"/>
          <w14:textFill>
            <w14:solidFill>
              <w14:schemeClr w14:val="tx1"/>
            </w14:solidFill>
          </w14:textFill>
        </w:rPr>
        <w:t>,</w:t>
      </w:r>
      <w:r>
        <w:rPr>
          <w:rFonts w:ascii="仿宋_GB2312" w:hAnsi="仿宋" w:eastAsia="仿宋_GB2312" w:cs="宋体"/>
          <w:color w:val="000000" w:themeColor="text1"/>
          <w:sz w:val="32"/>
          <w:szCs w:val="32"/>
          <w:lang w:bidi="ar"/>
          <w14:textFill>
            <w14:solidFill>
              <w14:schemeClr w14:val="tx1"/>
            </w14:solidFill>
          </w14:textFill>
        </w:rPr>
        <w:t>培养社会主义事业合格建设者和可靠接班人。</w:t>
      </w:r>
    </w:p>
    <w:p>
      <w:pPr>
        <w:spacing w:before="120" w:beforeLines="50" w:line="60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hint="eastAsia" w:ascii="仿宋_GB2312" w:hAnsi="仿宋" w:eastAsia="仿宋_GB2312" w:cs="宋体"/>
          <w:color w:val="000000" w:themeColor="text1"/>
          <w:sz w:val="32"/>
          <w:szCs w:val="32"/>
          <w:lang w:bidi="ar"/>
          <w14:textFill>
            <w14:solidFill>
              <w14:schemeClr w14:val="tx1"/>
            </w14:solidFill>
          </w14:textFill>
        </w:rPr>
        <w:t>2.通过评价,了解2019年度自治区农村学前三年免费教育发展保障经费项目的产出和效果情况,及整体绩效状况。本项目的建设将有效地</w:t>
      </w:r>
      <w:r>
        <w:rPr>
          <w:rFonts w:hint="eastAsia" w:ascii="仿宋_GB2312" w:hAnsi="仿宋_GB2312" w:eastAsia="仿宋_GB2312" w:cs="仿宋_GB2312"/>
          <w:sz w:val="32"/>
          <w:szCs w:val="32"/>
        </w:rPr>
        <w:t>改善学生的伙食生活</w:t>
      </w:r>
      <w:r>
        <w:rPr>
          <w:rFonts w:hint="eastAsia" w:ascii="仿宋_GB2312" w:hAnsi="仿宋" w:eastAsia="仿宋_GB2312" w:cs="宋体"/>
          <w:color w:val="000000" w:themeColor="text1"/>
          <w:sz w:val="32"/>
          <w:szCs w:val="32"/>
          <w:lang w:bidi="ar"/>
          <w14:textFill>
            <w14:solidFill>
              <w14:schemeClr w14:val="tx1"/>
            </w14:solidFill>
          </w14:textFill>
        </w:rPr>
        <w:t>，满足叶城县乡镇村现有适龄儿童、青少年受教育的需求，提高叶城县学校办学水平，更好</w:t>
      </w:r>
      <w:r>
        <w:rPr>
          <w:rFonts w:hint="eastAsia" w:ascii="仿宋_GB2312" w:hAnsi="仿宋" w:eastAsia="仿宋_GB2312" w:cs="宋体"/>
          <w:color w:val="000000" w:themeColor="text1"/>
          <w:sz w:val="32"/>
          <w:szCs w:val="32"/>
          <w:lang w:eastAsia="zh-CN" w:bidi="ar"/>
          <w14:textFill>
            <w14:solidFill>
              <w14:schemeClr w14:val="tx1"/>
            </w14:solidFill>
          </w14:textFill>
        </w:rPr>
        <w:t>地</w:t>
      </w:r>
      <w:r>
        <w:rPr>
          <w:rFonts w:hint="eastAsia" w:ascii="仿宋_GB2312" w:hAnsi="仿宋" w:eastAsia="仿宋_GB2312" w:cs="宋体"/>
          <w:color w:val="000000" w:themeColor="text1"/>
          <w:sz w:val="32"/>
          <w:szCs w:val="32"/>
          <w:lang w:bidi="ar"/>
          <w14:textFill>
            <w14:solidFill>
              <w14:schemeClr w14:val="tx1"/>
            </w14:solidFill>
          </w14:textFill>
        </w:rPr>
        <w:t>为人民服务，为义务教育的可持续发展，创造了良好的环境和机遇，改善薄弱学校的环节，力促教育的均衡发展，维护教育公平，推进和谐社会建设进程，具有良好的社会效益。</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3,通过评价,发掘2019年度</w:t>
      </w:r>
      <w:r>
        <w:rPr>
          <w:rFonts w:hint="eastAsia" w:ascii="仿宋_GB2312" w:hAnsi="仿宋" w:eastAsia="仿宋_GB2312" w:cs="宋体"/>
          <w:color w:val="000000" w:themeColor="text1"/>
          <w:sz w:val="32"/>
          <w:szCs w:val="32"/>
          <w:lang w:bidi="ar"/>
          <w14:textFill>
            <w14:solidFill>
              <w14:schemeClr w14:val="tx1"/>
            </w14:solidFill>
          </w14:textFill>
        </w:rPr>
        <w:t>自治区农村学前三年免费教育发展保障经费</w:t>
      </w:r>
      <w:r>
        <w:rPr>
          <w:rFonts w:hint="eastAsia" w:ascii="仿宋_GB2312" w:hAnsi="仿宋" w:eastAsia="仿宋_GB2312" w:cs="宋体"/>
          <w:sz w:val="32"/>
          <w:szCs w:val="32"/>
          <w:lang w:bidi="ar"/>
        </w:rPr>
        <w:t>项目所产生的现实意义和实际价值。</w:t>
      </w:r>
      <w:r>
        <w:rPr>
          <w:rFonts w:ascii="仿宋_GB2312" w:hAnsi="仿宋" w:eastAsia="仿宋_GB2312" w:cs="宋体"/>
          <w:sz w:val="32"/>
          <w:szCs w:val="32"/>
          <w:lang w:bidi="ar"/>
        </w:rPr>
        <w:t>通过</w:t>
      </w:r>
      <w:r>
        <w:rPr>
          <w:rFonts w:hint="eastAsia" w:ascii="仿宋_GB2312" w:hAnsi="仿宋" w:eastAsia="仿宋_GB2312" w:cs="宋体"/>
          <w:color w:val="000000" w:themeColor="text1"/>
          <w:sz w:val="32"/>
          <w:szCs w:val="32"/>
          <w:lang w:bidi="ar"/>
          <w14:textFill>
            <w14:solidFill>
              <w14:schemeClr w14:val="tx1"/>
            </w14:solidFill>
          </w14:textFill>
        </w:rPr>
        <w:t>自治区农村学前三年免费教育发展保障经费</w:t>
      </w:r>
      <w:r>
        <w:rPr>
          <w:rFonts w:ascii="仿宋_GB2312" w:hAnsi="仿宋" w:eastAsia="仿宋_GB2312" w:cs="宋体"/>
          <w:sz w:val="32"/>
          <w:szCs w:val="32"/>
          <w:lang w:bidi="ar"/>
        </w:rPr>
        <w:t>项目</w:t>
      </w:r>
      <w:r>
        <w:rPr>
          <w:rFonts w:hint="eastAsia" w:ascii="仿宋_GB2312" w:hAnsi="仿宋" w:eastAsia="仿宋_GB2312" w:cs="宋体"/>
          <w:sz w:val="32"/>
          <w:szCs w:val="32"/>
          <w:lang w:bidi="ar"/>
        </w:rPr>
        <w:t>专项</w:t>
      </w:r>
      <w:r>
        <w:rPr>
          <w:rFonts w:ascii="仿宋_GB2312" w:hAnsi="仿宋" w:eastAsia="仿宋_GB2312" w:cs="宋体"/>
          <w:sz w:val="32"/>
          <w:szCs w:val="32"/>
          <w:lang w:bidi="ar"/>
        </w:rPr>
        <w:t>资金的下达，</w:t>
      </w:r>
      <w:r>
        <w:rPr>
          <w:rFonts w:hint="eastAsia" w:ascii="仿宋_GB2312" w:hAnsi="仿宋" w:eastAsia="仿宋_GB2312" w:cs="宋体"/>
          <w:sz w:val="32"/>
          <w:szCs w:val="32"/>
          <w:lang w:bidi="ar"/>
        </w:rPr>
        <w:t>用于</w:t>
      </w:r>
      <w:r>
        <w:rPr>
          <w:rFonts w:hint="eastAsia" w:ascii="仿宋_GB2312" w:hAnsi="仿宋_GB2312" w:eastAsia="仿宋_GB2312" w:cs="仿宋_GB2312"/>
          <w:sz w:val="32"/>
          <w:szCs w:val="32"/>
        </w:rPr>
        <w:t>支付学前教育公用经费、取暖费和幼儿保育员、厨师工资，幼儿</w:t>
      </w:r>
      <w:r>
        <w:rPr>
          <w:rFonts w:hint="eastAsia" w:ascii="仿宋_GB2312" w:hAnsi="仿宋_GB2312" w:eastAsia="仿宋_GB2312" w:cs="仿宋_GB2312"/>
          <w:sz w:val="32"/>
          <w:szCs w:val="32"/>
          <w:lang w:eastAsia="zh-CN"/>
        </w:rPr>
        <w:t>伙食补助费</w:t>
      </w:r>
      <w:r>
        <w:rPr>
          <w:rFonts w:hint="eastAsia" w:ascii="仿宋_GB2312" w:hAnsi="仿宋_GB2312" w:eastAsia="仿宋_GB2312" w:cs="仿宋_GB2312"/>
          <w:sz w:val="32"/>
          <w:szCs w:val="32"/>
        </w:rPr>
        <w:t>补助等费用</w:t>
      </w:r>
      <w:r>
        <w:rPr>
          <w:rFonts w:ascii="仿宋_GB2312" w:hAnsi="仿宋" w:eastAsia="仿宋_GB2312" w:cs="宋体"/>
          <w:sz w:val="32"/>
          <w:szCs w:val="32"/>
          <w:lang w:bidi="ar"/>
        </w:rPr>
        <w:t>，改善了叶城教育硬件</w:t>
      </w:r>
      <w:r>
        <w:rPr>
          <w:rFonts w:hint="eastAsia" w:ascii="仿宋_GB2312" w:hAnsi="仿宋" w:eastAsia="仿宋_GB2312" w:cs="宋体"/>
          <w:sz w:val="32"/>
          <w:szCs w:val="32"/>
          <w:lang w:bidi="ar"/>
        </w:rPr>
        <w:t>设施</w:t>
      </w:r>
      <w:r>
        <w:rPr>
          <w:rFonts w:ascii="仿宋_GB2312" w:hAnsi="仿宋" w:eastAsia="仿宋_GB2312" w:cs="宋体"/>
          <w:sz w:val="32"/>
          <w:szCs w:val="32"/>
          <w:lang w:bidi="ar"/>
        </w:rPr>
        <w:t>的不足，</w:t>
      </w:r>
      <w:r>
        <w:rPr>
          <w:rFonts w:hint="eastAsia" w:ascii="仿宋_GB2312" w:hAnsi="仿宋" w:eastAsia="仿宋_GB2312" w:cs="宋体"/>
          <w:sz w:val="32"/>
          <w:szCs w:val="32"/>
          <w:lang w:bidi="ar"/>
        </w:rPr>
        <w:t>校舍</w:t>
      </w:r>
      <w:r>
        <w:rPr>
          <w:rFonts w:ascii="仿宋_GB2312" w:hAnsi="仿宋" w:eastAsia="仿宋_GB2312" w:cs="宋体"/>
          <w:sz w:val="32"/>
          <w:szCs w:val="32"/>
          <w:lang w:bidi="ar"/>
        </w:rPr>
        <w:t>建设</w:t>
      </w:r>
      <w:r>
        <w:rPr>
          <w:rFonts w:hint="eastAsia" w:ascii="仿宋_GB2312" w:hAnsi="仿宋" w:eastAsia="仿宋_GB2312" w:cs="宋体"/>
          <w:sz w:val="32"/>
          <w:szCs w:val="32"/>
          <w:lang w:bidi="ar"/>
        </w:rPr>
        <w:t>及</w:t>
      </w:r>
      <w:r>
        <w:rPr>
          <w:rFonts w:ascii="仿宋_GB2312" w:hAnsi="仿宋" w:eastAsia="仿宋_GB2312" w:cs="宋体"/>
          <w:sz w:val="32"/>
          <w:szCs w:val="32"/>
          <w:lang w:bidi="ar"/>
        </w:rPr>
        <w:t>学生宿舍食堂</w:t>
      </w:r>
      <w:r>
        <w:rPr>
          <w:rFonts w:hint="eastAsia" w:ascii="仿宋_GB2312" w:hAnsi="仿宋" w:eastAsia="仿宋_GB2312" w:cs="宋体"/>
          <w:sz w:val="32"/>
          <w:szCs w:val="32"/>
          <w:lang w:bidi="ar"/>
        </w:rPr>
        <w:t>基本</w:t>
      </w:r>
      <w:r>
        <w:rPr>
          <w:rFonts w:ascii="仿宋_GB2312" w:hAnsi="仿宋" w:eastAsia="仿宋_GB2312" w:cs="宋体"/>
          <w:sz w:val="32"/>
          <w:szCs w:val="32"/>
          <w:lang w:bidi="ar"/>
        </w:rPr>
        <w:t>满足了生均面积标准</w:t>
      </w:r>
      <w:r>
        <w:rPr>
          <w:rFonts w:hint="eastAsia" w:ascii="仿宋_GB2312" w:hAnsi="仿宋" w:eastAsia="仿宋_GB2312" w:cs="宋体"/>
          <w:sz w:val="32"/>
          <w:szCs w:val="32"/>
          <w:lang w:bidi="ar"/>
        </w:rPr>
        <w:t>需求</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为</w:t>
      </w:r>
      <w:r>
        <w:rPr>
          <w:rFonts w:ascii="仿宋_GB2312" w:hAnsi="仿宋" w:eastAsia="仿宋_GB2312" w:cs="宋体"/>
          <w:sz w:val="32"/>
          <w:szCs w:val="32"/>
          <w:lang w:bidi="ar"/>
        </w:rPr>
        <w:t>我县</w:t>
      </w:r>
      <w:r>
        <w:rPr>
          <w:rFonts w:hint="eastAsia" w:ascii="仿宋_GB2312" w:hAnsi="仿宋" w:eastAsia="仿宋_GB2312" w:cs="宋体"/>
          <w:sz w:val="32"/>
          <w:szCs w:val="32"/>
          <w:lang w:bidi="ar"/>
        </w:rPr>
        <w:t>2020年</w:t>
      </w:r>
      <w:r>
        <w:rPr>
          <w:rFonts w:ascii="仿宋_GB2312" w:hAnsi="仿宋" w:eastAsia="仿宋_GB2312" w:cs="宋体"/>
          <w:sz w:val="32"/>
          <w:szCs w:val="32"/>
          <w:lang w:bidi="ar"/>
        </w:rPr>
        <w:t>顺利通过</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两化</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验收</w:t>
      </w:r>
      <w:r>
        <w:rPr>
          <w:rFonts w:hint="eastAsia" w:ascii="仿宋_GB2312" w:hAnsi="仿宋" w:eastAsia="仿宋_GB2312" w:cs="宋体"/>
          <w:sz w:val="32"/>
          <w:szCs w:val="32"/>
          <w:lang w:bidi="ar"/>
        </w:rPr>
        <w:t>奠定</w:t>
      </w:r>
      <w:r>
        <w:rPr>
          <w:rFonts w:ascii="仿宋_GB2312" w:hAnsi="仿宋" w:eastAsia="仿宋_GB2312" w:cs="宋体"/>
          <w:sz w:val="32"/>
          <w:szCs w:val="32"/>
          <w:lang w:bidi="ar"/>
        </w:rPr>
        <w:t>扎实的硬件基础。</w:t>
      </w:r>
    </w:p>
    <w:p>
      <w:pPr>
        <w:adjustRightInd w:val="0"/>
        <w:snapToGrid w:val="0"/>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4,通过评价,从绩效的角度发现该项目在决策、实施和管理过程中存在的问题,寻求解决方案,为进一步深化项目管理工作提供依据,以促教育</w:t>
      </w:r>
      <w:r>
        <w:rPr>
          <w:rFonts w:ascii="仿宋_GB2312" w:hAnsi="仿宋" w:eastAsia="仿宋_GB2312" w:cs="宋体"/>
          <w:sz w:val="32"/>
          <w:szCs w:val="32"/>
          <w:lang w:bidi="ar"/>
        </w:rPr>
        <w:t>脱贫攻坚项目</w:t>
      </w:r>
      <w:r>
        <w:rPr>
          <w:rFonts w:hint="eastAsia" w:ascii="仿宋_GB2312" w:hAnsi="仿宋" w:eastAsia="仿宋_GB2312" w:cs="宋体"/>
          <w:sz w:val="32"/>
          <w:szCs w:val="32"/>
          <w:lang w:bidi="ar"/>
        </w:rPr>
        <w:t>的</w:t>
      </w:r>
      <w:r>
        <w:rPr>
          <w:rFonts w:ascii="仿宋_GB2312" w:hAnsi="仿宋" w:eastAsia="仿宋_GB2312" w:cs="宋体"/>
          <w:sz w:val="32"/>
          <w:szCs w:val="32"/>
          <w:lang w:bidi="ar"/>
        </w:rPr>
        <w:t>实施真正</w:t>
      </w:r>
      <w:r>
        <w:rPr>
          <w:rFonts w:hint="eastAsia" w:ascii="仿宋_GB2312" w:hAnsi="仿宋" w:eastAsia="仿宋_GB2312" w:cs="宋体"/>
          <w:sz w:val="32"/>
          <w:szCs w:val="32"/>
          <w:lang w:bidi="ar"/>
        </w:rPr>
        <w:t>让南疆</w:t>
      </w:r>
      <w:r>
        <w:rPr>
          <w:rFonts w:ascii="仿宋_GB2312" w:hAnsi="仿宋" w:eastAsia="仿宋_GB2312" w:cs="宋体"/>
          <w:sz w:val="32"/>
          <w:szCs w:val="32"/>
          <w:lang w:bidi="ar"/>
        </w:rPr>
        <w:t>四地州深度贫困县</w:t>
      </w:r>
      <w:r>
        <w:rPr>
          <w:rFonts w:hint="eastAsia" w:ascii="仿宋_GB2312" w:hAnsi="仿宋" w:eastAsia="仿宋_GB2312" w:cs="宋体"/>
          <w:sz w:val="32"/>
          <w:szCs w:val="32"/>
          <w:lang w:bidi="ar"/>
        </w:rPr>
        <w:t>如期</w:t>
      </w:r>
      <w:r>
        <w:rPr>
          <w:rFonts w:ascii="仿宋_GB2312" w:hAnsi="仿宋" w:eastAsia="仿宋_GB2312" w:cs="宋体"/>
          <w:sz w:val="32"/>
          <w:szCs w:val="32"/>
          <w:lang w:bidi="ar"/>
        </w:rPr>
        <w:t>脱贫摘帽</w:t>
      </w:r>
      <w:r>
        <w:rPr>
          <w:rFonts w:hint="eastAsia" w:ascii="仿宋_GB2312" w:hAnsi="仿宋" w:eastAsia="仿宋_GB2312" w:cs="宋体"/>
          <w:sz w:val="32"/>
          <w:szCs w:val="32"/>
          <w:lang w:bidi="ar"/>
        </w:rPr>
        <w:t>。</w:t>
      </w:r>
    </w:p>
    <w:p>
      <w:pPr>
        <w:pStyle w:val="27"/>
        <w:numPr>
          <w:ilvl w:val="0"/>
          <w:numId w:val="4"/>
        </w:numPr>
        <w:ind w:left="0" w:firstLine="643" w:firstLineChars="200"/>
        <w:rPr>
          <w:lang w:bidi="ar"/>
        </w:rPr>
      </w:pPr>
      <w:r>
        <w:rPr>
          <w:rFonts w:hint="eastAsia"/>
          <w:lang w:bidi="ar"/>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2018-2019年</w:t>
      </w:r>
      <w:r>
        <w:rPr>
          <w:rFonts w:hint="eastAsia" w:ascii="仿宋_GB2312" w:hAnsi="仿宋" w:eastAsia="仿宋_GB2312" w:cs="宋体"/>
          <w:color w:val="000000" w:themeColor="text1"/>
          <w:sz w:val="32"/>
          <w:szCs w:val="32"/>
          <w:lang w:bidi="ar"/>
          <w14:textFill>
            <w14:solidFill>
              <w14:schemeClr w14:val="tx1"/>
            </w14:solidFill>
          </w14:textFill>
        </w:rPr>
        <w:t>自治区农村学前三年免费教育发展保障经费</w:t>
      </w:r>
      <w:r>
        <w:rPr>
          <w:rFonts w:ascii="仿宋_GB2312" w:hAnsi="仿宋" w:eastAsia="仿宋_GB2312" w:cs="宋体"/>
          <w:sz w:val="32"/>
          <w:szCs w:val="32"/>
          <w:lang w:bidi="ar"/>
        </w:rPr>
        <w:t>项目资金，评价范围包括专项资</w:t>
      </w:r>
      <w:r>
        <w:rPr>
          <w:rFonts w:hint="eastAsia" w:ascii="仿宋_GB2312" w:hAnsi="仿宋" w:eastAsia="仿宋_GB2312" w:cs="宋体"/>
          <w:sz w:val="32"/>
          <w:szCs w:val="32"/>
          <w:lang w:bidi="ar"/>
        </w:rPr>
        <w:t>金的安排、组织及使用效益。</w:t>
      </w:r>
    </w:p>
    <w:p>
      <w:pPr>
        <w:spacing w:before="120" w:beforeLines="50" w:line="600" w:lineRule="exact"/>
        <w:ind w:firstLine="640" w:firstLineChars="200"/>
        <w:rPr>
          <w:rFonts w:hint="eastAsia" w:ascii="仿宋_GB2312" w:hAnsi="仿宋" w:eastAsia="仿宋_GB2312" w:cs="宋体"/>
          <w:sz w:val="32"/>
          <w:szCs w:val="32"/>
          <w:lang w:val="en-US" w:eastAsia="zh-CN" w:bidi="ar"/>
        </w:rPr>
      </w:pPr>
      <w:r>
        <w:rPr>
          <w:rFonts w:hint="eastAsia" w:ascii="仿宋_GB2312" w:hAnsi="仿宋_GB2312" w:eastAsia="仿宋_GB2312" w:cs="仿宋_GB2312"/>
          <w:sz w:val="32"/>
          <w:szCs w:val="32"/>
        </w:rPr>
        <w:t>根据</w:t>
      </w:r>
      <w:r>
        <w:rPr>
          <w:rFonts w:hint="eastAsia" w:ascii="仿宋_GB2312" w:hAnsi="仿宋" w:eastAsia="仿宋_GB2312" w:cs="宋体"/>
          <w:sz w:val="32"/>
          <w:szCs w:val="32"/>
          <w:lang w:bidi="ar"/>
        </w:rPr>
        <w:t>喀地财教【2018】152号、喀地财教【2019】3号、县喀地财教【2019】98号</w:t>
      </w:r>
      <w:r>
        <w:rPr>
          <w:rFonts w:hint="eastAsia" w:ascii="仿宋_GB2312" w:hAnsi="仿宋_GB2312" w:eastAsia="仿宋_GB2312" w:cs="仿宋_GB2312"/>
          <w:sz w:val="32"/>
          <w:szCs w:val="32"/>
        </w:rPr>
        <w:t>资金文号，下发资金预算金额为</w:t>
      </w:r>
      <w:r>
        <w:rPr>
          <w:rFonts w:hint="eastAsia" w:ascii="仿宋_GB2312" w:hAnsi="仿宋_GB2312" w:eastAsia="仿宋_GB2312" w:cs="仿宋_GB2312"/>
          <w:sz w:val="32"/>
          <w:szCs w:val="32"/>
          <w:lang w:val="en-US" w:eastAsia="zh-CN"/>
        </w:rPr>
        <w:t>14795.36万</w:t>
      </w:r>
      <w:r>
        <w:rPr>
          <w:rFonts w:hint="eastAsia" w:ascii="仿宋_GB2312" w:hAnsi="仿宋_GB2312" w:eastAsia="仿宋_GB2312" w:cs="仿宋_GB2312"/>
          <w:sz w:val="32"/>
          <w:szCs w:val="32"/>
        </w:rPr>
        <w:t>元</w:t>
      </w:r>
      <w:r>
        <w:rPr>
          <w:rFonts w:ascii="仿宋_GB2312" w:hAnsi="仿宋" w:eastAsia="仿宋_GB2312" w:cs="宋体"/>
          <w:sz w:val="32"/>
          <w:szCs w:val="32"/>
          <w:lang w:bidi="ar"/>
        </w:rPr>
        <w:t>，为青少年</w:t>
      </w:r>
      <w:r>
        <w:rPr>
          <w:rFonts w:hint="eastAsia" w:ascii="仿宋_GB2312" w:hAnsi="仿宋" w:eastAsia="仿宋_GB2312" w:cs="宋体"/>
          <w:sz w:val="32"/>
          <w:szCs w:val="32"/>
          <w:lang w:bidi="ar"/>
        </w:rPr>
        <w:t>“学习</w:t>
      </w:r>
      <w:r>
        <w:rPr>
          <w:rFonts w:ascii="仿宋_GB2312" w:hAnsi="仿宋" w:eastAsia="仿宋_GB2312" w:cs="宋体"/>
          <w:sz w:val="32"/>
          <w:szCs w:val="32"/>
          <w:lang w:bidi="ar"/>
        </w:rPr>
        <w:t>在学校、生活在学校、成长在学校</w:t>
      </w:r>
      <w:r>
        <w:rPr>
          <w:rFonts w:hint="eastAsia" w:ascii="仿宋_GB2312" w:hAnsi="仿宋" w:eastAsia="仿宋_GB2312" w:cs="宋体"/>
          <w:sz w:val="32"/>
          <w:szCs w:val="32"/>
          <w:lang w:bidi="ar"/>
        </w:rPr>
        <w:t>”创造</w:t>
      </w:r>
      <w:r>
        <w:rPr>
          <w:rFonts w:ascii="仿宋_GB2312" w:hAnsi="仿宋" w:eastAsia="仿宋_GB2312" w:cs="宋体"/>
          <w:sz w:val="32"/>
          <w:szCs w:val="32"/>
          <w:lang w:bidi="ar"/>
        </w:rPr>
        <w:t>良好条件，</w:t>
      </w:r>
      <w:r>
        <w:rPr>
          <w:rFonts w:hint="eastAsia" w:ascii="仿宋_GB2312" w:hAnsi="仿宋_GB2312" w:eastAsia="仿宋_GB2312" w:cs="仿宋_GB2312"/>
          <w:sz w:val="32"/>
          <w:szCs w:val="32"/>
        </w:rPr>
        <w:t>改善了学生的伙食生活。增加贫困户收入，激发贫困户增收的信心</w:t>
      </w:r>
      <w:r>
        <w:rPr>
          <w:rFonts w:hint="eastAsia" w:ascii="仿宋_GB2312" w:hAnsi="仿宋_GB2312" w:eastAsia="仿宋_GB2312" w:cs="仿宋_GB2312"/>
          <w:sz w:val="32"/>
          <w:szCs w:val="32"/>
          <w:lang w:val="en-US" w:eastAsia="zh-CN"/>
        </w:rPr>
        <w:t>.</w:t>
      </w:r>
    </w:p>
    <w:p>
      <w:pPr>
        <w:pStyle w:val="27"/>
        <w:numPr>
          <w:ilvl w:val="0"/>
          <w:numId w:val="4"/>
        </w:numPr>
        <w:ind w:left="0" w:firstLine="643" w:firstLineChars="200"/>
        <w:rPr>
          <w:lang w:bidi="ar"/>
        </w:rPr>
      </w:pPr>
      <w:r>
        <w:rPr>
          <w:rFonts w:hint="eastAsia"/>
          <w:lang w:bidi="ar"/>
        </w:rPr>
        <w:t>绩效评价原则</w:t>
      </w:r>
      <w:bookmarkEnd w:id="5"/>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依据《中华人民共和国预算法》、《中共中央国务院关于全面实施预算绩效管理的意见》（中发〔2018〕34 号）、《自治区党委自治区人民政府关于全面实施预算绩效管理的实施意见》（新党发〔2018〕30 号）、《自治区全面实施预算绩效管理的工作方案》（新财预〔2018〕158 号）、《自治区财政支出绩效评价管理暂行办法》（新财预〔2018〕189 号）系列文件的要求，本次绩效评价秉承科学规范、公正公开、分级分类、绩效相关等原则，按照从投入、过程到产出效果和影响的绩效逻辑路径，总结经验做法，反思项目实施和管理中的问题，以切实提升财政资金管理的科学化、规范化和精细化水平。根据以上原则，绩效评价遵循如下要求：</w:t>
      </w:r>
    </w:p>
    <w:p>
      <w:pPr>
        <w:pStyle w:val="27"/>
        <w:keepNext w:val="0"/>
        <w:keepLines w:val="0"/>
        <w:numPr>
          <w:ilvl w:val="1"/>
          <w:numId w:val="5"/>
        </w:numPr>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7"/>
        <w:keepNext w:val="0"/>
        <w:keepLines w:val="0"/>
        <w:numPr>
          <w:ilvl w:val="1"/>
          <w:numId w:val="5"/>
        </w:numPr>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7"/>
        <w:keepNext w:val="0"/>
        <w:keepLines w:val="0"/>
        <w:numPr>
          <w:ilvl w:val="1"/>
          <w:numId w:val="5"/>
        </w:numPr>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7"/>
        <w:keepNext w:val="0"/>
        <w:keepLines w:val="0"/>
        <w:numPr>
          <w:ilvl w:val="1"/>
          <w:numId w:val="5"/>
        </w:numPr>
        <w:ind w:left="0" w:firstLine="640" w:firstLineChars="200"/>
        <w:rPr>
          <w:b w:val="0"/>
          <w:lang w:bidi="ar"/>
        </w:rPr>
      </w:pPr>
      <w:r>
        <w:rPr>
          <w:rFonts w:hint="eastAsia"/>
          <w:b w:val="0"/>
          <w:lang w:bidi="ar"/>
        </w:rPr>
        <w:t>公开透明。绩效评价结果应依法依规公开，并自觉接受社会监督。</w:t>
      </w:r>
    </w:p>
    <w:p>
      <w:pPr>
        <w:pStyle w:val="27"/>
        <w:keepNext w:val="0"/>
        <w:keepLines w:val="0"/>
        <w:numPr>
          <w:ilvl w:val="0"/>
          <w:numId w:val="0"/>
        </w:numPr>
        <w:ind w:firstLine="640" w:firstLineChars="200"/>
        <w:rPr>
          <w:b w:val="0"/>
          <w:lang w:bidi="ar"/>
        </w:rPr>
      </w:pPr>
      <w:r>
        <w:rPr>
          <w:rFonts w:hint="eastAsia"/>
          <w:b w:val="0"/>
          <w:lang w:bidi="ar"/>
        </w:rPr>
        <w:t>绩效评价体系根据以上原则,绩效评价应遵循如下要求:</w:t>
      </w:r>
    </w:p>
    <w:p>
      <w:pPr>
        <w:spacing w:before="120" w:beforeLines="50" w:line="600" w:lineRule="exact"/>
        <w:rPr>
          <w:rFonts w:ascii="仿宋_GB2312" w:eastAsia="仿宋_GB2312" w:cs="Times New Roman" w:hAnsiTheme="majorHAnsi"/>
          <w:bCs/>
          <w:sz w:val="32"/>
          <w:szCs w:val="32"/>
          <w:lang w:bidi="ar"/>
        </w:rPr>
      </w:pPr>
      <w:r>
        <w:rPr>
          <w:rFonts w:hint="eastAsia" w:ascii="仿宋_GB2312" w:eastAsia="仿宋_GB2312" w:cs="Times New Roman" w:hAnsiTheme="majorHAnsi"/>
          <w:bCs/>
          <w:sz w:val="32"/>
          <w:szCs w:val="32"/>
          <w:lang w:bidi="ar"/>
        </w:rPr>
        <w:t xml:space="preserve">   （1）在数据采集时,采取客观数据,主管部门审查、社会中介组织复查,与问卷调查相结合的形式,以保证各项指标的真实性。</w:t>
      </w:r>
    </w:p>
    <w:p>
      <w:pPr>
        <w:spacing w:before="120" w:beforeLines="50" w:line="600" w:lineRule="exact"/>
        <w:ind w:firstLine="640" w:firstLineChars="200"/>
        <w:rPr>
          <w:rFonts w:ascii="仿宋_GB2312" w:eastAsia="仿宋_GB2312" w:cs="Times New Roman" w:hAnsiTheme="majorHAnsi"/>
          <w:bCs/>
          <w:sz w:val="32"/>
          <w:szCs w:val="32"/>
          <w:lang w:bidi="ar"/>
        </w:rPr>
      </w:pPr>
      <w:r>
        <w:rPr>
          <w:rFonts w:hint="eastAsia" w:ascii="仿宋_GB2312" w:eastAsia="仿宋_GB2312" w:cs="Times New Roman" w:hAnsiTheme="majorHAnsi"/>
          <w:bCs/>
          <w:sz w:val="32"/>
          <w:szCs w:val="32"/>
          <w:lang w:bidi="ar"/>
        </w:rPr>
        <w:t>(2)保证评价结果的真实性、公正性,提高评价报告的公信力。</w:t>
      </w:r>
    </w:p>
    <w:p>
      <w:pPr>
        <w:spacing w:before="120" w:beforeLines="50" w:line="600" w:lineRule="exact"/>
        <w:ind w:firstLine="640" w:firstLineChars="200"/>
        <w:rPr>
          <w:rFonts w:ascii="仿宋_GB2312" w:eastAsia="仿宋_GB2312" w:cs="Times New Roman" w:hAnsiTheme="majorHAnsi"/>
          <w:bCs/>
          <w:sz w:val="32"/>
          <w:szCs w:val="32"/>
          <w:lang w:bidi="ar"/>
        </w:rPr>
      </w:pPr>
      <w:r>
        <w:rPr>
          <w:rFonts w:hint="eastAsia" w:ascii="仿宋_GB2312" w:eastAsia="仿宋_GB2312" w:cs="Times New Roman" w:hAnsiTheme="majorHAnsi"/>
          <w:bCs/>
          <w:sz w:val="32"/>
          <w:szCs w:val="32"/>
          <w:lang w:bidi="ar"/>
        </w:rPr>
        <w:t>(3)绩教评价报告简明扼要,除了对绩效评价的过程、结果描述外,同时总结经验,指出问题,并就共性问题提出可操作性改进建议。</w:t>
      </w:r>
    </w:p>
    <w:p>
      <w:pPr>
        <w:spacing w:before="120" w:beforeLines="50" w:line="600" w:lineRule="exact"/>
        <w:ind w:firstLine="645"/>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遵循“科学性、规范性、客观性和公正性”的绩效评价原则,根据财政部制定的《项目支出绩效评价共性指标体系框架》,结合</w:t>
      </w:r>
      <w:r>
        <w:rPr>
          <w:rFonts w:hint="eastAsia" w:ascii="仿宋_GB2312" w:hAnsi="仿宋" w:eastAsia="仿宋_GB2312" w:cs="宋体"/>
          <w:color w:val="000000" w:themeColor="text1"/>
          <w:sz w:val="32"/>
          <w:szCs w:val="32"/>
          <w:lang w:bidi="ar"/>
          <w14:textFill>
            <w14:solidFill>
              <w14:schemeClr w14:val="tx1"/>
            </w14:solidFill>
          </w14:textFill>
        </w:rPr>
        <w:t>自治区农村学前三年免费教育发展保障经费</w:t>
      </w:r>
      <w:r>
        <w:rPr>
          <w:rFonts w:hint="eastAsia" w:ascii="仿宋_GB2312" w:hAnsi="仿宋" w:eastAsia="仿宋_GB2312" w:cs="宋体"/>
          <w:sz w:val="32"/>
          <w:szCs w:val="32"/>
          <w:lang w:bidi="ar"/>
        </w:rPr>
        <w:t>项目特性、我单位实际情况,本项目按照财预﹝2020﹞10号文件制定评价指标体系。</w:t>
      </w:r>
    </w:p>
    <w:p>
      <w:pPr>
        <w:spacing w:before="120" w:beforeLines="50" w:line="600" w:lineRule="exact"/>
        <w:ind w:firstLine="645"/>
        <w:rPr>
          <w:rFonts w:ascii="仿宋_GB2312" w:hAnsi="仿宋" w:eastAsia="仿宋_GB2312" w:cs="宋体"/>
          <w:color w:val="000000" w:themeColor="text1"/>
          <w:sz w:val="32"/>
          <w:szCs w:val="32"/>
          <w14:textFill>
            <w14:solidFill>
              <w14:schemeClr w14:val="tx1"/>
            </w14:solidFill>
          </w14:textFill>
        </w:rPr>
      </w:pPr>
      <w:r>
        <w:rPr>
          <w:rFonts w:hint="eastAsia" w:ascii="仿宋_GB2312" w:hAnsi="仿宋" w:eastAsia="仿宋_GB2312" w:cs="宋体"/>
          <w:color w:val="000000" w:themeColor="text1"/>
          <w:sz w:val="32"/>
          <w:szCs w:val="32"/>
          <w14:textFill>
            <w14:solidFill>
              <w14:schemeClr w14:val="tx1"/>
            </w14:solidFill>
          </w14:textFill>
        </w:rPr>
        <w:t>我单位选取共性指标：决策中一级指标1个，二级指标3个，三级指标4个，分别是立项依据充分性、绩效目标合理性、绩效指标明确性、预算编制科学性。</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color w:val="000000" w:themeColor="text1"/>
          <w:sz w:val="32"/>
          <w:szCs w:val="32"/>
          <w14:textFill>
            <w14:solidFill>
              <w14:schemeClr w14:val="tx1"/>
            </w14:solidFill>
          </w14:textFill>
        </w:rPr>
        <w:t>过程中一级指标1个，二级指标2个，三级指标5个，分别是资金到位率、预算执行率、资金使用合规性、管理制度健全性、制度执行有效性。</w:t>
      </w:r>
    </w:p>
    <w:p>
      <w:pPr>
        <w:pStyle w:val="27"/>
        <w:keepNext w:val="0"/>
        <w:keepLines w:val="0"/>
        <w:numPr>
          <w:ilvl w:val="0"/>
          <w:numId w:val="4"/>
        </w:numPr>
        <w:ind w:left="0" w:firstLine="643" w:firstLineChars="200"/>
        <w:rPr>
          <w:lang w:bidi="ar"/>
        </w:rPr>
      </w:pPr>
      <w:bookmarkStart w:id="6" w:name="_Toc26401555"/>
      <w:r>
        <w:rPr>
          <w:rFonts w:hint="eastAsia"/>
          <w:lang w:bidi="ar"/>
        </w:rPr>
        <w:t>绩效评价方法</w:t>
      </w:r>
      <w:bookmarkEnd w:id="6"/>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本次绩效评价方法的选用坚持简便有效的原则采用</w:t>
      </w:r>
      <w:r>
        <w:rPr>
          <w:rFonts w:hint="eastAsia" w:ascii="仿宋_GB2312" w:hAnsi="仿宋" w:eastAsia="仿宋_GB2312" w:cs="宋体"/>
          <w:sz w:val="32"/>
          <w:szCs w:val="32"/>
          <w:lang w:val="en-US" w:eastAsia="zh-CN" w:bidi="ar"/>
        </w:rPr>
        <w:t>因素分析</w:t>
      </w:r>
      <w:r>
        <w:rPr>
          <w:rFonts w:hint="eastAsia" w:ascii="仿宋_GB2312" w:hAnsi="仿宋" w:eastAsia="仿宋_GB2312" w:cs="宋体"/>
          <w:sz w:val="32"/>
          <w:szCs w:val="32"/>
          <w:lang w:bidi="ar"/>
        </w:rPr>
        <w:t>法</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问卷调查法。</w:t>
      </w:r>
    </w:p>
    <w:p>
      <w:pPr>
        <w:spacing w:before="120" w:beforeLines="50" w:line="600" w:lineRule="exact"/>
        <w:ind w:firstLine="645"/>
        <w:rPr>
          <w:rFonts w:hint="eastAsia" w:ascii="仿宋_GB2312" w:hAnsi="仿宋" w:eastAsia="仿宋_GB2312" w:cs="宋体"/>
          <w:sz w:val="32"/>
          <w:szCs w:val="32"/>
          <w:lang w:bidi="ar"/>
        </w:rPr>
      </w:pPr>
      <w:r>
        <w:rPr>
          <w:rFonts w:hint="default" w:ascii="仿宋_GB2312" w:hAnsi="仿宋" w:eastAsia="仿宋_GB2312" w:cs="宋体"/>
          <w:sz w:val="32"/>
          <w:szCs w:val="32"/>
          <w:lang w:val="en-US" w:eastAsia="zh-CN" w:bidi="ar"/>
        </w:rPr>
        <w:t>因素分析法:通过列举所有影响成本与收益的内外因素,进行全面、综合的分析,从而得出评价结果。</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问卷调查法:通过设计不同形式的调查问卷,在一定范围内发放,收集、分析调查问卷,进行评价和判断的方法。具有民主性、公开性的特点,项目有一定的认知度。</w:t>
      </w:r>
    </w:p>
    <w:p>
      <w:pPr>
        <w:pStyle w:val="27"/>
        <w:keepNext w:val="0"/>
        <w:keepLines w:val="0"/>
        <w:numPr>
          <w:ilvl w:val="0"/>
          <w:numId w:val="4"/>
        </w:numPr>
        <w:ind w:left="0" w:firstLine="643" w:firstLineChars="200"/>
        <w:rPr>
          <w:lang w:bidi="ar"/>
        </w:rPr>
      </w:pPr>
      <w:r>
        <w:rPr>
          <w:rFonts w:hint="eastAsia"/>
          <w:lang w:bidi="ar"/>
        </w:rPr>
        <w:t>评价标准</w:t>
      </w:r>
    </w:p>
    <w:p>
      <w:pPr>
        <w:pStyle w:val="27"/>
        <w:keepNext w:val="0"/>
        <w:keepLines w:val="0"/>
        <w:numPr>
          <w:ilvl w:val="0"/>
          <w:numId w:val="0"/>
        </w:numPr>
        <w:ind w:firstLine="642"/>
        <w:rPr>
          <w:rFonts w:hint="eastAsia"/>
          <w:bCs w:val="0"/>
        </w:rPr>
      </w:pPr>
      <w:r>
        <w:rPr>
          <w:rFonts w:hint="eastAsia"/>
          <w:lang w:bidi="ar"/>
        </w:rPr>
        <w:t>项目评价标准采用</w:t>
      </w:r>
      <w:r>
        <w:rPr>
          <w:rFonts w:hint="eastAsia"/>
          <w:bCs w:val="0"/>
        </w:rPr>
        <w:t>计划标准</w:t>
      </w:r>
    </w:p>
    <w:p>
      <w:pPr>
        <w:pStyle w:val="27"/>
        <w:keepNext w:val="0"/>
        <w:keepLines w:val="0"/>
        <w:numPr>
          <w:ilvl w:val="0"/>
          <w:numId w:val="0"/>
        </w:numPr>
        <w:ind w:firstLine="642"/>
        <w:rPr>
          <w:rFonts w:hint="eastAsia" w:hAnsi="仿宋" w:cs="宋体"/>
          <w:b w:val="0"/>
          <w:bCs w:val="0"/>
          <w:color w:val="000000" w:themeColor="text1"/>
          <w:lang w:bidi="ar"/>
          <w14:textFill>
            <w14:solidFill>
              <w14:schemeClr w14:val="tx1"/>
            </w14:solidFill>
          </w14:textFill>
        </w:rPr>
      </w:pPr>
      <w:r>
        <w:rPr>
          <w:rFonts w:hint="eastAsia" w:hAnsi="仿宋" w:cs="宋体"/>
          <w:b w:val="0"/>
          <w:bCs w:val="0"/>
          <w:color w:val="000000" w:themeColor="text1"/>
          <w:lang w:bidi="ar"/>
          <w14:textFill>
            <w14:solidFill>
              <w14:schemeClr w14:val="tx1"/>
            </w14:solidFill>
          </w14:textFill>
        </w:rPr>
        <w:t>1.计划标准:计划标准为支付学前教育公用经费、取暖费和幼儿保育员、厨师工资，幼儿</w:t>
      </w:r>
      <w:r>
        <w:rPr>
          <w:rFonts w:hint="eastAsia" w:hAnsi="仿宋" w:cs="宋体"/>
          <w:b w:val="0"/>
          <w:bCs w:val="0"/>
          <w:color w:val="000000" w:themeColor="text1"/>
          <w:lang w:eastAsia="zh-CN" w:bidi="ar"/>
          <w14:textFill>
            <w14:solidFill>
              <w14:schemeClr w14:val="tx1"/>
            </w14:solidFill>
          </w14:textFill>
        </w:rPr>
        <w:t>伙食补助费</w:t>
      </w:r>
      <w:r>
        <w:rPr>
          <w:rFonts w:hint="eastAsia" w:hAnsi="仿宋" w:cs="宋体"/>
          <w:b w:val="0"/>
          <w:bCs w:val="0"/>
          <w:color w:val="000000" w:themeColor="text1"/>
          <w:lang w:bidi="ar"/>
          <w14:textFill>
            <w14:solidFill>
              <w14:schemeClr w14:val="tx1"/>
            </w14:solidFill>
          </w14:textFill>
        </w:rPr>
        <w:t>补助等费用，</w:t>
      </w:r>
      <w:r>
        <w:rPr>
          <w:rFonts w:hint="eastAsia" w:hAnsi="仿宋" w:cs="宋体"/>
          <w:b w:val="0"/>
          <w:bCs w:val="0"/>
          <w:color w:val="000000" w:themeColor="text1"/>
          <w:lang w:eastAsia="zh-CN" w:bidi="ar"/>
          <w14:textFill>
            <w14:solidFill>
              <w14:schemeClr w14:val="tx1"/>
            </w14:solidFill>
          </w14:textFill>
        </w:rPr>
        <w:t>农村学前三年适龄幼儿</w:t>
      </w:r>
      <w:r>
        <w:rPr>
          <w:rFonts w:hint="eastAsia" w:hAnsi="仿宋" w:cs="宋体"/>
          <w:b w:val="0"/>
          <w:bCs w:val="0"/>
          <w:color w:val="000000" w:themeColor="text1"/>
          <w:lang w:val="en-US" w:eastAsia="zh-CN" w:bidi="ar"/>
          <w14:textFill>
            <w14:solidFill>
              <w14:schemeClr w14:val="tx1"/>
            </w14:solidFill>
          </w14:textFill>
        </w:rPr>
        <w:t>56364</w:t>
      </w:r>
      <w:r>
        <w:rPr>
          <w:rFonts w:hint="eastAsia" w:hAnsi="仿宋" w:cs="宋体"/>
          <w:b w:val="0"/>
          <w:bCs w:val="0"/>
          <w:color w:val="000000" w:themeColor="text1"/>
          <w:lang w:eastAsia="zh-CN" w:bidi="ar"/>
          <w14:textFill>
            <w14:solidFill>
              <w14:schemeClr w14:val="tx1"/>
            </w14:solidFill>
          </w14:textFill>
        </w:rPr>
        <w:t>人，</w:t>
      </w:r>
      <w:r>
        <w:rPr>
          <w:rFonts w:hint="eastAsia" w:hAnsi="仿宋" w:cs="宋体"/>
          <w:b w:val="0"/>
          <w:bCs w:val="0"/>
          <w:color w:val="000000" w:themeColor="text1"/>
          <w:lang w:val="en-US" w:eastAsia="zh-CN" w:bidi="ar"/>
          <w14:textFill>
            <w14:solidFill>
              <w14:schemeClr w14:val="tx1"/>
            </w14:solidFill>
          </w14:textFill>
        </w:rPr>
        <w:t>新增幼儿园171所，</w:t>
      </w:r>
      <w:r>
        <w:rPr>
          <w:rFonts w:hint="eastAsia" w:hAnsi="仿宋" w:cs="宋体"/>
          <w:b w:val="0"/>
          <w:bCs w:val="0"/>
          <w:color w:val="000000" w:themeColor="text1"/>
          <w:lang w:bidi="ar"/>
          <w14:textFill>
            <w14:solidFill>
              <w14:schemeClr w14:val="tx1"/>
            </w14:solidFill>
          </w14:textFill>
        </w:rPr>
        <w:t>涉及39个学校</w:t>
      </w:r>
      <w:r>
        <w:rPr>
          <w:rFonts w:hint="eastAsia" w:hAnsi="仿宋" w:cs="宋体"/>
          <w:b w:val="0"/>
          <w:bCs w:val="0"/>
          <w:color w:val="000000" w:themeColor="text1"/>
          <w:lang w:eastAsia="zh-CN" w:bidi="ar"/>
          <w14:textFill>
            <w14:solidFill>
              <w14:schemeClr w14:val="tx1"/>
            </w14:solidFill>
          </w14:textFill>
        </w:rPr>
        <w:t>，</w:t>
      </w:r>
      <w:r>
        <w:rPr>
          <w:rFonts w:hint="eastAsia" w:hAnsi="仿宋" w:cs="宋体"/>
          <w:b w:val="0"/>
          <w:bCs w:val="0"/>
          <w:color w:val="000000" w:themeColor="text1"/>
          <w:lang w:bidi="ar"/>
          <w14:textFill>
            <w14:solidFill>
              <w14:schemeClr w14:val="tx1"/>
            </w14:solidFill>
          </w14:textFill>
        </w:rPr>
        <w:t>建档立卡贫困户14492户</w:t>
      </w:r>
      <w:r>
        <w:rPr>
          <w:rFonts w:hint="eastAsia" w:hAnsi="仿宋" w:cs="宋体"/>
          <w:b w:val="0"/>
          <w:bCs w:val="0"/>
          <w:color w:val="000000" w:themeColor="text1"/>
          <w:lang w:eastAsia="zh-CN" w:bidi="ar"/>
          <w14:textFill>
            <w14:solidFill>
              <w14:schemeClr w14:val="tx1"/>
            </w14:solidFill>
          </w14:textFill>
        </w:rPr>
        <w:t>，极大改善办学条件，改善了学生的伙食生活，激发贫困户增收的信心</w:t>
      </w:r>
      <w:r>
        <w:rPr>
          <w:rFonts w:hint="eastAsia" w:hAnsi="仿宋" w:cs="宋体"/>
          <w:b w:val="0"/>
          <w:bCs w:val="0"/>
          <w:color w:val="000000" w:themeColor="text1"/>
          <w:lang w:bidi="ar"/>
          <w14:textFill>
            <w14:solidFill>
              <w14:schemeClr w14:val="tx1"/>
            </w14:solidFill>
          </w14:textFill>
        </w:rPr>
        <w:t>。</w:t>
      </w:r>
    </w:p>
    <w:p>
      <w:pPr>
        <w:pStyle w:val="27"/>
        <w:keepNext w:val="0"/>
        <w:keepLines w:val="0"/>
        <w:numPr>
          <w:ilvl w:val="0"/>
          <w:numId w:val="0"/>
        </w:numPr>
        <w:ind w:firstLine="642"/>
        <w:rPr>
          <w:rFonts w:hint="eastAsia" w:hAnsi="仿宋" w:cs="宋体"/>
          <w:b w:val="0"/>
          <w:bCs w:val="0"/>
          <w:color w:val="000000" w:themeColor="text1"/>
          <w:lang w:bidi="ar"/>
          <w14:textFill>
            <w14:solidFill>
              <w14:schemeClr w14:val="tx1"/>
            </w14:solidFill>
          </w14:textFill>
        </w:rPr>
      </w:pPr>
      <w:r>
        <w:rPr>
          <w:rFonts w:hint="eastAsia" w:hAnsi="仿宋" w:cs="宋体"/>
          <w:b w:val="0"/>
          <w:bCs w:val="0"/>
          <w:color w:val="000000" w:themeColor="text1"/>
          <w:lang w:val="en-US" w:eastAsia="zh-CN" w:bidi="ar"/>
          <w14:textFill>
            <w14:solidFill>
              <w14:schemeClr w14:val="tx1"/>
            </w14:solidFill>
          </w14:textFill>
        </w:rPr>
        <w:t>2.</w:t>
      </w:r>
      <w:r>
        <w:rPr>
          <w:rFonts w:hint="eastAsia" w:hAnsi="仿宋" w:cs="宋体"/>
          <w:b w:val="0"/>
          <w:bCs w:val="0"/>
          <w:color w:val="000000" w:themeColor="text1"/>
          <w:lang w:bidi="ar"/>
          <w14:textFill>
            <w14:solidFill>
              <w14:schemeClr w14:val="tx1"/>
            </w14:solidFill>
          </w14:textFill>
        </w:rPr>
        <w:t>历史标准:是以本地区、本部门、本单位或同类部门、单位、项目的绩效评价指标的历史数据作为样本,运用一定的统计学方法计算出各类指标的平均历史水平作为评价的标准。也可以是上年实际数、上年同期数、历史最好水平等。由于历史标准有较强的客观性,在实际操作中广泛应用。</w:t>
      </w:r>
    </w:p>
    <w:p>
      <w:pPr>
        <w:pStyle w:val="27"/>
        <w:keepNext w:val="0"/>
        <w:keepLines w:val="0"/>
        <w:numPr>
          <w:ilvl w:val="0"/>
          <w:numId w:val="4"/>
        </w:numPr>
        <w:ind w:left="0" w:firstLine="643" w:firstLineChars="200"/>
        <w:rPr>
          <w:lang w:bidi="ar"/>
        </w:rPr>
      </w:pPr>
      <w:r>
        <w:rPr>
          <w:rFonts w:hint="eastAsia"/>
          <w:lang w:bidi="ar"/>
        </w:rPr>
        <w:t>绩效评价工作过程</w:t>
      </w:r>
    </w:p>
    <w:p>
      <w:pPr>
        <w:pStyle w:val="27"/>
        <w:keepNext w:val="0"/>
        <w:keepLines w:val="0"/>
        <w:numPr>
          <w:ilvl w:val="0"/>
          <w:numId w:val="0"/>
        </w:numPr>
        <w:ind w:firstLine="640" w:firstLineChars="200"/>
        <w:outlineLvl w:val="9"/>
        <w:rPr>
          <w:b w:val="0"/>
          <w:bCs w:val="0"/>
          <w:lang w:bidi="ar"/>
        </w:rPr>
      </w:pPr>
      <w:r>
        <w:rPr>
          <w:rFonts w:hint="eastAsia"/>
          <w:b w:val="0"/>
          <w:bCs w:val="0"/>
          <w:lang w:bidi="ar"/>
        </w:rPr>
        <w:t>（一）本次评价成立了评价工作组，成员如下：</w:t>
      </w:r>
    </w:p>
    <w:tbl>
      <w:tblPr>
        <w:tblStyle w:val="16"/>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努尔买买提·阿不来提</w:t>
            </w:r>
          </w:p>
        </w:tc>
        <w:tc>
          <w:tcPr>
            <w:tcW w:w="2765"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评价组组长</w:t>
            </w:r>
          </w:p>
        </w:tc>
        <w:tc>
          <w:tcPr>
            <w:tcW w:w="2766"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教育局局长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李建中</w:t>
            </w:r>
          </w:p>
        </w:tc>
        <w:tc>
          <w:tcPr>
            <w:tcW w:w="2765"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评价组成员</w:t>
            </w:r>
          </w:p>
        </w:tc>
        <w:tc>
          <w:tcPr>
            <w:tcW w:w="2766"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教育局副局长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张良</w:t>
            </w:r>
          </w:p>
        </w:tc>
        <w:tc>
          <w:tcPr>
            <w:tcW w:w="2765"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评价组成员</w:t>
            </w:r>
          </w:p>
        </w:tc>
        <w:tc>
          <w:tcPr>
            <w:tcW w:w="2766" w:type="dxa"/>
            <w:vAlign w:val="center"/>
          </w:tcPr>
          <w:p>
            <w:pPr>
              <w:pStyle w:val="27"/>
              <w:keepNext w:val="0"/>
              <w:keepLines w:val="0"/>
              <w:numPr>
                <w:ilvl w:val="0"/>
                <w:numId w:val="0"/>
              </w:numPr>
              <w:spacing w:line="240" w:lineRule="atLeast"/>
              <w:jc w:val="center"/>
              <w:rPr>
                <w:rFonts w:hint="eastAsia"/>
                <w:b w:val="0"/>
                <w:bCs w:val="0"/>
                <w:lang w:bidi="ar"/>
              </w:rPr>
            </w:pPr>
            <w:r>
              <w:rPr>
                <w:rFonts w:hint="eastAsia"/>
                <w:b w:val="0"/>
                <w:bCs w:val="0"/>
                <w:lang w:bidi="ar"/>
              </w:rPr>
              <w:t>项目财务室会计</w:t>
            </w:r>
          </w:p>
        </w:tc>
      </w:tr>
    </w:tbl>
    <w:p>
      <w:pPr>
        <w:pageBreakBefore w:val="0"/>
        <w:kinsoku/>
        <w:wordWrap/>
        <w:overflowPunct/>
        <w:topLinePunct w:val="0"/>
        <w:bidi w:val="0"/>
        <w:adjustRightInd/>
        <w:snapToGrid/>
        <w:spacing w:before="156" w:beforeLines="50" w:line="560" w:lineRule="exact"/>
        <w:ind w:firstLine="645"/>
        <w:textAlignment w:val="auto"/>
        <w:rPr>
          <w:rFonts w:hint="default" w:ascii="仿宋_GB2312" w:hAnsi="仿宋" w:eastAsia="仿宋_GB2312" w:cs="宋体"/>
          <w:color w:val="auto"/>
          <w:sz w:val="32"/>
          <w:szCs w:val="32"/>
          <w:lang w:val="en-US" w:eastAsia="zh-CN" w:bidi="ar"/>
        </w:rPr>
      </w:pPr>
      <w:r>
        <w:rPr>
          <w:rFonts w:hint="eastAsia" w:ascii="仿宋_GB2312" w:hAnsi="仿宋" w:eastAsia="仿宋_GB2312" w:cs="宋体"/>
          <w:color w:val="auto"/>
          <w:sz w:val="32"/>
          <w:szCs w:val="32"/>
          <w:lang w:val="en-US" w:eastAsia="zh-CN" w:bidi="ar"/>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pageBreakBefore w:val="0"/>
        <w:kinsoku/>
        <w:wordWrap/>
        <w:overflowPunct/>
        <w:topLinePunct w:val="0"/>
        <w:bidi w:val="0"/>
        <w:adjustRightInd/>
        <w:snapToGrid/>
        <w:spacing w:before="156" w:beforeLines="50" w:line="560" w:lineRule="exact"/>
        <w:ind w:firstLine="645"/>
        <w:textAlignment w:val="auto"/>
        <w:rPr>
          <w:rFonts w:hint="default" w:ascii="仿宋_GB2312" w:hAnsi="仿宋" w:eastAsia="仿宋_GB2312" w:cs="宋体"/>
          <w:color w:val="auto"/>
          <w:sz w:val="32"/>
          <w:szCs w:val="32"/>
          <w:lang w:val="en-US" w:eastAsia="zh-CN" w:bidi="ar"/>
        </w:rPr>
      </w:pPr>
      <w:r>
        <w:rPr>
          <w:rFonts w:hint="eastAsia" w:ascii="仿宋_GB2312" w:hAnsi="仿宋" w:eastAsia="仿宋_GB2312" w:cs="宋体"/>
          <w:color w:val="auto"/>
          <w:sz w:val="32"/>
          <w:szCs w:val="32"/>
          <w:lang w:val="en-US" w:eastAsia="zh-CN" w:bidi="ar"/>
        </w:rPr>
        <w:t>本项目绩效评价工作共分五个步骤。　　</w:t>
      </w:r>
    </w:p>
    <w:p>
      <w:pPr>
        <w:pageBreakBefore w:val="0"/>
        <w:kinsoku/>
        <w:wordWrap/>
        <w:overflowPunct/>
        <w:topLinePunct w:val="0"/>
        <w:bidi w:val="0"/>
        <w:adjustRightInd/>
        <w:snapToGrid/>
        <w:spacing w:before="156" w:beforeLines="50" w:line="560" w:lineRule="exact"/>
        <w:ind w:firstLine="645"/>
        <w:textAlignment w:val="auto"/>
        <w:rPr>
          <w:rFonts w:hint="default" w:ascii="仿宋_GB2312" w:hAnsi="仿宋" w:eastAsia="仿宋_GB2312" w:cs="宋体"/>
          <w:color w:val="auto"/>
          <w:sz w:val="32"/>
          <w:szCs w:val="32"/>
          <w:lang w:val="en-US" w:eastAsia="zh-CN" w:bidi="ar"/>
        </w:rPr>
      </w:pPr>
      <w:r>
        <w:rPr>
          <w:rFonts w:hint="eastAsia" w:ascii="仿宋_GB2312" w:hAnsi="仿宋" w:eastAsia="仿宋_GB2312" w:cs="宋体"/>
          <w:color w:val="auto"/>
          <w:sz w:val="32"/>
          <w:szCs w:val="32"/>
          <w:lang w:val="en-US" w:eastAsia="zh-CN" w:bidi="ar"/>
        </w:rPr>
        <w:t>第一阶段，前期准备。主要完成确定评价工作任务，绩效评价的实施方法以及编制绩效评价指标体系等工作。　　</w:t>
      </w:r>
    </w:p>
    <w:p>
      <w:pPr>
        <w:pageBreakBefore w:val="0"/>
        <w:kinsoku/>
        <w:wordWrap/>
        <w:overflowPunct/>
        <w:topLinePunct w:val="0"/>
        <w:bidi w:val="0"/>
        <w:adjustRightInd/>
        <w:snapToGrid/>
        <w:spacing w:before="156" w:beforeLines="50" w:line="560" w:lineRule="exact"/>
        <w:ind w:firstLine="645"/>
        <w:textAlignment w:val="auto"/>
        <w:rPr>
          <w:rFonts w:hint="default" w:ascii="仿宋_GB2312" w:hAnsi="仿宋" w:eastAsia="仿宋_GB2312" w:cs="宋体"/>
          <w:color w:val="auto"/>
          <w:sz w:val="32"/>
          <w:szCs w:val="32"/>
          <w:lang w:val="en-US" w:eastAsia="zh-CN" w:bidi="ar"/>
        </w:rPr>
      </w:pPr>
      <w:r>
        <w:rPr>
          <w:rFonts w:hint="eastAsia" w:ascii="仿宋_GB2312" w:hAnsi="仿宋" w:eastAsia="仿宋_GB2312" w:cs="宋体"/>
          <w:color w:val="auto"/>
          <w:sz w:val="32"/>
          <w:szCs w:val="32"/>
          <w:lang w:val="en-US" w:eastAsia="zh-CN" w:bidi="ar"/>
        </w:rPr>
        <w:t>第二阶段，评价设计。主要完成形成评价实施方案、支出的预评价等工作。　　</w:t>
      </w:r>
    </w:p>
    <w:p>
      <w:pPr>
        <w:pageBreakBefore w:val="0"/>
        <w:kinsoku/>
        <w:wordWrap/>
        <w:overflowPunct/>
        <w:topLinePunct w:val="0"/>
        <w:bidi w:val="0"/>
        <w:adjustRightInd/>
        <w:snapToGrid/>
        <w:spacing w:before="156" w:beforeLines="50" w:line="560" w:lineRule="exact"/>
        <w:ind w:firstLine="645"/>
        <w:textAlignment w:val="auto"/>
        <w:rPr>
          <w:rFonts w:hint="default" w:ascii="仿宋_GB2312" w:hAnsi="仿宋" w:eastAsia="仿宋_GB2312" w:cs="宋体"/>
          <w:color w:val="auto"/>
          <w:sz w:val="32"/>
          <w:szCs w:val="32"/>
          <w:lang w:val="en-US" w:eastAsia="zh-CN" w:bidi="ar"/>
        </w:rPr>
      </w:pPr>
      <w:r>
        <w:rPr>
          <w:rFonts w:hint="eastAsia" w:ascii="仿宋_GB2312" w:hAnsi="仿宋" w:eastAsia="仿宋_GB2312" w:cs="宋体"/>
          <w:color w:val="auto"/>
          <w:sz w:val="32"/>
          <w:szCs w:val="32"/>
          <w:lang w:val="en-US" w:eastAsia="zh-CN" w:bidi="ar"/>
        </w:rPr>
        <w:t>第三阶段，评价实施。主要完成资料的收集、整理，现场分析与绩效评价，形成评估结论、经验教训和建议等工作。　　</w:t>
      </w:r>
    </w:p>
    <w:p>
      <w:pPr>
        <w:pageBreakBefore w:val="0"/>
        <w:kinsoku/>
        <w:wordWrap/>
        <w:overflowPunct/>
        <w:topLinePunct w:val="0"/>
        <w:bidi w:val="0"/>
        <w:adjustRightInd/>
        <w:snapToGrid/>
        <w:spacing w:before="156" w:beforeLines="50" w:line="560" w:lineRule="exact"/>
        <w:ind w:firstLine="645"/>
        <w:textAlignment w:val="auto"/>
        <w:rPr>
          <w:rFonts w:hint="default" w:ascii="仿宋_GB2312" w:hAnsi="仿宋" w:eastAsia="仿宋_GB2312" w:cs="宋体"/>
          <w:color w:val="auto"/>
          <w:sz w:val="32"/>
          <w:szCs w:val="32"/>
          <w:lang w:val="en-US" w:eastAsia="zh-CN" w:bidi="ar"/>
        </w:rPr>
      </w:pPr>
      <w:r>
        <w:rPr>
          <w:rFonts w:hint="default" w:ascii="仿宋_GB2312" w:hAnsi="仿宋" w:eastAsia="仿宋_GB2312" w:cs="宋体"/>
          <w:color w:val="auto"/>
          <w:sz w:val="32"/>
          <w:szCs w:val="32"/>
          <w:lang w:val="en-US" w:eastAsia="zh-CN" w:bidi="ar"/>
        </w:rPr>
        <w:t>数据分析及撰写报告</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5"/>
        <w:textAlignment w:val="auto"/>
        <w:rPr>
          <w:rFonts w:hint="default" w:ascii="仿宋_GB2312" w:hAnsi="仿宋" w:eastAsia="仿宋_GB2312" w:cs="宋体"/>
          <w:color w:val="auto"/>
          <w:sz w:val="32"/>
          <w:szCs w:val="32"/>
          <w:lang w:val="en-US" w:eastAsia="zh-CN" w:bidi="ar"/>
        </w:rPr>
      </w:pPr>
      <w:r>
        <w:rPr>
          <w:rFonts w:hint="default" w:ascii="仿宋_GB2312" w:hAnsi="仿宋" w:eastAsia="仿宋_GB2312" w:cs="宋体"/>
          <w:color w:val="auto"/>
          <w:sz w:val="32"/>
          <w:szCs w:val="32"/>
          <w:lang w:val="en-US" w:eastAsia="zh-CN" w:bidi="ar"/>
        </w:rPr>
        <w:t>项目组根据绩效评价的原理和规范，对采集的数据进行处理、分析和评分，并提炼结论撰写报告。</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5"/>
        <w:textAlignment w:val="auto"/>
        <w:rPr>
          <w:rFonts w:hint="default" w:ascii="仿宋_GB2312" w:hAnsi="仿宋" w:eastAsia="仿宋_GB2312" w:cs="宋体"/>
          <w:color w:val="auto"/>
          <w:sz w:val="32"/>
          <w:szCs w:val="32"/>
          <w:lang w:val="en-US" w:eastAsia="zh-CN" w:bidi="ar"/>
        </w:rPr>
      </w:pPr>
      <w:r>
        <w:rPr>
          <w:rFonts w:hint="eastAsia" w:ascii="仿宋_GB2312" w:hAnsi="仿宋" w:eastAsia="仿宋_GB2312" w:cs="宋体"/>
          <w:color w:val="auto"/>
          <w:sz w:val="32"/>
          <w:szCs w:val="32"/>
          <w:lang w:val="en-US" w:eastAsia="zh-CN" w:bidi="ar"/>
        </w:rPr>
        <w:t>第四阶段，报告结果。在完成绩效评价报告编制的基础上，与相关利益者沟通后形成绩效评价终稿的工作。　　</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5"/>
        <w:textAlignment w:val="auto"/>
        <w:rPr>
          <w:rFonts w:ascii="仿宋_GB2312" w:hAnsi="仿宋" w:eastAsia="仿宋_GB2312" w:cs="宋体"/>
          <w:b/>
          <w:bCs/>
          <w:color w:val="00B0F0"/>
          <w:sz w:val="32"/>
          <w:szCs w:val="32"/>
          <w:highlight w:val="yellow"/>
          <w:lang w:bidi="ar"/>
        </w:rPr>
      </w:pPr>
      <w:r>
        <w:rPr>
          <w:rFonts w:hint="eastAsia" w:ascii="仿宋_GB2312" w:hAnsi="仿宋" w:eastAsia="仿宋_GB2312" w:cs="宋体"/>
          <w:color w:val="auto"/>
          <w:sz w:val="32"/>
          <w:szCs w:val="32"/>
          <w:lang w:val="en-US" w:eastAsia="zh-CN" w:bidi="ar"/>
        </w:rPr>
        <w:t>第五阶段，将绩效评价的经验总结与管理建议推广到相关行业或部门</w:t>
      </w:r>
    </w:p>
    <w:p>
      <w:pPr>
        <w:pStyle w:val="25"/>
        <w:keepNext w:val="0"/>
        <w:keepLines w:val="0"/>
        <w:pageBreakBefore w:val="0"/>
        <w:widowControl w:val="0"/>
        <w:numPr>
          <w:ilvl w:val="0"/>
          <w:numId w:val="0"/>
        </w:numPr>
        <w:kinsoku/>
        <w:wordWrap/>
        <w:overflowPunct/>
        <w:topLinePunct w:val="0"/>
        <w:autoSpaceDE/>
        <w:autoSpaceDN/>
        <w:bidi w:val="0"/>
        <w:adjustRightInd/>
        <w:snapToGrid/>
        <w:ind w:left="643" w:leftChars="0"/>
        <w:textAlignment w:val="auto"/>
        <w:rPr>
          <w:color w:val="FF0000"/>
          <w:lang w:bidi="ar"/>
        </w:rPr>
      </w:pPr>
      <w:bookmarkStart w:id="7" w:name="_Toc26401558"/>
      <w:r>
        <w:rPr>
          <w:rFonts w:hint="eastAsia" w:ascii="Times New Roman" w:hAnsi="Times New Roman" w:cs="Times New Roman"/>
          <w:lang w:val="en-US" w:eastAsia="zh-CN" w:bidi="ar"/>
        </w:rPr>
        <w:t>三、</w:t>
      </w:r>
      <w:r>
        <w:rPr>
          <w:rFonts w:hint="eastAsia" w:ascii="Times New Roman" w:hAnsi="Times New Roman" w:cs="Times New Roman"/>
          <w:lang w:bidi="ar"/>
        </w:rPr>
        <w:t>综合</w:t>
      </w:r>
      <w:r>
        <w:rPr>
          <w:rFonts w:hint="eastAsia" w:ascii="黑体" w:hAnsi="黑体"/>
        </w:rPr>
        <w:t>评价情况及评价结论</w:t>
      </w:r>
    </w:p>
    <w:p>
      <w:pPr>
        <w:pStyle w:val="25"/>
        <w:keepNext w:val="0"/>
        <w:keepLines w:val="0"/>
        <w:pageBreakBefore w:val="0"/>
        <w:widowControl w:val="0"/>
        <w:kinsoku/>
        <w:wordWrap/>
        <w:overflowPunct/>
        <w:topLinePunct w:val="0"/>
        <w:autoSpaceDE/>
        <w:autoSpaceDN/>
        <w:bidi w:val="0"/>
        <w:adjustRightInd/>
        <w:snapToGrid/>
        <w:ind w:firstLine="640"/>
        <w:textAlignment w:val="auto"/>
        <w:rPr>
          <w:rFonts w:ascii="仿宋_GB2312" w:eastAsia="仿宋_GB2312" w:hAnsiTheme="majorHAnsi"/>
          <w:b w:val="0"/>
          <w:bCs w:val="0"/>
          <w:kern w:val="2"/>
          <w:lang w:bidi="ar"/>
        </w:rPr>
      </w:pPr>
      <w:r>
        <w:rPr>
          <w:rFonts w:hint="eastAsia" w:ascii="仿宋_GB2312" w:eastAsia="仿宋_GB2312" w:hAnsiTheme="majorHAnsi"/>
          <w:b w:val="0"/>
          <w:bCs w:val="0"/>
          <w:kern w:val="2"/>
          <w:lang w:bidi="ar"/>
        </w:rPr>
        <w:t>经评价组通过实地调研、资料分析等方式，采用综合分析法、最低成本法对项目的决策、管理、绩效进行的综合评价分析，项目得分为</w:t>
      </w:r>
      <w:r>
        <w:rPr>
          <w:rFonts w:ascii="仿宋_GB2312" w:eastAsia="仿宋_GB2312" w:hAnsiTheme="majorHAnsi"/>
          <w:b w:val="0"/>
          <w:bCs w:val="0"/>
          <w:kern w:val="2"/>
          <w:lang w:bidi="ar"/>
        </w:rPr>
        <w:t>9</w:t>
      </w:r>
      <w:r>
        <w:rPr>
          <w:rFonts w:hint="eastAsia" w:ascii="仿宋_GB2312" w:eastAsia="仿宋_GB2312" w:hAnsiTheme="majorHAnsi"/>
          <w:b w:val="0"/>
          <w:bCs w:val="0"/>
          <w:kern w:val="2"/>
          <w:lang w:val="en-US" w:eastAsia="zh-CN" w:bidi="ar"/>
        </w:rPr>
        <w:t>7</w:t>
      </w:r>
      <w:r>
        <w:rPr>
          <w:rFonts w:hint="eastAsia" w:ascii="仿宋_GB2312" w:eastAsia="仿宋_GB2312" w:hAnsiTheme="majorHAnsi"/>
          <w:b w:val="0"/>
          <w:bCs w:val="0"/>
          <w:kern w:val="2"/>
          <w:lang w:bidi="ar"/>
        </w:rPr>
        <w:t>分，评价结果为优。</w:t>
      </w:r>
    </w:p>
    <w:p>
      <w:pPr>
        <w:pStyle w:val="25"/>
        <w:numPr>
          <w:ilvl w:val="0"/>
          <w:numId w:val="0"/>
        </w:numPr>
        <w:ind w:left="643" w:leftChars="0"/>
        <w:rPr>
          <w:lang w:bidi="ar"/>
        </w:rPr>
      </w:pPr>
      <w:r>
        <w:rPr>
          <w:rFonts w:hint="eastAsia"/>
          <w:lang w:val="en-US" w:eastAsia="zh-CN" w:bidi="ar"/>
        </w:rPr>
        <w:t>四、</w:t>
      </w:r>
      <w:r>
        <w:rPr>
          <w:rFonts w:hint="eastAsia"/>
          <w:lang w:bidi="ar"/>
        </w:rPr>
        <w:t>绩效评价指标分析</w:t>
      </w:r>
      <w:bookmarkEnd w:id="7"/>
    </w:p>
    <w:p>
      <w:pPr>
        <w:pStyle w:val="21"/>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30"/>
        <w:pageBreakBefore w:val="0"/>
        <w:numPr>
          <w:ilvl w:val="0"/>
          <w:numId w:val="7"/>
        </w:numPr>
        <w:kinsoku/>
        <w:wordWrap/>
        <w:overflowPunct/>
        <w:topLinePunct w:val="0"/>
        <w:bidi w:val="0"/>
        <w:adjustRightInd/>
        <w:snapToGrid/>
        <w:spacing w:line="560" w:lineRule="exact"/>
        <w:ind w:firstLine="640"/>
        <w:textAlignment w:val="auto"/>
        <w:rPr>
          <w:rFonts w:hint="eastAsia" w:ascii="仿宋_GB2312" w:hAnsi="仿宋" w:cs="宋体"/>
          <w:sz w:val="32"/>
          <w:szCs w:val="32"/>
          <w:lang w:val="en-US" w:eastAsia="zh-CN" w:bidi="ar"/>
        </w:rPr>
      </w:pPr>
      <w:r>
        <w:rPr>
          <w:rFonts w:hint="eastAsia" w:ascii="仿宋_GB2312" w:hAnsi="仿宋" w:cs="宋体"/>
          <w:sz w:val="32"/>
          <w:szCs w:val="32"/>
          <w:lang w:val="en-US" w:eastAsia="zh-CN" w:bidi="ar"/>
        </w:rPr>
        <w:t>决策依据</w:t>
      </w:r>
    </w:p>
    <w:p>
      <w:pPr>
        <w:spacing w:before="156" w:beforeLines="50" w:line="600" w:lineRule="exact"/>
        <w:ind w:firstLine="645"/>
        <w:rPr>
          <w:rFonts w:hint="default" w:ascii="仿宋_GB2312" w:hAnsi="仿宋" w:eastAsia="仿宋_GB2312" w:cs="宋体"/>
          <w:sz w:val="32"/>
          <w:szCs w:val="32"/>
          <w:lang w:val="en-US" w:eastAsia="zh-CN" w:bidi="ar"/>
        </w:rPr>
      </w:pPr>
      <w:r>
        <w:rPr>
          <w:rFonts w:hint="default" w:ascii="仿宋_GB2312" w:hAnsi="仿宋" w:eastAsia="仿宋_GB2312" w:cs="宋体"/>
          <w:sz w:val="32"/>
          <w:szCs w:val="32"/>
          <w:lang w:val="en-US" w:eastAsia="zh-CN" w:bidi="ar"/>
        </w:rPr>
        <w:t>项目设立与国家政策和部门职能相符。</w:t>
      </w:r>
      <w:r>
        <w:rPr>
          <w:rFonts w:hint="eastAsia" w:ascii="仿宋_GB2312" w:hAnsi="仿宋" w:eastAsia="仿宋_GB2312" w:cs="宋体"/>
          <w:sz w:val="32"/>
          <w:szCs w:val="32"/>
          <w:lang w:bidi="ar"/>
        </w:rPr>
        <w:t>本项目</w:t>
      </w:r>
      <w:r>
        <w:rPr>
          <w:rFonts w:hint="eastAsia" w:ascii="仿宋_GB2312" w:hAnsi="仿宋_GB2312" w:eastAsia="仿宋_GB2312" w:cs="仿宋_GB2312"/>
          <w:sz w:val="32"/>
          <w:szCs w:val="32"/>
        </w:rPr>
        <w:t>根据</w:t>
      </w:r>
      <w:r>
        <w:rPr>
          <w:rFonts w:hint="eastAsia" w:ascii="仿宋_GB2312" w:hAnsi="仿宋" w:eastAsia="仿宋_GB2312" w:cs="宋体"/>
          <w:sz w:val="32"/>
          <w:szCs w:val="32"/>
          <w:lang w:bidi="ar"/>
        </w:rPr>
        <w:t>喀地财教【2018】152号、喀地财教【2019】3号、县喀地财教【2019】98号</w:t>
      </w:r>
      <w:r>
        <w:rPr>
          <w:rFonts w:hint="eastAsia" w:ascii="仿宋_GB2312" w:hAnsi="仿宋" w:eastAsia="仿宋_GB2312" w:cs="宋体"/>
          <w:sz w:val="32"/>
          <w:szCs w:val="32"/>
          <w:lang w:val="en-US" w:eastAsia="zh-CN" w:bidi="ar"/>
        </w:rPr>
        <w:t>资金文号</w:t>
      </w:r>
      <w:r>
        <w:rPr>
          <w:rFonts w:ascii="仿宋_GB2312" w:hAnsi="仿宋" w:eastAsia="仿宋_GB2312" w:cs="宋体"/>
          <w:sz w:val="32"/>
          <w:szCs w:val="32"/>
          <w:lang w:bidi="ar"/>
        </w:rPr>
        <w:t>，</w:t>
      </w:r>
      <w:r>
        <w:rPr>
          <w:rFonts w:hint="eastAsia" w:ascii="仿宋_GB2312" w:hAnsi="仿宋_GB2312" w:eastAsia="仿宋_GB2312" w:cs="仿宋_GB2312"/>
          <w:sz w:val="32"/>
          <w:szCs w:val="32"/>
        </w:rPr>
        <w:t>支付学前教育公用经费、取暖费和幼儿保育员、厨师工资，幼儿</w:t>
      </w:r>
      <w:r>
        <w:rPr>
          <w:rFonts w:hint="eastAsia" w:ascii="仿宋_GB2312" w:hAnsi="仿宋_GB2312" w:eastAsia="仿宋_GB2312" w:cs="仿宋_GB2312"/>
          <w:sz w:val="32"/>
          <w:szCs w:val="32"/>
          <w:lang w:eastAsia="zh-CN"/>
        </w:rPr>
        <w:t>伙食补助费</w:t>
      </w:r>
      <w:r>
        <w:rPr>
          <w:rFonts w:hint="eastAsia" w:ascii="仿宋_GB2312" w:hAnsi="仿宋_GB2312" w:eastAsia="仿宋_GB2312" w:cs="仿宋_GB2312"/>
          <w:sz w:val="32"/>
          <w:szCs w:val="32"/>
        </w:rPr>
        <w:t>补助等费用</w:t>
      </w:r>
      <w:r>
        <w:rPr>
          <w:rFonts w:hint="eastAsia" w:ascii="仿宋_GB2312" w:hAnsi="仿宋" w:eastAsia="仿宋_GB2312" w:cs="宋体"/>
          <w:sz w:val="32"/>
          <w:szCs w:val="32"/>
          <w:lang w:bidi="ar"/>
        </w:rPr>
        <w:t>。</w:t>
      </w:r>
    </w:p>
    <w:p>
      <w:pPr>
        <w:numPr>
          <w:ilvl w:val="0"/>
          <w:numId w:val="7"/>
        </w:numPr>
        <w:spacing w:before="156" w:beforeLines="50" w:line="600" w:lineRule="exact"/>
        <w:ind w:left="0" w:leftChars="0" w:firstLine="640" w:firstLineChars="20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决策程序</w:t>
      </w:r>
    </w:p>
    <w:p>
      <w:pPr>
        <w:spacing w:before="156" w:beforeLines="50" w:line="600" w:lineRule="exact"/>
        <w:ind w:firstLine="645"/>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bidi="ar"/>
        </w:rPr>
        <w:t>根据</w:t>
      </w:r>
      <w:r>
        <w:rPr>
          <w:rFonts w:hint="eastAsia" w:ascii="仿宋_GB2312" w:hAnsi="仿宋" w:eastAsia="仿宋_GB2312" w:cs="宋体"/>
          <w:sz w:val="32"/>
          <w:szCs w:val="32"/>
          <w:lang w:val="en-US" w:eastAsia="zh-CN" w:bidi="ar"/>
        </w:rPr>
        <w:t>相关通知</w:t>
      </w:r>
      <w:r>
        <w:rPr>
          <w:rFonts w:hint="eastAsia" w:ascii="仿宋_GB2312" w:hAnsi="仿宋" w:eastAsia="仿宋_GB2312" w:cs="宋体"/>
          <w:sz w:val="32"/>
          <w:szCs w:val="32"/>
          <w:lang w:bidi="ar"/>
        </w:rPr>
        <w:t>，此项目负责成员前期</w:t>
      </w:r>
      <w:r>
        <w:rPr>
          <w:rFonts w:hint="eastAsia" w:ascii="仿宋_GB2312" w:hAnsi="仿宋" w:eastAsia="仿宋_GB2312" w:cs="宋体"/>
          <w:sz w:val="32"/>
          <w:szCs w:val="32"/>
          <w:lang w:val="en-US" w:eastAsia="zh-CN" w:bidi="ar"/>
        </w:rPr>
        <w:t>研读政策文件</w:t>
      </w:r>
      <w:r>
        <w:rPr>
          <w:rFonts w:hint="eastAsia" w:ascii="仿宋_GB2312" w:hAnsi="仿宋" w:eastAsia="仿宋_GB2312" w:cs="宋体"/>
          <w:sz w:val="32"/>
          <w:szCs w:val="32"/>
          <w:lang w:bidi="ar"/>
        </w:rPr>
        <w:t>、了解类似项目投入使用情况等，并召开工作会议分析讨论，最后确定预算明细及金额，预算编制经过科学论证、有明确标准，资金额度与年度目标是否相适应</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val="en-US" w:eastAsia="zh-CN" w:bidi="ar"/>
        </w:rPr>
        <w:t>与</w:t>
      </w:r>
      <w:r>
        <w:rPr>
          <w:rFonts w:hint="eastAsia" w:ascii="仿宋_GB2312" w:hAnsi="仿宋" w:eastAsia="仿宋_GB2312" w:cs="宋体"/>
          <w:sz w:val="32"/>
          <w:szCs w:val="32"/>
          <w:lang w:bidi="ar"/>
        </w:rPr>
        <w:t>地方实际</w:t>
      </w:r>
      <w:r>
        <w:rPr>
          <w:rFonts w:hint="eastAsia" w:ascii="仿宋_GB2312" w:hAnsi="仿宋" w:eastAsia="仿宋_GB2312" w:cs="宋体"/>
          <w:sz w:val="32"/>
          <w:szCs w:val="32"/>
          <w:lang w:val="en-US" w:eastAsia="zh-CN" w:bidi="ar"/>
        </w:rPr>
        <w:t>标准</w:t>
      </w:r>
      <w:r>
        <w:rPr>
          <w:rFonts w:hint="eastAsia" w:ascii="仿宋_GB2312" w:hAnsi="仿宋" w:eastAsia="仿宋_GB2312" w:cs="宋体"/>
          <w:sz w:val="32"/>
          <w:szCs w:val="32"/>
          <w:lang w:bidi="ar"/>
        </w:rPr>
        <w:t>相适应</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val="en-US" w:eastAsia="zh-CN" w:bidi="ar"/>
        </w:rPr>
        <w:t>最后</w:t>
      </w:r>
      <w:r>
        <w:rPr>
          <w:rFonts w:hint="eastAsia" w:ascii="仿宋_GB2312" w:hAnsi="仿宋" w:eastAsia="仿宋_GB2312" w:cs="宋体"/>
          <w:sz w:val="32"/>
          <w:szCs w:val="32"/>
          <w:lang w:bidi="ar"/>
        </w:rPr>
        <w:t>由</w:t>
      </w:r>
      <w:r>
        <w:rPr>
          <w:rFonts w:hint="eastAsia" w:ascii="仿宋_GB2312" w:hAnsi="仿宋" w:eastAsia="仿宋_GB2312" w:cs="宋体"/>
          <w:sz w:val="32"/>
          <w:szCs w:val="32"/>
          <w:lang w:val="en-US" w:eastAsia="zh-CN" w:bidi="ar"/>
        </w:rPr>
        <w:t>叶城县教育局申请</w:t>
      </w:r>
      <w:r>
        <w:rPr>
          <w:rFonts w:hint="eastAsia" w:ascii="仿宋_GB2312" w:hAnsi="仿宋" w:eastAsia="仿宋_GB2312" w:cs="宋体"/>
          <w:sz w:val="32"/>
          <w:szCs w:val="32"/>
          <w:lang w:bidi="ar"/>
        </w:rPr>
        <w:t>，经</w:t>
      </w:r>
      <w:r>
        <w:rPr>
          <w:rFonts w:hint="eastAsia" w:ascii="仿宋_GB2312" w:hAnsi="仿宋" w:eastAsia="仿宋_GB2312" w:cs="宋体"/>
          <w:sz w:val="32"/>
          <w:szCs w:val="32"/>
          <w:lang w:val="en-US" w:eastAsia="zh-CN" w:bidi="ar"/>
        </w:rPr>
        <w:t>过多次</w:t>
      </w:r>
      <w:r>
        <w:rPr>
          <w:rFonts w:hint="eastAsia" w:ascii="仿宋_GB2312" w:hAnsi="仿宋" w:eastAsia="仿宋_GB2312" w:cs="宋体"/>
          <w:sz w:val="32"/>
          <w:szCs w:val="32"/>
          <w:lang w:bidi="ar"/>
        </w:rPr>
        <w:t>讨论，</w:t>
      </w:r>
      <w:r>
        <w:rPr>
          <w:rFonts w:hint="eastAsia" w:ascii="仿宋_GB2312" w:hAnsi="仿宋" w:eastAsia="仿宋_GB2312" w:cs="宋体"/>
          <w:sz w:val="32"/>
          <w:szCs w:val="32"/>
          <w:lang w:val="en-US" w:eastAsia="zh-CN" w:bidi="ar"/>
        </w:rPr>
        <w:t>确定工作人员名单，</w:t>
      </w:r>
      <w:r>
        <w:rPr>
          <w:rFonts w:hint="eastAsia" w:ascii="仿宋_GB2312" w:hAnsi="仿宋" w:eastAsia="仿宋_GB2312" w:cs="宋体"/>
          <w:sz w:val="32"/>
          <w:szCs w:val="32"/>
          <w:lang w:bidi="ar"/>
        </w:rPr>
        <w:t>并按要求将相关算申请材料报送</w:t>
      </w:r>
      <w:r>
        <w:rPr>
          <w:rFonts w:hint="eastAsia" w:ascii="仿宋_GB2312" w:hAnsi="仿宋" w:eastAsia="仿宋_GB2312" w:cs="宋体"/>
          <w:sz w:val="32"/>
          <w:szCs w:val="32"/>
          <w:lang w:val="en-US" w:eastAsia="zh-CN" w:bidi="ar"/>
        </w:rPr>
        <w:t>县政府、</w:t>
      </w:r>
      <w:r>
        <w:rPr>
          <w:rFonts w:hint="eastAsia" w:ascii="仿宋_GB2312" w:hAnsi="仿宋" w:eastAsia="仿宋_GB2312" w:cs="宋体"/>
          <w:sz w:val="32"/>
          <w:szCs w:val="32"/>
          <w:lang w:bidi="ar"/>
        </w:rPr>
        <w:t>财政局对申报项目进行</w:t>
      </w:r>
      <w:r>
        <w:rPr>
          <w:rFonts w:hint="eastAsia" w:ascii="仿宋_GB2312" w:hAnsi="仿宋" w:eastAsia="仿宋_GB2312" w:cs="宋体"/>
          <w:sz w:val="32"/>
          <w:szCs w:val="32"/>
          <w:lang w:val="en-US" w:eastAsia="zh-CN" w:bidi="ar"/>
        </w:rPr>
        <w:t>研讨</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val="en-US" w:eastAsia="zh-CN" w:bidi="ar"/>
        </w:rPr>
        <w:t>分析</w:t>
      </w:r>
      <w:r>
        <w:rPr>
          <w:rFonts w:hint="eastAsia" w:ascii="仿宋_GB2312" w:hAnsi="仿宋" w:eastAsia="仿宋_GB2312" w:cs="宋体"/>
          <w:sz w:val="32"/>
          <w:szCs w:val="32"/>
          <w:lang w:bidi="ar"/>
        </w:rPr>
        <w:t>。故该项目预算前期编制进行了实地调查论证及充分研究，预算编制谨慎</w:t>
      </w:r>
      <w:r>
        <w:rPr>
          <w:rFonts w:hint="eastAsia" w:ascii="仿宋_GB2312" w:hAnsi="仿宋" w:eastAsia="仿宋_GB2312" w:cs="宋体"/>
          <w:sz w:val="32"/>
          <w:szCs w:val="32"/>
          <w:lang w:val="en-US" w:eastAsia="zh-CN" w:bidi="ar"/>
        </w:rPr>
        <w:t>。</w:t>
      </w:r>
    </w:p>
    <w:p>
      <w:pPr>
        <w:numPr>
          <w:ilvl w:val="0"/>
          <w:numId w:val="7"/>
        </w:numPr>
        <w:spacing w:before="156" w:beforeLines="50" w:line="600" w:lineRule="exact"/>
        <w:ind w:left="0" w:leftChars="0" w:firstLine="640" w:firstLineChars="20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目标设置</w:t>
      </w:r>
    </w:p>
    <w:p>
      <w:pPr>
        <w:spacing w:before="120" w:beforeLines="50" w:line="600" w:lineRule="exact"/>
        <w:ind w:firstLine="640" w:firstLineChars="200"/>
        <w:rPr>
          <w:rFonts w:ascii="仿宋_GB2312" w:hAnsi="仿宋" w:eastAsia="仿宋_GB2312" w:cs="宋体"/>
          <w:sz w:val="32"/>
          <w:szCs w:val="32"/>
          <w:lang w:bidi="ar"/>
        </w:rPr>
      </w:pPr>
      <w:r>
        <w:rPr>
          <w:rFonts w:hint="default" w:ascii="仿宋_GB2312" w:hAnsi="仿宋" w:eastAsia="仿宋_GB2312" w:cs="宋体"/>
          <w:sz w:val="32"/>
          <w:szCs w:val="32"/>
          <w:lang w:val="en-US" w:eastAsia="zh-CN" w:bidi="ar"/>
        </w:rPr>
        <w:t>该项目前期项目单位已设置了明确、量化的绩效目标，但其部分绩效指标的设置过于笼统不够细化，经评价小组与</w:t>
      </w:r>
      <w:r>
        <w:rPr>
          <w:rFonts w:hint="eastAsia" w:ascii="仿宋_GB2312" w:hAnsi="仿宋" w:eastAsia="仿宋_GB2312" w:cs="宋体"/>
          <w:sz w:val="32"/>
          <w:szCs w:val="32"/>
          <w:lang w:val="en-US" w:eastAsia="zh-CN" w:bidi="ar"/>
        </w:rPr>
        <w:t>叶城县绩效第三方进行咨询商议</w:t>
      </w:r>
      <w:r>
        <w:rPr>
          <w:rFonts w:hint="default" w:ascii="仿宋_GB2312" w:hAnsi="仿宋" w:eastAsia="仿宋_GB2312" w:cs="宋体"/>
          <w:sz w:val="32"/>
          <w:szCs w:val="32"/>
          <w:lang w:val="en-US" w:eastAsia="zh-CN" w:bidi="ar"/>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sz w:val="32"/>
          <w:szCs w:val="32"/>
          <w:lang w:bidi="ar"/>
        </w:rPr>
        <w:t>。</w:t>
      </w:r>
    </w:p>
    <w:p>
      <w:pPr>
        <w:pStyle w:val="21"/>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ageBreakBefore w:val="0"/>
        <w:numPr>
          <w:ilvl w:val="0"/>
          <w:numId w:val="8"/>
        </w:numPr>
        <w:kinsoku/>
        <w:wordWrap/>
        <w:overflowPunct/>
        <w:topLinePunct w:val="0"/>
        <w:bidi w:val="0"/>
        <w:adjustRightInd/>
        <w:snapToGrid/>
        <w:spacing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资金管理</w:t>
      </w:r>
    </w:p>
    <w:p>
      <w:pPr>
        <w:pageBreakBefore w:val="0"/>
        <w:numPr>
          <w:ilvl w:val="0"/>
          <w:numId w:val="0"/>
        </w:numPr>
        <w:kinsoku/>
        <w:wordWrap/>
        <w:overflowPunct/>
        <w:topLinePunct w:val="0"/>
        <w:bidi w:val="0"/>
        <w:adjustRightInd/>
        <w:snapToGrid/>
        <w:spacing w:before="156" w:beforeLines="50" w:line="560" w:lineRule="exac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根据中央、自治区和喀什地区项目资金管理办法的要求，教育局严格按照项目资金规定的专项资金支持的项目条件和范围要求，严格按照有关规定使用管理项目资金。</w:t>
      </w:r>
    </w:p>
    <w:p>
      <w:pPr>
        <w:pageBreakBefore w:val="0"/>
        <w:numPr>
          <w:ilvl w:val="0"/>
          <w:numId w:val="0"/>
        </w:numPr>
        <w:kinsoku/>
        <w:wordWrap/>
        <w:overflowPunct/>
        <w:topLinePunct w:val="0"/>
        <w:bidi w:val="0"/>
        <w:adjustRightInd/>
        <w:snapToGrid/>
        <w:spacing w:before="156" w:beforeLines="50" w:line="560" w:lineRule="exac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本项目资金严格按照项目资金管理办法和地区财政资金管理制度支付资金；资金支付由本单位分管县领导、主管财务领导、县财政局等各级部门审批审核；</w:t>
      </w:r>
      <w:r>
        <w:rPr>
          <w:rFonts w:hint="eastAsia" w:ascii="仿宋_GB2312" w:hAnsi="仿宋" w:eastAsia="仿宋_GB2312" w:cs="宋体"/>
          <w:sz w:val="32"/>
          <w:szCs w:val="32"/>
          <w:lang w:val="en-US" w:eastAsia="zh-CN" w:bidi="ar"/>
        </w:rPr>
        <w:t>坚决保证资金拨付流程合理合规，有</w:t>
      </w:r>
      <w:r>
        <w:rPr>
          <w:rFonts w:hint="eastAsia" w:ascii="仿宋_GB2312" w:hAnsi="仿宋" w:eastAsia="仿宋_GB2312" w:cs="宋体"/>
          <w:sz w:val="32"/>
          <w:szCs w:val="32"/>
          <w:lang w:bidi="ar"/>
        </w:rPr>
        <w:t>完整的审批程序和手续，</w:t>
      </w:r>
      <w:r>
        <w:rPr>
          <w:rFonts w:hint="eastAsia" w:ascii="仿宋_GB2312" w:hAnsi="仿宋" w:eastAsia="仿宋_GB2312" w:cs="宋体"/>
          <w:sz w:val="32"/>
          <w:szCs w:val="32"/>
          <w:lang w:val="en-US" w:eastAsia="zh-CN" w:bidi="ar"/>
        </w:rPr>
        <w:t>不</w:t>
      </w:r>
      <w:r>
        <w:rPr>
          <w:rFonts w:hint="eastAsia" w:ascii="仿宋_GB2312" w:hAnsi="仿宋" w:eastAsia="仿宋_GB2312" w:cs="宋体"/>
          <w:sz w:val="32"/>
          <w:szCs w:val="32"/>
          <w:lang w:bidi="ar"/>
        </w:rPr>
        <w:t>存在截留、挤占、挪用、虚列支出等情况。</w:t>
      </w:r>
    </w:p>
    <w:p>
      <w:pPr>
        <w:pageBreakBefore w:val="0"/>
        <w:numPr>
          <w:ilvl w:val="0"/>
          <w:numId w:val="0"/>
        </w:numPr>
        <w:kinsoku/>
        <w:wordWrap/>
        <w:overflowPunct/>
        <w:topLinePunct w:val="0"/>
        <w:bidi w:val="0"/>
        <w:adjustRightInd/>
        <w:snapToGrid/>
        <w:spacing w:before="156" w:beforeLines="50" w:line="560" w:lineRule="exact"/>
        <w:ind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val="en-US" w:eastAsia="zh-CN" w:bidi="ar"/>
        </w:rPr>
        <w:t>（2）组织实施</w:t>
      </w:r>
    </w:p>
    <w:p>
      <w:pPr>
        <w:pageBreakBefore w:val="0"/>
        <w:numPr>
          <w:ilvl w:val="0"/>
          <w:numId w:val="0"/>
        </w:numPr>
        <w:kinsoku/>
        <w:wordWrap/>
        <w:overflowPunct/>
        <w:topLinePunct w:val="0"/>
        <w:bidi w:val="0"/>
        <w:adjustRightInd/>
        <w:snapToGrid/>
        <w:spacing w:before="156" w:beforeLines="50" w:line="560" w:lineRule="exact"/>
        <w:ind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val="en-US" w:eastAsia="zh-CN" w:bidi="ar"/>
        </w:rPr>
        <w:t>1.</w:t>
      </w:r>
      <w:r>
        <w:rPr>
          <w:rFonts w:hint="eastAsia" w:ascii="仿宋_GB2312" w:hAnsi="仿宋_GB2312" w:eastAsia="仿宋_GB2312" w:cs="仿宋_GB2312"/>
          <w:sz w:val="32"/>
          <w:szCs w:val="32"/>
        </w:rPr>
        <w:t>整理项目全过程资料建档：立项依据、资金及项目批复文件、绩效目标申报表、可行性研究报告、实施方案、绩效目标过程</w:t>
      </w:r>
      <w:r>
        <w:rPr>
          <w:rFonts w:hint="eastAsia" w:ascii="仿宋_GB2312" w:hAnsi="仿宋_GB2312" w:eastAsia="仿宋_GB2312" w:cs="仿宋_GB2312"/>
          <w:sz w:val="32"/>
          <w:szCs w:val="32"/>
          <w:lang w:eastAsia="zh-CN"/>
        </w:rPr>
        <w:t>记录</w:t>
      </w:r>
      <w:r>
        <w:rPr>
          <w:rFonts w:hint="eastAsia" w:ascii="仿宋_GB2312" w:hAnsi="仿宋_GB2312" w:eastAsia="仿宋_GB2312" w:cs="仿宋_GB2312"/>
          <w:sz w:val="32"/>
          <w:szCs w:val="32"/>
        </w:rPr>
        <w:t>表、验收报告（或决算）、满意度调查问卷。作为评价基础资料</w:t>
      </w:r>
      <w:r>
        <w:rPr>
          <w:rFonts w:hint="eastAsia" w:ascii="仿宋_GB2312" w:hAnsi="仿宋" w:eastAsia="仿宋_GB2312" w:cs="宋体"/>
          <w:sz w:val="32"/>
          <w:szCs w:val="32"/>
          <w:lang w:eastAsia="zh-CN" w:bidi="ar"/>
        </w:rPr>
        <w:t>。</w:t>
      </w:r>
      <w:r>
        <w:rPr>
          <w:rFonts w:hint="eastAsia" w:ascii="仿宋_GB2312" w:hAnsi="仿宋_GB2312" w:eastAsia="仿宋_GB2312" w:cs="仿宋_GB2312"/>
          <w:sz w:val="32"/>
          <w:szCs w:val="32"/>
        </w:rPr>
        <w:t>由本单位绩效分管领导、项目负责人、财务负责人等人员组成评价组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采取现场和非现场评价相结合的方式实施评价，核查核实评价基础资料，对缺少的资料要求实施单位补充，对由资金下发不及时和跨年度等原因导致未完成项目，提供相关说明和批复文件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记录工作底稿并经项目负责人和经办人签字确认。需要调查问卷的，发放调查问卷开展满意度调查工作</w:t>
      </w:r>
      <w:r>
        <w:rPr>
          <w:rFonts w:hint="eastAsia" w:ascii="仿宋_GB2312" w:hAnsi="仿宋_GB2312" w:eastAsia="仿宋_GB2312" w:cs="仿宋_GB2312"/>
          <w:sz w:val="32"/>
          <w:szCs w:val="32"/>
          <w:lang w:eastAsia="zh-CN"/>
        </w:rPr>
        <w:t>。</w:t>
      </w:r>
    </w:p>
    <w:p>
      <w:pPr>
        <w:pageBreakBefore w:val="0"/>
        <w:numPr>
          <w:ilvl w:val="0"/>
          <w:numId w:val="0"/>
        </w:numPr>
        <w:kinsoku/>
        <w:wordWrap/>
        <w:overflowPunct/>
        <w:topLinePunct w:val="0"/>
        <w:bidi w:val="0"/>
        <w:adjustRightInd/>
        <w:snapToGrid/>
        <w:spacing w:before="156" w:beforeLines="50" w:line="560" w:lineRule="exact"/>
        <w:ind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eastAsia="zh-CN" w:bidi="ar"/>
        </w:rPr>
        <w:t>从制度建设看：</w:t>
      </w:r>
      <w:r>
        <w:rPr>
          <w:rFonts w:hint="eastAsia" w:ascii="仿宋_GB2312" w:hAnsi="仿宋" w:eastAsia="仿宋_GB2312" w:cs="宋体"/>
          <w:sz w:val="32"/>
          <w:szCs w:val="32"/>
          <w:lang w:val="en-US" w:eastAsia="zh-CN" w:bidi="ar"/>
        </w:rPr>
        <w:t>制定了相应的管理制度</w:t>
      </w:r>
      <w:r>
        <w:rPr>
          <w:rFonts w:hint="eastAsia" w:ascii="仿宋_GB2312" w:hAnsi="仿宋" w:eastAsia="仿宋_GB2312" w:cs="宋体"/>
          <w:sz w:val="32"/>
          <w:szCs w:val="32"/>
          <w:lang w:eastAsia="zh-CN" w:bidi="ar"/>
        </w:rPr>
        <w:t>。</w:t>
      </w:r>
    </w:p>
    <w:p>
      <w:pPr>
        <w:spacing w:line="500" w:lineRule="exact"/>
        <w:ind w:firstLine="645"/>
        <w:rPr>
          <w:rFonts w:ascii="仿宋_GB2312" w:eastAsia="仿宋_GB2312"/>
          <w:sz w:val="32"/>
          <w:szCs w:val="32"/>
        </w:rPr>
      </w:pP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eastAsia="zh-CN" w:bidi="ar"/>
        </w:rPr>
        <w:t>从过程控制部分看：</w:t>
      </w:r>
      <w:r>
        <w:rPr>
          <w:rFonts w:hint="eastAsia" w:ascii="仿宋_GB2312" w:hAnsi="仿宋" w:eastAsia="仿宋_GB2312" w:cs="宋体"/>
          <w:sz w:val="32"/>
          <w:szCs w:val="32"/>
          <w:lang w:val="en-US" w:eastAsia="zh-CN" w:bidi="ar"/>
        </w:rPr>
        <w:t>严格按照资金支出的管理办法，对审批过程和流程进行了统一和规范，确保项目高质量完成</w:t>
      </w:r>
      <w:r>
        <w:rPr>
          <w:rFonts w:hint="eastAsia" w:ascii="仿宋_GB2312" w:eastAsia="仿宋_GB2312"/>
          <w:sz w:val="32"/>
          <w:szCs w:val="32"/>
        </w:rPr>
        <w:t>。</w:t>
      </w:r>
    </w:p>
    <w:p>
      <w:pPr>
        <w:pStyle w:val="21"/>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spacing w:before="120" w:beforeLines="50" w:line="600" w:lineRule="exact"/>
        <w:ind w:firstLine="660"/>
        <w:rPr>
          <w:rFonts w:hint="eastAsia" w:ascii="仿宋_GB2312" w:hAnsi="仿宋" w:eastAsia="仿宋_GB2312" w:cs="宋体"/>
          <w:sz w:val="32"/>
          <w:szCs w:val="32"/>
          <w:lang w:bidi="ar"/>
        </w:rPr>
      </w:pPr>
      <w:r>
        <w:rPr>
          <w:rFonts w:hint="eastAsia" w:ascii="仿宋_GB2312" w:hAnsi="仿宋_GB2312" w:eastAsia="仿宋_GB2312" w:cs="仿宋_GB2312"/>
          <w:sz w:val="32"/>
          <w:szCs w:val="32"/>
        </w:rPr>
        <w:t>根据</w:t>
      </w:r>
      <w:r>
        <w:rPr>
          <w:rFonts w:hint="eastAsia" w:ascii="仿宋_GB2312" w:hAnsi="仿宋" w:eastAsia="仿宋_GB2312" w:cs="宋体"/>
          <w:sz w:val="32"/>
          <w:szCs w:val="32"/>
          <w:lang w:bidi="ar"/>
        </w:rPr>
        <w:t>喀地财教【2018】152号、喀地财教【2019】3号、县喀地财教【2019】98号</w:t>
      </w:r>
      <w:r>
        <w:rPr>
          <w:rFonts w:hint="eastAsia" w:ascii="仿宋_GB2312" w:hAnsi="仿宋_GB2312" w:eastAsia="仿宋_GB2312" w:cs="仿宋_GB2312"/>
          <w:sz w:val="32"/>
          <w:szCs w:val="32"/>
        </w:rPr>
        <w:t>资金文号，</w:t>
      </w:r>
      <w:r>
        <w:rPr>
          <w:rFonts w:hint="eastAsia" w:ascii="仿宋_GB2312" w:hAnsi="仿宋" w:eastAsia="仿宋_GB2312" w:cs="宋体"/>
          <w:sz w:val="32"/>
          <w:szCs w:val="32"/>
          <w:lang w:bidi="ar"/>
        </w:rPr>
        <w:t>下达自治区农村学前三年免费教育发展保障经费项目</w:t>
      </w:r>
      <w:r>
        <w:rPr>
          <w:rFonts w:hint="eastAsia" w:ascii="仿宋_GB2312" w:hAnsi="仿宋" w:eastAsia="仿宋_GB2312" w:cs="宋体"/>
          <w:sz w:val="32"/>
          <w:szCs w:val="32"/>
          <w:lang w:eastAsia="zh-CN" w:bidi="ar"/>
        </w:rPr>
        <w:t>，</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14795.36万</w:t>
      </w:r>
      <w:r>
        <w:rPr>
          <w:rFonts w:hint="eastAsia" w:ascii="仿宋_GB2312" w:hAnsi="仿宋_GB2312" w:eastAsia="仿宋_GB2312" w:cs="仿宋_GB2312"/>
          <w:sz w:val="32"/>
          <w:szCs w:val="32"/>
        </w:rPr>
        <w:t>元</w:t>
      </w:r>
      <w:r>
        <w:rPr>
          <w:rFonts w:hint="eastAsia" w:ascii="仿宋_GB2312" w:hAnsi="仿宋" w:eastAsia="仿宋_GB2312" w:cs="宋体"/>
          <w:sz w:val="32"/>
          <w:szCs w:val="32"/>
          <w:lang w:bidi="ar"/>
        </w:rPr>
        <w:t>。购买电教设备，办公用品，办公家具，打印机，电脑，校园广播等，</w:t>
      </w:r>
      <w:r>
        <w:rPr>
          <w:rFonts w:hint="eastAsia" w:ascii="仿宋_GB2312" w:hAnsi="仿宋_GB2312" w:eastAsia="仿宋_GB2312" w:cs="仿宋_GB2312"/>
          <w:sz w:val="32"/>
          <w:szCs w:val="32"/>
        </w:rPr>
        <w:t>支付取暖费和幼儿保育员、厨师工资，幼儿</w:t>
      </w:r>
      <w:r>
        <w:rPr>
          <w:rFonts w:hint="eastAsia" w:ascii="仿宋_GB2312" w:hAnsi="仿宋_GB2312" w:eastAsia="仿宋_GB2312" w:cs="仿宋_GB2312"/>
          <w:sz w:val="32"/>
          <w:szCs w:val="32"/>
          <w:lang w:eastAsia="zh-CN"/>
        </w:rPr>
        <w:t>伙食补助费</w:t>
      </w:r>
      <w:r>
        <w:rPr>
          <w:rFonts w:hint="eastAsia" w:ascii="仿宋_GB2312" w:hAnsi="仿宋_GB2312" w:eastAsia="仿宋_GB2312" w:cs="仿宋_GB2312"/>
          <w:sz w:val="32"/>
          <w:szCs w:val="32"/>
        </w:rPr>
        <w:t>补助等费用，涉及农村学前三年适龄幼儿</w:t>
      </w:r>
      <w:r>
        <w:rPr>
          <w:rFonts w:hint="eastAsia" w:ascii="仿宋_GB2312" w:hAnsi="仿宋_GB2312" w:eastAsia="仿宋_GB2312" w:cs="仿宋_GB2312"/>
          <w:sz w:val="32"/>
          <w:szCs w:val="32"/>
          <w:lang w:val="en-US" w:eastAsia="zh-CN"/>
        </w:rPr>
        <w:t>56364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39个学校</w:t>
      </w:r>
      <w:r>
        <w:rPr>
          <w:rFonts w:hint="eastAsia" w:ascii="仿宋_GB2312" w:hAnsi="仿宋" w:eastAsia="仿宋_GB2312" w:cs="宋体"/>
          <w:sz w:val="32"/>
          <w:szCs w:val="32"/>
          <w:lang w:bidi="ar"/>
        </w:rPr>
        <w:t>建档立卡贫困户14492户，</w:t>
      </w:r>
      <w:r>
        <w:rPr>
          <w:rFonts w:hint="eastAsia" w:ascii="仿宋_GB2312" w:hAnsi="仿宋" w:eastAsia="仿宋_GB2312" w:cs="宋体"/>
          <w:sz w:val="32"/>
          <w:szCs w:val="32"/>
          <w:lang w:val="en-US" w:eastAsia="zh-CN" w:bidi="ar"/>
        </w:rPr>
        <w:t>新增幼儿园171所，</w:t>
      </w:r>
      <w:r>
        <w:rPr>
          <w:rFonts w:hint="eastAsia" w:ascii="仿宋_GB2312" w:hAnsi="仿宋" w:eastAsia="仿宋_GB2312" w:cs="宋体"/>
          <w:sz w:val="32"/>
          <w:szCs w:val="32"/>
          <w:lang w:bidi="ar"/>
        </w:rPr>
        <w:t>改善学生的伙食生活。</w:t>
      </w:r>
    </w:p>
    <w:tbl>
      <w:tblPr>
        <w:tblStyle w:val="15"/>
        <w:tblW w:w="8339" w:type="dxa"/>
        <w:tblInd w:w="0" w:type="dxa"/>
        <w:shd w:val="clear" w:color="auto" w:fill="auto"/>
        <w:tblLayout w:type="fixed"/>
        <w:tblCellMar>
          <w:top w:w="0" w:type="dxa"/>
          <w:left w:w="0" w:type="dxa"/>
          <w:bottom w:w="0" w:type="dxa"/>
          <w:right w:w="0" w:type="dxa"/>
        </w:tblCellMar>
      </w:tblPr>
      <w:tblGrid>
        <w:gridCol w:w="1216"/>
        <w:gridCol w:w="1036"/>
        <w:gridCol w:w="3513"/>
        <w:gridCol w:w="1375"/>
        <w:gridCol w:w="1199"/>
      </w:tblGrid>
      <w:tr>
        <w:tblPrEx>
          <w:shd w:val="clear" w:color="auto" w:fill="auto"/>
          <w:tblCellMar>
            <w:top w:w="0" w:type="dxa"/>
            <w:left w:w="0" w:type="dxa"/>
            <w:bottom w:w="0" w:type="dxa"/>
            <w:right w:w="0" w:type="dxa"/>
          </w:tblCellMar>
        </w:tblPrEx>
        <w:trPr>
          <w:trHeight w:val="500" w:hRule="atLeast"/>
        </w:trPr>
        <w:tc>
          <w:tcPr>
            <w:tcW w:w="12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农村学前三年适龄幼儿人数（名）</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55282</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55282</w:t>
            </w:r>
          </w:p>
        </w:tc>
      </w:tr>
      <w:tr>
        <w:tblPrEx>
          <w:tblCellMar>
            <w:top w:w="0" w:type="dxa"/>
            <w:left w:w="0" w:type="dxa"/>
            <w:bottom w:w="0" w:type="dxa"/>
            <w:right w:w="0" w:type="dxa"/>
          </w:tblCellMar>
        </w:tblPrEx>
        <w:trPr>
          <w:trHeight w:val="500" w:hRule="atLeast"/>
        </w:trPr>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新增幼儿园（所）</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171</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171</w:t>
            </w:r>
          </w:p>
        </w:tc>
      </w:tr>
      <w:tr>
        <w:tblPrEx>
          <w:tblCellMar>
            <w:top w:w="0" w:type="dxa"/>
            <w:left w:w="0" w:type="dxa"/>
            <w:bottom w:w="0" w:type="dxa"/>
            <w:right w:w="0" w:type="dxa"/>
          </w:tblCellMar>
        </w:tblPrEx>
        <w:trPr>
          <w:trHeight w:val="500" w:hRule="atLeast"/>
        </w:trPr>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学前三年毛入园率（%）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农村学前保障覆盖率（%）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资金到位率（%）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资助家庭经济困难幼儿入园率（%）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资金及时拨付率（%）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5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农村学前适龄儿童享受标准（元/年/名）</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2136</w:t>
            </w:r>
          </w:p>
        </w:tc>
      </w:tr>
    </w:tbl>
    <w:p>
      <w:pPr>
        <w:pStyle w:val="21"/>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spacing w:before="120" w:beforeLines="50" w:line="600" w:lineRule="exact"/>
        <w:ind w:firstLine="660"/>
        <w:rPr>
          <w:rFonts w:ascii="仿宋_GB2312" w:hAnsi="仿宋" w:eastAsia="仿宋_GB2312" w:cs="宋体"/>
          <w:sz w:val="32"/>
          <w:szCs w:val="32"/>
          <w:lang w:bidi="ar"/>
        </w:rPr>
      </w:pPr>
      <w:r>
        <w:rPr>
          <w:rFonts w:ascii="仿宋_GB2312" w:hAnsi="仿宋" w:eastAsia="仿宋_GB2312" w:cs="宋体"/>
          <w:bCs/>
          <w:sz w:val="32"/>
          <w:szCs w:val="32"/>
          <w:lang w:bidi="ar"/>
        </w:rPr>
        <w:t xml:space="preserve"> </w:t>
      </w:r>
      <w:r>
        <w:rPr>
          <w:rFonts w:ascii="仿宋_GB2312" w:hAnsi="仿宋" w:eastAsia="仿宋_GB2312" w:cs="宋体"/>
          <w:sz w:val="32"/>
          <w:szCs w:val="32"/>
          <w:lang w:bidi="ar"/>
        </w:rPr>
        <w:t>结合全县中小学布局现状，推进义务教育学校标准化建设和均衡发展，巩固提高义务教育质量，整合教育资源，让青少年“学习在学校、生活在学校、成长在学校”。全面推进</w:t>
      </w:r>
      <w:r>
        <w:rPr>
          <w:rFonts w:hint="eastAsia" w:ascii="仿宋_GB2312" w:hAnsi="仿宋" w:eastAsia="仿宋_GB2312" w:cs="宋体"/>
          <w:sz w:val="32"/>
          <w:szCs w:val="32"/>
          <w:lang w:eastAsia="zh-CN" w:bidi="ar"/>
        </w:rPr>
        <w:t>国家通用语言教育</w:t>
      </w:r>
      <w:r>
        <w:rPr>
          <w:rFonts w:ascii="仿宋_GB2312" w:hAnsi="仿宋" w:eastAsia="仿宋_GB2312" w:cs="宋体"/>
          <w:sz w:val="32"/>
          <w:szCs w:val="32"/>
          <w:lang w:bidi="ar"/>
        </w:rPr>
        <w:t>，全面提升教育质量，全面实现均衡发展，办好让党和政府放心、人民群众满意的教育</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培养社会主义事业合格建设者和可靠接班人。</w:t>
      </w:r>
    </w:p>
    <w:p>
      <w:pPr>
        <w:spacing w:before="120" w:beforeLines="50" w:line="600" w:lineRule="exact"/>
        <w:ind w:firstLine="660"/>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本项目的建设将有效</w:t>
      </w:r>
      <w:r>
        <w:rPr>
          <w:rFonts w:hint="eastAsia" w:ascii="仿宋_GB2312" w:hAnsi="仿宋_GB2312" w:eastAsia="仿宋_GB2312" w:cs="仿宋_GB2312"/>
          <w:sz w:val="32"/>
          <w:szCs w:val="32"/>
        </w:rPr>
        <w:t>改善学生的伙食生活，激发贫困户增收的信心</w:t>
      </w:r>
      <w:r>
        <w:rPr>
          <w:rFonts w:hint="eastAsia" w:ascii="仿宋_GB2312" w:hAnsi="仿宋_GB2312" w:eastAsia="仿宋_GB2312" w:cs="仿宋_GB2312"/>
          <w:sz w:val="32"/>
          <w:szCs w:val="32"/>
          <w:lang w:eastAsia="zh-CN"/>
        </w:rPr>
        <w:t>。</w:t>
      </w:r>
      <w:r>
        <w:rPr>
          <w:rFonts w:hint="eastAsia" w:ascii="仿宋_GB2312" w:hAnsi="仿宋" w:eastAsia="仿宋_GB2312" w:cs="宋体"/>
          <w:sz w:val="32"/>
          <w:szCs w:val="32"/>
          <w:lang w:bidi="ar"/>
        </w:rPr>
        <w:t>引导地方提高义务教育普惠保障水平</w:t>
      </w:r>
      <w:r>
        <w:rPr>
          <w:rFonts w:hint="eastAsia" w:ascii="仿宋_GB2312" w:hAnsi="仿宋" w:eastAsia="仿宋_GB2312" w:cs="宋体"/>
          <w:sz w:val="32"/>
          <w:szCs w:val="32"/>
          <w:lang w:eastAsia="zh-CN" w:bidi="ar"/>
        </w:rPr>
        <w:t>，城乡教育幼儿园差距逐年降低，教育教学水平每年提升，</w:t>
      </w:r>
      <w:r>
        <w:rPr>
          <w:rFonts w:hint="eastAsia" w:ascii="仿宋_GB2312" w:hAnsi="仿宋" w:eastAsia="仿宋_GB2312" w:cs="宋体"/>
          <w:sz w:val="32"/>
          <w:szCs w:val="32"/>
          <w:lang w:bidi="ar"/>
        </w:rPr>
        <w:t>达到正常开展教育教学，实现学前三年免费教育、保障幼儿身心健康发展</w:t>
      </w:r>
      <w:r>
        <w:rPr>
          <w:rFonts w:hint="eastAsia" w:ascii="仿宋_GB2312" w:hAnsi="仿宋" w:eastAsia="仿宋_GB2312" w:cs="宋体"/>
          <w:sz w:val="32"/>
          <w:szCs w:val="32"/>
          <w:lang w:eastAsia="zh-CN" w:bidi="ar"/>
        </w:rPr>
        <w:t>。</w:t>
      </w:r>
    </w:p>
    <w:tbl>
      <w:tblPr>
        <w:tblStyle w:val="15"/>
        <w:tblW w:w="8339" w:type="dxa"/>
        <w:tblInd w:w="0" w:type="dxa"/>
        <w:shd w:val="clear" w:color="auto" w:fill="auto"/>
        <w:tblLayout w:type="fixed"/>
        <w:tblCellMar>
          <w:top w:w="0" w:type="dxa"/>
          <w:left w:w="0" w:type="dxa"/>
          <w:bottom w:w="0" w:type="dxa"/>
          <w:right w:w="0" w:type="dxa"/>
        </w:tblCellMar>
      </w:tblPr>
      <w:tblGrid>
        <w:gridCol w:w="1213"/>
        <w:gridCol w:w="1036"/>
        <w:gridCol w:w="3514"/>
        <w:gridCol w:w="1375"/>
        <w:gridCol w:w="1201"/>
      </w:tblGrid>
      <w:tr>
        <w:tblPrEx>
          <w:tblCellMar>
            <w:top w:w="0" w:type="dxa"/>
            <w:left w:w="0" w:type="dxa"/>
            <w:bottom w:w="0" w:type="dxa"/>
            <w:right w:w="0" w:type="dxa"/>
          </w:tblCellMar>
        </w:tblPrEx>
        <w:trPr>
          <w:trHeight w:val="500" w:hRule="atLeast"/>
        </w:trPr>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一级指标</w:t>
            </w:r>
          </w:p>
        </w:tc>
        <w:tc>
          <w:tcPr>
            <w:tcW w:w="10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二级指标</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三级指标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年度指标值</w:t>
            </w:r>
          </w:p>
        </w:tc>
        <w:tc>
          <w:tcPr>
            <w:tcW w:w="12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减轻地方财政负担（万元）</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11,808.19 </w:t>
            </w:r>
          </w:p>
        </w:tc>
        <w:tc>
          <w:tcPr>
            <w:tcW w:w="12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11,808.19 </w:t>
            </w:r>
          </w:p>
        </w:tc>
      </w:tr>
      <w:tr>
        <w:tblPrEx>
          <w:tblCellMar>
            <w:top w:w="0" w:type="dxa"/>
            <w:left w:w="0" w:type="dxa"/>
            <w:bottom w:w="0" w:type="dxa"/>
            <w:right w:w="0" w:type="dxa"/>
          </w:tblCellMar>
        </w:tblPrEx>
        <w:trPr>
          <w:trHeight w:val="500" w:hRule="atLeast"/>
        </w:trPr>
        <w:tc>
          <w:tcPr>
            <w:tcW w:w="12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引导地方提高义务教育普惠保障水平（%）</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覆盖建档立卡贫困户儿童免费享受学前教育人数（人）</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14492</w:t>
            </w:r>
          </w:p>
        </w:tc>
        <w:tc>
          <w:tcPr>
            <w:tcW w:w="12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14492</w:t>
            </w:r>
          </w:p>
        </w:tc>
      </w:tr>
      <w:tr>
        <w:tblPrEx>
          <w:tblCellMar>
            <w:top w:w="0" w:type="dxa"/>
            <w:left w:w="0" w:type="dxa"/>
            <w:bottom w:w="0" w:type="dxa"/>
            <w:right w:w="0" w:type="dxa"/>
          </w:tblCellMar>
        </w:tblPrEx>
        <w:trPr>
          <w:trHeight w:val="500" w:hRule="atLeast"/>
        </w:trPr>
        <w:tc>
          <w:tcPr>
            <w:tcW w:w="12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2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城乡教育幼儿园差距逐年降低，教育教学水平每年提升率（%）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2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r>
      <w:tr>
        <w:tblPrEx>
          <w:tblCellMar>
            <w:top w:w="0" w:type="dxa"/>
            <w:left w:w="0" w:type="dxa"/>
            <w:bottom w:w="0" w:type="dxa"/>
            <w:right w:w="0" w:type="dxa"/>
          </w:tblCellMar>
        </w:tblPrEx>
        <w:trPr>
          <w:trHeight w:val="500" w:hRule="atLeast"/>
        </w:trPr>
        <w:tc>
          <w:tcPr>
            <w:tcW w:w="12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3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满意度指标</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建档立卡贫困学前儿童人数满意率（%）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2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r>
        <w:tblPrEx>
          <w:tblCellMar>
            <w:top w:w="0" w:type="dxa"/>
            <w:left w:w="0" w:type="dxa"/>
            <w:bottom w:w="0" w:type="dxa"/>
            <w:right w:w="0" w:type="dxa"/>
          </w:tblCellMar>
        </w:tblPrEx>
        <w:trPr>
          <w:trHeight w:val="500" w:hRule="atLeast"/>
        </w:trPr>
        <w:tc>
          <w:tcPr>
            <w:tcW w:w="12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非建档立卡贫困学前儿童人数满意率（%）</w:t>
            </w:r>
          </w:p>
        </w:tc>
        <w:tc>
          <w:tcPr>
            <w:tcW w:w="13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20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bl>
    <w:p>
      <w:pPr>
        <w:pStyle w:val="25"/>
        <w:numPr>
          <w:ilvl w:val="0"/>
          <w:numId w:val="0"/>
        </w:numPr>
        <w:ind w:left="643" w:leftChars="0"/>
        <w:rPr>
          <w:lang w:bidi="ar"/>
        </w:rPr>
      </w:pPr>
      <w:r>
        <w:rPr>
          <w:rFonts w:hint="eastAsia" w:ascii="黑体" w:hAnsi="黑体"/>
          <w:lang w:val="en-US" w:eastAsia="zh-CN"/>
        </w:rPr>
        <w:t>五、</w:t>
      </w:r>
      <w:r>
        <w:rPr>
          <w:rFonts w:hint="eastAsia" w:ascii="黑体" w:hAnsi="黑体"/>
        </w:rPr>
        <w:t>主要经验及做法、存在的问题及原因分析</w:t>
      </w:r>
    </w:p>
    <w:p>
      <w:pPr>
        <w:pStyle w:val="27"/>
        <w:numPr>
          <w:ilvl w:val="0"/>
          <w:numId w:val="9"/>
        </w:numPr>
        <w:ind w:left="0" w:firstLine="643" w:firstLineChars="200"/>
        <w:rPr>
          <w:lang w:bidi="ar"/>
        </w:rPr>
      </w:pPr>
      <w:r>
        <w:rPr>
          <w:rFonts w:hint="eastAsia"/>
          <w:lang w:bidi="ar"/>
        </w:rPr>
        <w:t>主要经验及做法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b w:val="0"/>
          <w:lang w:bidi="ar"/>
        </w:rPr>
      </w:pPr>
      <w:r>
        <w:rPr>
          <w:rFonts w:hint="eastAsia" w:ascii="仿宋_GB2312" w:eastAsia="仿宋_GB2312" w:cs="Times New Roman" w:hAnsiTheme="majorHAnsi"/>
          <w:bCs/>
          <w:sz w:val="32"/>
          <w:szCs w:val="32"/>
          <w:lang w:bidi="ar"/>
        </w:rPr>
        <w:t>本项目实施效果较好的原因主要是管理制度完善、责任落实到位，跟踪考核机制完善且运行有效，在项目实施过程中创新管理办法通过预算绩效管理，总结了工作中的较好的经验，资金的使用按照政策标准，专款专用，张榜公示，做到政务公开，项目资金工作置于民众的监督之下，执行“阳光操作、阳光惠民”，保证各项工作公开透明。</w:t>
      </w:r>
    </w:p>
    <w:p>
      <w:pPr>
        <w:pStyle w:val="27"/>
        <w:keepNext w:val="0"/>
        <w:keepLines w:val="0"/>
        <w:pageBreakBefore w:val="0"/>
        <w:widowControl w:val="0"/>
        <w:numPr>
          <w:ilvl w:val="0"/>
          <w:numId w:val="9"/>
        </w:numPr>
        <w:kinsoku/>
        <w:wordWrap/>
        <w:overflowPunct/>
        <w:topLinePunct w:val="0"/>
        <w:autoSpaceDE/>
        <w:autoSpaceDN/>
        <w:bidi w:val="0"/>
        <w:ind w:left="0" w:firstLine="643" w:firstLineChars="200"/>
        <w:textAlignment w:val="auto"/>
        <w:rPr>
          <w:lang w:bidi="ar"/>
        </w:rPr>
      </w:pPr>
      <w:r>
        <w:rPr>
          <w:rFonts w:hint="eastAsia"/>
          <w:lang w:bidi="ar"/>
        </w:rPr>
        <w:t>存在的问题及原因分析</w:t>
      </w:r>
    </w:p>
    <w:p>
      <w:pPr>
        <w:pStyle w:val="27"/>
        <w:keepNext w:val="0"/>
        <w:keepLines w:val="0"/>
        <w:pageBreakBefore w:val="0"/>
        <w:widowControl w:val="0"/>
        <w:numPr>
          <w:ilvl w:val="0"/>
          <w:numId w:val="0"/>
        </w:numPr>
        <w:kinsoku/>
        <w:wordWrap/>
        <w:overflowPunct/>
        <w:topLinePunct w:val="0"/>
        <w:autoSpaceDE/>
        <w:autoSpaceDN/>
        <w:bidi w:val="0"/>
        <w:ind w:firstLine="645"/>
        <w:textAlignment w:val="auto"/>
        <w:rPr>
          <w:b w:val="0"/>
          <w:lang w:bidi="ar"/>
        </w:rPr>
      </w:pPr>
      <w:r>
        <w:rPr>
          <w:rFonts w:hint="eastAsia"/>
          <w:b w:val="0"/>
          <w:lang w:bidi="ar"/>
        </w:rPr>
        <w:t>通过预算绩效管理，发现了工作中存在的不足，如前期资金使用因项目资金是按学期下达的，未达到时间节点，未支付完，导致了资金滞缓，影响了项目的进度，造成了部分资金的浪费。</w:t>
      </w:r>
    </w:p>
    <w:p>
      <w:pPr>
        <w:pStyle w:val="25"/>
        <w:keepNext w:val="0"/>
        <w:keepLines w:val="0"/>
        <w:pageBreakBefore w:val="0"/>
        <w:widowControl w:val="0"/>
        <w:numPr>
          <w:ilvl w:val="0"/>
          <w:numId w:val="0"/>
        </w:numPr>
        <w:kinsoku/>
        <w:wordWrap/>
        <w:overflowPunct/>
        <w:topLinePunct w:val="0"/>
        <w:autoSpaceDE/>
        <w:autoSpaceDN/>
        <w:bidi w:val="0"/>
        <w:ind w:left="643" w:leftChars="0"/>
        <w:textAlignment w:val="auto"/>
        <w:rPr>
          <w:rFonts w:ascii="黑体" w:hAnsi="黑体"/>
        </w:rPr>
      </w:pPr>
      <w:r>
        <w:rPr>
          <w:rFonts w:hint="eastAsia" w:ascii="黑体" w:hAnsi="黑体"/>
          <w:lang w:val="en-US" w:eastAsia="zh-CN"/>
        </w:rPr>
        <w:t>六、</w:t>
      </w:r>
      <w:r>
        <w:rPr>
          <w:rFonts w:hint="eastAsia" w:ascii="黑体" w:hAnsi="黑体"/>
        </w:rPr>
        <w:t>有关建议</w:t>
      </w:r>
    </w:p>
    <w:p>
      <w:pPr>
        <w:pStyle w:val="27"/>
        <w:keepNext w:val="0"/>
        <w:keepLines w:val="0"/>
        <w:pageBreakBefore w:val="0"/>
        <w:widowControl w:val="0"/>
        <w:numPr>
          <w:ilvl w:val="0"/>
          <w:numId w:val="0"/>
        </w:numPr>
        <w:kinsoku/>
        <w:wordWrap/>
        <w:overflowPunct/>
        <w:topLinePunct w:val="0"/>
        <w:autoSpaceDE/>
        <w:autoSpaceDN/>
        <w:bidi w:val="0"/>
        <w:ind w:firstLine="645"/>
        <w:textAlignment w:val="auto"/>
        <w:rPr>
          <w:rFonts w:ascii="黑体" w:hAnsi="黑体"/>
          <w:b w:val="0"/>
        </w:rPr>
      </w:pPr>
      <w:r>
        <w:rPr>
          <w:rFonts w:hint="eastAsia"/>
          <w:b w:val="0"/>
          <w:lang w:bidi="ar"/>
        </w:rPr>
        <w:t>年初做好资金计划，按照项目进度及时拨付资金，使资金使用效益最大化，减少不必要的浪费，节约成本。</w:t>
      </w:r>
    </w:p>
    <w:p>
      <w:pPr>
        <w:pStyle w:val="25"/>
        <w:keepNext w:val="0"/>
        <w:keepLines w:val="0"/>
        <w:pageBreakBefore w:val="0"/>
        <w:widowControl w:val="0"/>
        <w:numPr>
          <w:ilvl w:val="0"/>
          <w:numId w:val="0"/>
        </w:numPr>
        <w:kinsoku/>
        <w:wordWrap/>
        <w:overflowPunct/>
        <w:topLinePunct w:val="0"/>
        <w:autoSpaceDE/>
        <w:autoSpaceDN/>
        <w:bidi w:val="0"/>
        <w:ind w:left="643" w:leftChars="0"/>
        <w:textAlignment w:val="auto"/>
        <w:rPr>
          <w:rFonts w:ascii="黑体" w:hAnsi="黑体"/>
        </w:rPr>
      </w:pPr>
      <w:r>
        <w:rPr>
          <w:rFonts w:hint="eastAsia" w:ascii="黑体" w:hAnsi="黑体"/>
          <w:lang w:val="en-US" w:eastAsia="zh-CN"/>
        </w:rPr>
        <w:t>七、</w:t>
      </w:r>
      <w:r>
        <w:rPr>
          <w:rFonts w:hint="eastAsia" w:ascii="黑体" w:hAnsi="黑体"/>
        </w:rPr>
        <w:t>其他需要说明的问题</w:t>
      </w:r>
    </w:p>
    <w:p>
      <w:pPr>
        <w:pStyle w:val="25"/>
        <w:keepNext w:val="0"/>
        <w:keepLines w:val="0"/>
        <w:pageBreakBefore w:val="0"/>
        <w:widowControl w:val="0"/>
        <w:kinsoku/>
        <w:wordWrap/>
        <w:overflowPunct/>
        <w:topLinePunct w:val="0"/>
        <w:autoSpaceDE/>
        <w:autoSpaceDN/>
        <w:bidi w:val="0"/>
        <w:ind w:firstLine="640"/>
        <w:textAlignment w:val="auto"/>
        <w:rPr>
          <w:rFonts w:hint="eastAsia" w:ascii="仿宋_GB2312" w:eastAsia="仿宋_GB2312" w:hAnsiTheme="majorHAnsi"/>
          <w:b w:val="0"/>
          <w:kern w:val="2"/>
          <w:lang w:eastAsia="zh-CN" w:bidi="ar"/>
        </w:rPr>
      </w:pPr>
      <w:r>
        <w:rPr>
          <w:rFonts w:hint="eastAsia" w:ascii="仿宋_GB2312" w:eastAsia="仿宋_GB2312" w:hAnsiTheme="majorHAnsi"/>
          <w:b w:val="0"/>
          <w:kern w:val="2"/>
          <w:lang w:bidi="ar"/>
        </w:rPr>
        <w:t>无</w:t>
      </w:r>
      <w:r>
        <w:rPr>
          <w:rFonts w:hint="eastAsia" w:ascii="仿宋_GB2312" w:eastAsia="仿宋_GB2312" w:hAnsiTheme="majorHAnsi"/>
          <w:b w:val="0"/>
          <w:kern w:val="2"/>
          <w:lang w:eastAsia="zh-CN" w:bidi="ar"/>
        </w:rPr>
        <w:t>。</w:t>
      </w:r>
    </w:p>
    <w:p>
      <w:pPr>
        <w:keepNext w:val="0"/>
        <w:keepLines w:val="0"/>
        <w:pageBreakBefore w:val="0"/>
        <w:widowControl w:val="0"/>
        <w:kinsoku/>
        <w:wordWrap/>
        <w:overflowPunct/>
        <w:topLinePunct w:val="0"/>
        <w:autoSpaceDE/>
        <w:autoSpaceDN/>
        <w:bidi w:val="0"/>
        <w:spacing w:before="120" w:beforeLines="50" w:line="600" w:lineRule="exact"/>
        <w:ind w:firstLine="640" w:firstLineChars="200"/>
        <w:textAlignment w:val="auto"/>
        <w:rPr>
          <w:rFonts w:ascii="仿宋_GB2312" w:hAnsi="仿宋" w:eastAsia="仿宋_GB2312" w:cs="宋体"/>
          <w:sz w:val="32"/>
          <w:szCs w:val="32"/>
          <w:lang w:bidi="ar"/>
        </w:rPr>
      </w:pPr>
    </w:p>
    <w:p>
      <w:pPr>
        <w:keepNext w:val="0"/>
        <w:keepLines w:val="0"/>
        <w:pageBreakBefore w:val="0"/>
        <w:widowControl w:val="0"/>
        <w:kinsoku/>
        <w:wordWrap/>
        <w:overflowPunct/>
        <w:topLinePunct w:val="0"/>
        <w:autoSpaceDE/>
        <w:autoSpaceDN/>
        <w:bidi w:val="0"/>
        <w:spacing w:before="120" w:beforeLines="50" w:line="600" w:lineRule="exact"/>
        <w:ind w:firstLine="640" w:firstLineChars="200"/>
        <w:textAlignment w:val="auto"/>
        <w:rPr>
          <w:rFonts w:ascii="仿宋_GB2312" w:hAnsi="仿宋" w:eastAsia="仿宋_GB2312" w:cs="宋体"/>
          <w:sz w:val="32"/>
          <w:szCs w:val="32"/>
          <w:lang w:bidi="ar"/>
        </w:rPr>
      </w:pPr>
    </w:p>
    <w:p>
      <w:pPr>
        <w:keepNext w:val="0"/>
        <w:keepLines w:val="0"/>
        <w:pageBreakBefore w:val="0"/>
        <w:widowControl w:val="0"/>
        <w:kinsoku/>
        <w:wordWrap/>
        <w:overflowPunct/>
        <w:topLinePunct w:val="0"/>
        <w:autoSpaceDE/>
        <w:autoSpaceDN/>
        <w:bidi w:val="0"/>
        <w:spacing w:before="120" w:beforeLines="50" w:line="600" w:lineRule="exac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附件1：喀什地区叶城县教育局自治区农村学前三年免费教育发展保障经费项目绩效目标表</w:t>
      </w:r>
    </w:p>
    <w:p>
      <w:pPr>
        <w:keepNext w:val="0"/>
        <w:keepLines w:val="0"/>
        <w:pageBreakBefore w:val="0"/>
        <w:widowControl w:val="0"/>
        <w:kinsoku/>
        <w:wordWrap/>
        <w:overflowPunct/>
        <w:topLinePunct w:val="0"/>
        <w:autoSpaceDE/>
        <w:autoSpaceDN/>
        <w:bidi w:val="0"/>
        <w:spacing w:before="120" w:beforeLines="50" w:line="600" w:lineRule="exac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附件2：喀什地区叶城县教育局自治区农村学前三年免费教育发展保障经费项目支出绩效自评表</w:t>
      </w:r>
    </w:p>
    <w:p>
      <w:pPr>
        <w:keepNext w:val="0"/>
        <w:keepLines w:val="0"/>
        <w:pageBreakBefore w:val="0"/>
        <w:widowControl w:val="0"/>
        <w:kinsoku/>
        <w:wordWrap/>
        <w:overflowPunct/>
        <w:topLinePunct w:val="0"/>
        <w:autoSpaceDE/>
        <w:autoSpaceDN/>
        <w:bidi w:val="0"/>
        <w:spacing w:before="120" w:beforeLines="50" w:line="600" w:lineRule="exac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附件3：喀什地区叶城县教育局自治区农村学前三年免费教育发展保障经费项目支出绩效评价指标体系</w:t>
      </w:r>
    </w:p>
    <w:p>
      <w:pPr>
        <w:keepNext w:val="0"/>
        <w:keepLines w:val="0"/>
        <w:pageBreakBefore w:val="0"/>
        <w:widowControl w:val="0"/>
        <w:kinsoku/>
        <w:wordWrap/>
        <w:overflowPunct/>
        <w:topLinePunct w:val="0"/>
        <w:autoSpaceDE/>
        <w:autoSpaceDN/>
        <w:bidi w:val="0"/>
        <w:spacing w:before="120" w:beforeLines="50" w:line="600" w:lineRule="exac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F5D7B307"/>
    <w:multiLevelType w:val="singleLevel"/>
    <w:tmpl w:val="F5D7B307"/>
    <w:lvl w:ilvl="0" w:tentative="0">
      <w:start w:val="1"/>
      <w:numFmt w:val="decimal"/>
      <w:suff w:val="nothing"/>
      <w:lvlText w:val="（%1）"/>
      <w:lvlJc w:val="left"/>
    </w:lvl>
  </w:abstractNum>
  <w:abstractNum w:abstractNumId="2">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3A7260C0"/>
    <w:multiLevelType w:val="multilevel"/>
    <w:tmpl w:val="3A7260C0"/>
    <w:lvl w:ilvl="0" w:tentative="0">
      <w:start w:val="1"/>
      <w:numFmt w:val="chineseCountingThousand"/>
      <w:pStyle w:val="2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7"/>
  </w:num>
  <w:num w:numId="3">
    <w:abstractNumId w:val="5"/>
  </w:num>
  <w:num w:numId="4">
    <w:abstractNumId w:val="4"/>
  </w:num>
  <w:num w:numId="5">
    <w:abstractNumId w:val="2"/>
  </w:num>
  <w:num w:numId="6">
    <w:abstractNumId w:val="6"/>
  </w:num>
  <w:num w:numId="7">
    <w:abstractNumId w:val="0"/>
  </w:num>
  <w:num w:numId="8">
    <w:abstractNumId w:val="1"/>
  </w:num>
  <w:num w:numId="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016AE"/>
    <w:rsid w:val="000107AE"/>
    <w:rsid w:val="00022413"/>
    <w:rsid w:val="00027649"/>
    <w:rsid w:val="000342E5"/>
    <w:rsid w:val="00037F93"/>
    <w:rsid w:val="00042126"/>
    <w:rsid w:val="00093BFC"/>
    <w:rsid w:val="00096365"/>
    <w:rsid w:val="000A45CF"/>
    <w:rsid w:val="000C5B8E"/>
    <w:rsid w:val="000C78E4"/>
    <w:rsid w:val="000E0C7B"/>
    <w:rsid w:val="000E4CE4"/>
    <w:rsid w:val="000E6618"/>
    <w:rsid w:val="000F2007"/>
    <w:rsid w:val="00100A64"/>
    <w:rsid w:val="00100AA9"/>
    <w:rsid w:val="00106D56"/>
    <w:rsid w:val="001143D6"/>
    <w:rsid w:val="0012798F"/>
    <w:rsid w:val="00132553"/>
    <w:rsid w:val="001404FD"/>
    <w:rsid w:val="00150EAB"/>
    <w:rsid w:val="00151AF1"/>
    <w:rsid w:val="00170445"/>
    <w:rsid w:val="00174F3A"/>
    <w:rsid w:val="0018169D"/>
    <w:rsid w:val="00193649"/>
    <w:rsid w:val="0019720C"/>
    <w:rsid w:val="001A1902"/>
    <w:rsid w:val="001A4FFA"/>
    <w:rsid w:val="001B5B44"/>
    <w:rsid w:val="001D5FF2"/>
    <w:rsid w:val="001D6F2E"/>
    <w:rsid w:val="00203FB6"/>
    <w:rsid w:val="00217DB0"/>
    <w:rsid w:val="00232024"/>
    <w:rsid w:val="00233ECE"/>
    <w:rsid w:val="002727E3"/>
    <w:rsid w:val="00280D74"/>
    <w:rsid w:val="002A1BF4"/>
    <w:rsid w:val="002B3A72"/>
    <w:rsid w:val="002C6231"/>
    <w:rsid w:val="002E255C"/>
    <w:rsid w:val="002E5B47"/>
    <w:rsid w:val="002F7CDC"/>
    <w:rsid w:val="003000D1"/>
    <w:rsid w:val="0030070A"/>
    <w:rsid w:val="003101D1"/>
    <w:rsid w:val="00324E56"/>
    <w:rsid w:val="00331AF1"/>
    <w:rsid w:val="00336DB4"/>
    <w:rsid w:val="00340362"/>
    <w:rsid w:val="003468D7"/>
    <w:rsid w:val="003510C2"/>
    <w:rsid w:val="0035743C"/>
    <w:rsid w:val="00361001"/>
    <w:rsid w:val="00363E52"/>
    <w:rsid w:val="003733A1"/>
    <w:rsid w:val="00380104"/>
    <w:rsid w:val="00382736"/>
    <w:rsid w:val="003829B7"/>
    <w:rsid w:val="003A04D1"/>
    <w:rsid w:val="003C327E"/>
    <w:rsid w:val="003C4B3D"/>
    <w:rsid w:val="003C53FC"/>
    <w:rsid w:val="003C6E7F"/>
    <w:rsid w:val="003D3DB3"/>
    <w:rsid w:val="003D521F"/>
    <w:rsid w:val="003E0E95"/>
    <w:rsid w:val="003E3F39"/>
    <w:rsid w:val="003F1C70"/>
    <w:rsid w:val="003F2E47"/>
    <w:rsid w:val="00402169"/>
    <w:rsid w:val="00403544"/>
    <w:rsid w:val="004115AA"/>
    <w:rsid w:val="00434C92"/>
    <w:rsid w:val="004370AD"/>
    <w:rsid w:val="00441175"/>
    <w:rsid w:val="00443C47"/>
    <w:rsid w:val="00452560"/>
    <w:rsid w:val="00465DAE"/>
    <w:rsid w:val="00467DBB"/>
    <w:rsid w:val="004771BC"/>
    <w:rsid w:val="004A0587"/>
    <w:rsid w:val="004A6428"/>
    <w:rsid w:val="004C17A3"/>
    <w:rsid w:val="004C56AB"/>
    <w:rsid w:val="004D088E"/>
    <w:rsid w:val="004D4F06"/>
    <w:rsid w:val="004D767F"/>
    <w:rsid w:val="004F026E"/>
    <w:rsid w:val="004F1DA8"/>
    <w:rsid w:val="00503CF0"/>
    <w:rsid w:val="005225F1"/>
    <w:rsid w:val="00531253"/>
    <w:rsid w:val="00534388"/>
    <w:rsid w:val="00540B36"/>
    <w:rsid w:val="00563E06"/>
    <w:rsid w:val="00582EE7"/>
    <w:rsid w:val="0058554B"/>
    <w:rsid w:val="0058748E"/>
    <w:rsid w:val="0059272C"/>
    <w:rsid w:val="00596DDF"/>
    <w:rsid w:val="005B6EAB"/>
    <w:rsid w:val="005C1F51"/>
    <w:rsid w:val="005D1506"/>
    <w:rsid w:val="005D1B92"/>
    <w:rsid w:val="005D7AC7"/>
    <w:rsid w:val="00630E69"/>
    <w:rsid w:val="006362B2"/>
    <w:rsid w:val="0065420A"/>
    <w:rsid w:val="006741A5"/>
    <w:rsid w:val="006869EC"/>
    <w:rsid w:val="00694A44"/>
    <w:rsid w:val="006A129F"/>
    <w:rsid w:val="006A21AB"/>
    <w:rsid w:val="006C1347"/>
    <w:rsid w:val="006D0AA4"/>
    <w:rsid w:val="006F2513"/>
    <w:rsid w:val="006F64CB"/>
    <w:rsid w:val="00711446"/>
    <w:rsid w:val="0071759F"/>
    <w:rsid w:val="007253B3"/>
    <w:rsid w:val="007264EE"/>
    <w:rsid w:val="00731D46"/>
    <w:rsid w:val="00734BAD"/>
    <w:rsid w:val="00744457"/>
    <w:rsid w:val="00752C57"/>
    <w:rsid w:val="00781733"/>
    <w:rsid w:val="0078771D"/>
    <w:rsid w:val="007A5FD4"/>
    <w:rsid w:val="007C5CF9"/>
    <w:rsid w:val="007D340B"/>
    <w:rsid w:val="007E04FF"/>
    <w:rsid w:val="007E6392"/>
    <w:rsid w:val="007F3C25"/>
    <w:rsid w:val="00811F2D"/>
    <w:rsid w:val="00813010"/>
    <w:rsid w:val="00815938"/>
    <w:rsid w:val="008226BA"/>
    <w:rsid w:val="00827968"/>
    <w:rsid w:val="00827DA6"/>
    <w:rsid w:val="00835103"/>
    <w:rsid w:val="00840A4B"/>
    <w:rsid w:val="00854416"/>
    <w:rsid w:val="008645B1"/>
    <w:rsid w:val="00866F54"/>
    <w:rsid w:val="0087041D"/>
    <w:rsid w:val="00876240"/>
    <w:rsid w:val="00876612"/>
    <w:rsid w:val="00883FF2"/>
    <w:rsid w:val="0089293E"/>
    <w:rsid w:val="00893E6C"/>
    <w:rsid w:val="008D7BC7"/>
    <w:rsid w:val="0090104C"/>
    <w:rsid w:val="00901BA2"/>
    <w:rsid w:val="00902F4B"/>
    <w:rsid w:val="00904F03"/>
    <w:rsid w:val="009260CB"/>
    <w:rsid w:val="00946BBC"/>
    <w:rsid w:val="00962F70"/>
    <w:rsid w:val="009676BB"/>
    <w:rsid w:val="009735DF"/>
    <w:rsid w:val="00982B10"/>
    <w:rsid w:val="00987881"/>
    <w:rsid w:val="009A5B48"/>
    <w:rsid w:val="009C0267"/>
    <w:rsid w:val="009C1B6D"/>
    <w:rsid w:val="009E5354"/>
    <w:rsid w:val="00A10F1E"/>
    <w:rsid w:val="00A11BBD"/>
    <w:rsid w:val="00A12A0C"/>
    <w:rsid w:val="00A365D5"/>
    <w:rsid w:val="00A41DB8"/>
    <w:rsid w:val="00A43094"/>
    <w:rsid w:val="00A47258"/>
    <w:rsid w:val="00A53361"/>
    <w:rsid w:val="00A5786D"/>
    <w:rsid w:val="00A60191"/>
    <w:rsid w:val="00A81609"/>
    <w:rsid w:val="00A85237"/>
    <w:rsid w:val="00A86F30"/>
    <w:rsid w:val="00A876FB"/>
    <w:rsid w:val="00AB07C5"/>
    <w:rsid w:val="00AC29F8"/>
    <w:rsid w:val="00AD1614"/>
    <w:rsid w:val="00AD69FC"/>
    <w:rsid w:val="00AE1FDF"/>
    <w:rsid w:val="00AE3042"/>
    <w:rsid w:val="00AE59D2"/>
    <w:rsid w:val="00AF6320"/>
    <w:rsid w:val="00B03B29"/>
    <w:rsid w:val="00B118BB"/>
    <w:rsid w:val="00B16C8F"/>
    <w:rsid w:val="00B32FA4"/>
    <w:rsid w:val="00B36F46"/>
    <w:rsid w:val="00B37F8B"/>
    <w:rsid w:val="00B463D3"/>
    <w:rsid w:val="00B47B13"/>
    <w:rsid w:val="00B53BE4"/>
    <w:rsid w:val="00B6063F"/>
    <w:rsid w:val="00B82D20"/>
    <w:rsid w:val="00B86F28"/>
    <w:rsid w:val="00B9042A"/>
    <w:rsid w:val="00BA0855"/>
    <w:rsid w:val="00BA65AD"/>
    <w:rsid w:val="00BB2914"/>
    <w:rsid w:val="00BC7696"/>
    <w:rsid w:val="00BE3EB3"/>
    <w:rsid w:val="00BE5793"/>
    <w:rsid w:val="00BF5FA3"/>
    <w:rsid w:val="00C201F0"/>
    <w:rsid w:val="00C23171"/>
    <w:rsid w:val="00C2671D"/>
    <w:rsid w:val="00C563AA"/>
    <w:rsid w:val="00C57F4B"/>
    <w:rsid w:val="00C71FF0"/>
    <w:rsid w:val="00C77259"/>
    <w:rsid w:val="00C80E96"/>
    <w:rsid w:val="00C97E2D"/>
    <w:rsid w:val="00CB586E"/>
    <w:rsid w:val="00CB67FD"/>
    <w:rsid w:val="00CC7B54"/>
    <w:rsid w:val="00CE5945"/>
    <w:rsid w:val="00D043D7"/>
    <w:rsid w:val="00D117FB"/>
    <w:rsid w:val="00D23C2E"/>
    <w:rsid w:val="00D31462"/>
    <w:rsid w:val="00D4089E"/>
    <w:rsid w:val="00D40F51"/>
    <w:rsid w:val="00D50C5E"/>
    <w:rsid w:val="00D531B2"/>
    <w:rsid w:val="00D61EC8"/>
    <w:rsid w:val="00D93516"/>
    <w:rsid w:val="00DA3353"/>
    <w:rsid w:val="00DA7F4C"/>
    <w:rsid w:val="00DC5F94"/>
    <w:rsid w:val="00DD11DE"/>
    <w:rsid w:val="00DE0D0D"/>
    <w:rsid w:val="00DE152F"/>
    <w:rsid w:val="00DE293B"/>
    <w:rsid w:val="00DF2C93"/>
    <w:rsid w:val="00E05626"/>
    <w:rsid w:val="00E146BA"/>
    <w:rsid w:val="00E25B2F"/>
    <w:rsid w:val="00E317CF"/>
    <w:rsid w:val="00E373A5"/>
    <w:rsid w:val="00E56FB0"/>
    <w:rsid w:val="00E60197"/>
    <w:rsid w:val="00E65E59"/>
    <w:rsid w:val="00E66A4D"/>
    <w:rsid w:val="00E72B1C"/>
    <w:rsid w:val="00E96169"/>
    <w:rsid w:val="00ED23F0"/>
    <w:rsid w:val="00F06522"/>
    <w:rsid w:val="00F0780F"/>
    <w:rsid w:val="00F16D54"/>
    <w:rsid w:val="00F44848"/>
    <w:rsid w:val="00F52A67"/>
    <w:rsid w:val="00F52FB9"/>
    <w:rsid w:val="00F540BF"/>
    <w:rsid w:val="00F6015C"/>
    <w:rsid w:val="00F63FFB"/>
    <w:rsid w:val="00F71470"/>
    <w:rsid w:val="00F75715"/>
    <w:rsid w:val="00F75C69"/>
    <w:rsid w:val="00FB2E2F"/>
    <w:rsid w:val="00FD300A"/>
    <w:rsid w:val="00FE20A7"/>
    <w:rsid w:val="00FF137F"/>
    <w:rsid w:val="00FF6959"/>
    <w:rsid w:val="00FF6C14"/>
    <w:rsid w:val="00FF790E"/>
    <w:rsid w:val="01BE6316"/>
    <w:rsid w:val="07AE4845"/>
    <w:rsid w:val="07BF5303"/>
    <w:rsid w:val="0AE96F58"/>
    <w:rsid w:val="17AC217B"/>
    <w:rsid w:val="1B8415E2"/>
    <w:rsid w:val="1D7C75C4"/>
    <w:rsid w:val="20732F86"/>
    <w:rsid w:val="21025309"/>
    <w:rsid w:val="217F35A7"/>
    <w:rsid w:val="24E73B1F"/>
    <w:rsid w:val="26F03C06"/>
    <w:rsid w:val="2A0F6DBC"/>
    <w:rsid w:val="2A443826"/>
    <w:rsid w:val="2A547683"/>
    <w:rsid w:val="306A4501"/>
    <w:rsid w:val="31C366C0"/>
    <w:rsid w:val="327379C1"/>
    <w:rsid w:val="33CA34B6"/>
    <w:rsid w:val="3BC01B4C"/>
    <w:rsid w:val="45AB09DF"/>
    <w:rsid w:val="46C16BC4"/>
    <w:rsid w:val="509F44DE"/>
    <w:rsid w:val="54CD5340"/>
    <w:rsid w:val="55945462"/>
    <w:rsid w:val="57964064"/>
    <w:rsid w:val="5A781A20"/>
    <w:rsid w:val="667765BF"/>
    <w:rsid w:val="68AC0EA3"/>
    <w:rsid w:val="6F765BE5"/>
    <w:rsid w:val="70582D63"/>
    <w:rsid w:val="7775238E"/>
    <w:rsid w:val="7A8638D9"/>
    <w:rsid w:val="7CE775F6"/>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0"/>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semiHidden/>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39"/>
    <w:qFormat/>
    <w:uiPriority w:val="0"/>
    <w:pPr>
      <w:ind w:firstLine="420"/>
    </w:pPr>
    <w:rPr>
      <w:rFonts w:ascii="Times New Roman" w:hAnsi="Times New Roman" w:eastAsia="宋体" w:cs="Times New Roman"/>
      <w:sz w:val="28"/>
      <w:szCs w:val="24"/>
    </w:rPr>
  </w:style>
  <w:style w:type="paragraph" w:styleId="6">
    <w:name w:val="annotation text"/>
    <w:basedOn w:val="1"/>
    <w:semiHidden/>
    <w:unhideWhenUsed/>
    <w:qFormat/>
    <w:uiPriority w:val="99"/>
    <w:pPr>
      <w:jc w:val="left"/>
    </w:pPr>
  </w:style>
  <w:style w:type="paragraph" w:styleId="7">
    <w:name w:val="Body Text"/>
    <w:basedOn w:val="1"/>
    <w:link w:val="40"/>
    <w:qFormat/>
    <w:uiPriority w:val="1"/>
    <w:pPr>
      <w:autoSpaceDE w:val="0"/>
      <w:autoSpaceDN w:val="0"/>
      <w:jc w:val="left"/>
    </w:pPr>
    <w:rPr>
      <w:rFonts w:ascii="仿宋" w:hAnsi="仿宋" w:eastAsia="仿宋" w:cs="仿宋"/>
      <w:kern w:val="0"/>
      <w:sz w:val="28"/>
      <w:szCs w:val="28"/>
      <w:lang w:val="zh-CN" w:bidi="zh-CN"/>
    </w:rPr>
  </w:style>
  <w:style w:type="paragraph" w:styleId="8">
    <w:name w:val="toc 3"/>
    <w:basedOn w:val="1"/>
    <w:next w:val="1"/>
    <w:semiHidden/>
    <w:unhideWhenUsed/>
    <w:qFormat/>
    <w:uiPriority w:val="39"/>
    <w:rPr>
      <w:rFonts w:eastAsia="仿宋_GB2312"/>
      <w:sz w:val="28"/>
    </w:rPr>
  </w:style>
  <w:style w:type="paragraph" w:styleId="9">
    <w:name w:val="Balloon Text"/>
    <w:basedOn w:val="1"/>
    <w:link w:val="24"/>
    <w:semiHidden/>
    <w:unhideWhenUsed/>
    <w:qFormat/>
    <w:uiPriority w:val="99"/>
    <w:rPr>
      <w:sz w:val="18"/>
      <w:szCs w:val="18"/>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仿宋_GB2312"/>
      <w:sz w:val="28"/>
    </w:rPr>
  </w:style>
  <w:style w:type="paragraph" w:styleId="13">
    <w:name w:val="toc 2"/>
    <w:basedOn w:val="1"/>
    <w:next w:val="1"/>
    <w:unhideWhenUsed/>
    <w:qFormat/>
    <w:uiPriority w:val="39"/>
    <w:rPr>
      <w:rFonts w:eastAsia="仿宋_GB2312"/>
      <w:sz w:val="28"/>
    </w:rPr>
  </w:style>
  <w:style w:type="paragraph" w:styleId="1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customStyle="1" w:styleId="20">
    <w:name w:val="标题 1 字符"/>
    <w:basedOn w:val="17"/>
    <w:link w:val="2"/>
    <w:qFormat/>
    <w:uiPriority w:val="9"/>
    <w:rPr>
      <w:rFonts w:ascii="Times New Roman" w:hAnsi="Times New Roman" w:eastAsia="黑体" w:cs="Arial"/>
      <w:b/>
      <w:bCs/>
      <w:kern w:val="44"/>
      <w:sz w:val="28"/>
      <w:szCs w:val="44"/>
    </w:rPr>
  </w:style>
  <w:style w:type="paragraph" w:styleId="21">
    <w:name w:val="List Paragraph"/>
    <w:basedOn w:val="1"/>
    <w:qFormat/>
    <w:uiPriority w:val="34"/>
    <w:pPr>
      <w:ind w:firstLine="420" w:firstLineChars="200"/>
    </w:pPr>
  </w:style>
  <w:style w:type="character" w:customStyle="1" w:styleId="22">
    <w:name w:val="页眉 字符"/>
    <w:basedOn w:val="17"/>
    <w:link w:val="11"/>
    <w:qFormat/>
    <w:uiPriority w:val="99"/>
    <w:rPr>
      <w:sz w:val="18"/>
      <w:szCs w:val="18"/>
    </w:rPr>
  </w:style>
  <w:style w:type="character" w:customStyle="1" w:styleId="23">
    <w:name w:val="页脚 字符"/>
    <w:basedOn w:val="17"/>
    <w:link w:val="10"/>
    <w:qFormat/>
    <w:uiPriority w:val="99"/>
    <w:rPr>
      <w:sz w:val="18"/>
      <w:szCs w:val="18"/>
    </w:rPr>
  </w:style>
  <w:style w:type="character" w:customStyle="1" w:styleId="24">
    <w:name w:val="批注框文本 字符"/>
    <w:basedOn w:val="17"/>
    <w:link w:val="9"/>
    <w:semiHidden/>
    <w:qFormat/>
    <w:uiPriority w:val="99"/>
    <w:rPr>
      <w:sz w:val="18"/>
      <w:szCs w:val="18"/>
    </w:rPr>
  </w:style>
  <w:style w:type="paragraph" w:customStyle="1" w:styleId="25">
    <w:name w:val="标题1"/>
    <w:basedOn w:val="2"/>
    <w:qFormat/>
    <w:uiPriority w:val="0"/>
    <w:pPr>
      <w:spacing w:before="120" w:after="120" w:line="500" w:lineRule="exact"/>
      <w:ind w:firstLine="200" w:firstLineChars="200"/>
    </w:pPr>
    <w:rPr>
      <w:rFonts w:cs="Times New Roman"/>
      <w:sz w:val="32"/>
      <w:szCs w:val="32"/>
    </w:rPr>
  </w:style>
  <w:style w:type="character" w:customStyle="1" w:styleId="26">
    <w:name w:val="标题 2 字符"/>
    <w:basedOn w:val="17"/>
    <w:link w:val="3"/>
    <w:qFormat/>
    <w:uiPriority w:val="9"/>
    <w:rPr>
      <w:rFonts w:asciiTheme="majorHAnsi" w:hAnsiTheme="majorHAnsi" w:eastAsiaTheme="majorEastAsia" w:cstheme="majorBidi"/>
      <w:b/>
      <w:bCs/>
      <w:sz w:val="32"/>
      <w:szCs w:val="32"/>
    </w:rPr>
  </w:style>
  <w:style w:type="paragraph" w:customStyle="1" w:styleId="27">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9">
    <w:name w:val="闻政正文 Char"/>
    <w:link w:val="30"/>
    <w:qFormat/>
    <w:uiPriority w:val="0"/>
    <w:rPr>
      <w:rFonts w:ascii="Times New Roman" w:hAnsi="Times New Roman" w:eastAsia="仿宋_GB2312" w:cs="Times New Roman"/>
      <w:sz w:val="28"/>
      <w:szCs w:val="28"/>
    </w:rPr>
  </w:style>
  <w:style w:type="paragraph" w:customStyle="1" w:styleId="30">
    <w:name w:val="闻政正文"/>
    <w:basedOn w:val="1"/>
    <w:link w:val="29"/>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1">
    <w:name w:val="闻政表 Char"/>
    <w:link w:val="32"/>
    <w:qFormat/>
    <w:uiPriority w:val="0"/>
    <w:rPr>
      <w:rFonts w:ascii="Times New Roman" w:hAnsi="Times New Roman" w:eastAsia="仿宋_GB2312" w:cs="Times New Roman"/>
      <w:b/>
      <w:sz w:val="24"/>
      <w:szCs w:val="28"/>
    </w:rPr>
  </w:style>
  <w:style w:type="paragraph" w:customStyle="1" w:styleId="32">
    <w:name w:val="闻政表"/>
    <w:basedOn w:val="1"/>
    <w:link w:val="31"/>
    <w:qFormat/>
    <w:uiPriority w:val="0"/>
    <w:pPr>
      <w:spacing w:before="60" w:after="60"/>
      <w:jc w:val="center"/>
    </w:pPr>
    <w:rPr>
      <w:rFonts w:ascii="Times New Roman" w:hAnsi="Times New Roman" w:eastAsia="仿宋_GB2312" w:cs="Times New Roman"/>
      <w:b/>
      <w:sz w:val="24"/>
      <w:szCs w:val="28"/>
    </w:rPr>
  </w:style>
  <w:style w:type="paragraph" w:customStyle="1" w:styleId="33">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4">
    <w:name w:val="闻政标题3 Char"/>
    <w:link w:val="35"/>
    <w:qFormat/>
    <w:uiPriority w:val="0"/>
    <w:rPr>
      <w:rFonts w:ascii="黑体" w:hAnsi="黑体" w:eastAsia="黑体" w:cs="Times New Roman"/>
      <w:bCs/>
      <w:sz w:val="32"/>
      <w:szCs w:val="32"/>
    </w:rPr>
  </w:style>
  <w:style w:type="paragraph" w:customStyle="1" w:styleId="35">
    <w:name w:val="闻政标题3"/>
    <w:basedOn w:val="4"/>
    <w:link w:val="34"/>
    <w:qFormat/>
    <w:uiPriority w:val="99"/>
    <w:pPr>
      <w:spacing w:before="120" w:after="60" w:line="500" w:lineRule="exact"/>
      <w:jc w:val="left"/>
      <w:outlineLvl w:val="0"/>
    </w:pPr>
    <w:rPr>
      <w:rFonts w:ascii="黑体" w:hAnsi="黑体" w:eastAsia="黑体" w:cs="Times New Roman"/>
      <w:b w:val="0"/>
    </w:rPr>
  </w:style>
  <w:style w:type="character" w:customStyle="1" w:styleId="36">
    <w:name w:val="标题 3 字符"/>
    <w:basedOn w:val="17"/>
    <w:link w:val="4"/>
    <w:semiHidden/>
    <w:qFormat/>
    <w:uiPriority w:val="9"/>
    <w:rPr>
      <w:b/>
      <w:bCs/>
      <w:sz w:val="32"/>
      <w:szCs w:val="32"/>
    </w:rPr>
  </w:style>
  <w:style w:type="paragraph" w:customStyle="1" w:styleId="37">
    <w:name w:val="Body text|1"/>
    <w:basedOn w:val="1"/>
    <w:link w:val="38"/>
    <w:qFormat/>
    <w:uiPriority w:val="0"/>
    <w:pPr>
      <w:spacing w:after="40" w:line="334" w:lineRule="auto"/>
    </w:pPr>
    <w:rPr>
      <w:rFonts w:ascii="MingLiU" w:hAnsi="MingLiU" w:eastAsia="MingLiU" w:cs="MingLiU"/>
      <w:sz w:val="20"/>
      <w:szCs w:val="20"/>
      <w:lang w:val="zh-TW" w:eastAsia="zh-TW" w:bidi="zh-TW"/>
    </w:rPr>
  </w:style>
  <w:style w:type="character" w:customStyle="1" w:styleId="38">
    <w:name w:val="Body text|1_"/>
    <w:basedOn w:val="17"/>
    <w:link w:val="37"/>
    <w:unhideWhenUsed/>
    <w:qFormat/>
    <w:uiPriority w:val="0"/>
    <w:rPr>
      <w:rFonts w:ascii="MingLiU" w:hAnsi="MingLiU" w:eastAsia="MingLiU" w:cs="MingLiU"/>
      <w:sz w:val="20"/>
      <w:szCs w:val="20"/>
      <w:lang w:val="zh-TW" w:eastAsia="zh-TW" w:bidi="zh-TW"/>
    </w:rPr>
  </w:style>
  <w:style w:type="character" w:customStyle="1" w:styleId="39">
    <w:name w:val="正文缩进 字符"/>
    <w:basedOn w:val="17"/>
    <w:link w:val="5"/>
    <w:qFormat/>
    <w:uiPriority w:val="0"/>
    <w:rPr>
      <w:kern w:val="2"/>
      <w:sz w:val="28"/>
      <w:szCs w:val="24"/>
    </w:rPr>
  </w:style>
  <w:style w:type="character" w:customStyle="1" w:styleId="40">
    <w:name w:val="正文文本 字符"/>
    <w:basedOn w:val="17"/>
    <w:link w:val="7"/>
    <w:qFormat/>
    <w:uiPriority w:val="1"/>
    <w:rPr>
      <w:rFonts w:ascii="仿宋" w:hAnsi="仿宋" w:eastAsia="仿宋" w:cs="仿宋"/>
      <w:sz w:val="28"/>
      <w:szCs w:val="2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8707F0-E25D-44EE-8648-8DA8632BB708}">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25</Pages>
  <Words>1771</Words>
  <Characters>10100</Characters>
  <Lines>84</Lines>
  <Paragraphs>23</Paragraphs>
  <TotalTime>0</TotalTime>
  <ScaleCrop>false</ScaleCrop>
  <LinksUpToDate>false</LinksUpToDate>
  <CharactersWithSpaces>11848</CharactersWithSpaces>
  <Application>WPS Office_11.8.2.9022_F1E327BC-269C-435d-A152-05C5408002CA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2024-02-26T03:54:29Z</dcterms:modified>
  <dc:title>新疆普天鹏华商务信息咨询有限公司</dc:title>
  <cp:revision>240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