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right"/>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喀什地区叶城县文旅局叶城县</w:t>
      </w:r>
      <w:r>
        <w:rPr>
          <w:rFonts w:ascii="方正小标宋简体" w:eastAsia="方正小标宋简体"/>
          <w:sz w:val="44"/>
          <w:szCs w:val="44"/>
        </w:rPr>
        <w:t>2019年文化站</w:t>
      </w:r>
      <w:r>
        <w:rPr>
          <w:rFonts w:hint="eastAsia" w:ascii="方正小标宋简体" w:eastAsia="方正小标宋简体"/>
          <w:sz w:val="44"/>
          <w:szCs w:val="44"/>
        </w:rPr>
        <w:t>（室）</w:t>
      </w:r>
      <w:r>
        <w:rPr>
          <w:rFonts w:ascii="方正小标宋简体" w:eastAsia="方正小标宋简体"/>
          <w:sz w:val="44"/>
          <w:szCs w:val="44"/>
        </w:rPr>
        <w:t>、行政村设备采购</w:t>
      </w:r>
      <w:r>
        <w:rPr>
          <w:rFonts w:hint="eastAsia" w:ascii="方正小标宋简体" w:eastAsia="方正小标宋简体"/>
          <w:sz w:val="44"/>
          <w:szCs w:val="44"/>
        </w:rPr>
        <w:t>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both"/>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ascii="方正小标宋简体" w:eastAsia="方正小标宋简体"/>
          <w:sz w:val="44"/>
          <w:szCs w:val="44"/>
        </w:rPr>
      </w:pPr>
      <w:r>
        <w:rPr>
          <w:rFonts w:hint="eastAsia" w:ascii="仿宋_GB2312" w:hAnsi="仿宋" w:eastAsia="仿宋_GB2312" w:cs="Times New Roman"/>
          <w:spacing w:val="-2"/>
          <w:sz w:val="36"/>
          <w:szCs w:val="36"/>
        </w:rPr>
        <w:t>项目名称：叶城县</w:t>
      </w:r>
      <w:r>
        <w:rPr>
          <w:rFonts w:ascii="仿宋_GB2312" w:hAnsi="仿宋" w:eastAsia="仿宋_GB2312" w:cs="Times New Roman"/>
          <w:spacing w:val="-2"/>
          <w:sz w:val="36"/>
          <w:szCs w:val="36"/>
        </w:rPr>
        <w:t>2019年文化站</w:t>
      </w:r>
      <w:r>
        <w:rPr>
          <w:rFonts w:hint="eastAsia" w:ascii="仿宋_GB2312" w:hAnsi="仿宋" w:eastAsia="仿宋_GB2312" w:cs="Times New Roman"/>
          <w:spacing w:val="-2"/>
          <w:sz w:val="36"/>
          <w:szCs w:val="36"/>
        </w:rPr>
        <w:t>（室）</w:t>
      </w:r>
      <w:r>
        <w:rPr>
          <w:rFonts w:ascii="仿宋_GB2312" w:hAnsi="仿宋" w:eastAsia="仿宋_GB2312" w:cs="Times New Roman"/>
          <w:spacing w:val="-2"/>
          <w:sz w:val="36"/>
          <w:szCs w:val="36"/>
        </w:rPr>
        <w:t>、行政村设备采购</w:t>
      </w:r>
      <w:r>
        <w:rPr>
          <w:rFonts w:hint="eastAsia" w:ascii="仿宋_GB2312" w:hAnsi="仿宋" w:eastAsia="仿宋_GB2312" w:cs="Times New Roman"/>
          <w:spacing w:val="-2"/>
          <w:sz w:val="36"/>
          <w:szCs w:val="36"/>
        </w:rPr>
        <w:t>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实施单位：叶城县文化体育广播电视和旅游局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评价部门：叶城县文化体育广播电视和旅游局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3"/>
        <w:numPr>
          <w:ilvl w:val="0"/>
          <w:numId w:val="2"/>
        </w:numPr>
        <w:ind w:firstLineChars="0"/>
      </w:pPr>
      <w:r>
        <w:rPr>
          <w:rFonts w:hint="eastAsia"/>
        </w:rPr>
        <w:t>基本情况</w:t>
      </w:r>
    </w:p>
    <w:p>
      <w:pPr>
        <w:pStyle w:val="25"/>
        <w:ind w:left="0" w:firstLine="643" w:firstLineChars="200"/>
      </w:pPr>
      <w:bookmarkStart w:id="0" w:name="_Toc26401549"/>
      <w:r>
        <w:rPr>
          <w:rFonts w:hint="eastAsia"/>
        </w:rPr>
        <w:t>项目概况</w:t>
      </w:r>
      <w:bookmarkEnd w:id="0"/>
    </w:p>
    <w:p>
      <w:pPr>
        <w:pStyle w:val="19"/>
        <w:numPr>
          <w:ilvl w:val="0"/>
          <w:numId w:val="3"/>
        </w:numPr>
        <w:spacing w:before="120"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before="120" w:beforeLines="50" w:line="600" w:lineRule="exact"/>
        <w:ind w:firstLine="480" w:firstLineChars="150"/>
        <w:rPr>
          <w:rFonts w:ascii="仿宋_GB2312" w:hAnsi="仿宋" w:eastAsia="仿宋_GB2312" w:cs="宋体"/>
          <w:sz w:val="32"/>
          <w:szCs w:val="32"/>
        </w:rPr>
      </w:pPr>
      <w:r>
        <w:rPr>
          <w:rFonts w:hint="eastAsia" w:ascii="仿宋_GB2312" w:hAnsi="仿宋" w:eastAsia="仿宋_GB2312" w:cs="宋体"/>
          <w:sz w:val="32"/>
          <w:szCs w:val="32"/>
        </w:rPr>
        <w:t>实践证明，文化室是乡镇政府职能转变的承接点，是农村干部服务农民的着力点，是密切党群干群关系的结合点。搞好“文化室”建设，是推进社会主义新农村建设的有效载体。党的十八</w:t>
      </w:r>
      <w:r>
        <w:rPr>
          <w:rFonts w:hint="eastAsia" w:ascii="仿宋_GB2312" w:hAnsi="仿宋" w:eastAsia="仿宋_GB2312" w:cs="宋体"/>
          <w:sz w:val="32"/>
          <w:szCs w:val="32"/>
          <w:lang w:eastAsia="zh-CN"/>
        </w:rPr>
        <w:t>大</w:t>
      </w:r>
      <w:bookmarkStart w:id="8" w:name="_GoBack"/>
      <w:bookmarkEnd w:id="8"/>
      <w:r>
        <w:rPr>
          <w:rFonts w:hint="eastAsia" w:ascii="仿宋_GB2312" w:hAnsi="仿宋" w:eastAsia="仿宋_GB2312" w:cs="宋体"/>
          <w:sz w:val="32"/>
          <w:szCs w:val="32"/>
        </w:rPr>
        <w:t>提出，建设和谐文化，培育文明风尚，重视城乡、区域文化协调发展，着力丰富农村的精神文化生活，加大投入力度，加强乡村文化设施建设。因此，加强以群众文化活动</w:t>
      </w:r>
      <w:r>
        <w:rPr>
          <w:rFonts w:hint="eastAsia" w:ascii="仿宋_GB2312" w:hAnsi="仿宋" w:eastAsia="仿宋_GB2312" w:cs="宋体"/>
          <w:sz w:val="32"/>
          <w:szCs w:val="32"/>
          <w:lang w:eastAsia="zh-CN"/>
        </w:rPr>
        <w:t>场地</w:t>
      </w:r>
      <w:r>
        <w:rPr>
          <w:rFonts w:hint="eastAsia" w:ascii="仿宋_GB2312" w:hAnsi="仿宋" w:eastAsia="仿宋_GB2312" w:cs="宋体"/>
          <w:sz w:val="32"/>
          <w:szCs w:val="32"/>
        </w:rPr>
        <w:t>为重点的乡镇村级活动及文化活动</w:t>
      </w:r>
      <w:r>
        <w:rPr>
          <w:rFonts w:hint="eastAsia" w:ascii="仿宋_GB2312" w:hAnsi="仿宋" w:eastAsia="仿宋_GB2312" w:cs="宋体"/>
          <w:sz w:val="32"/>
          <w:szCs w:val="32"/>
          <w:lang w:val="en-US" w:eastAsia="zh-CN"/>
        </w:rPr>
        <w:t>场地</w:t>
      </w:r>
      <w:r>
        <w:rPr>
          <w:rFonts w:hint="eastAsia" w:ascii="仿宋_GB2312" w:hAnsi="仿宋" w:eastAsia="仿宋_GB2312" w:cs="宋体"/>
          <w:sz w:val="32"/>
          <w:szCs w:val="32"/>
        </w:rPr>
        <w:t>建设，是建设农村公共文化服务体系的重要内容；是巩固基层文化阵地，提高农村思想道德和科学文化素质的重要保障。随着农村经济的全面发展，农民群众的物质生活得到了充分的改善，对精神文化的需求也有了更高的要求。加强农村文化建设，满足农民群众的文化需求，已成为新农村建设不可忽视的重要工作。2019年1月根据叶城县发展和改革委员会《叶发改投资【2019】005号《叶城县发展和改革委员会关于叶城县行政村文化室及文化站建设项目的立项批复》，该项目共投入1525万元，资金来源为2019年涉农整合资金，一般性政付债券资金。</w:t>
      </w:r>
    </w:p>
    <w:p>
      <w:pPr>
        <w:pStyle w:val="19"/>
        <w:numPr>
          <w:ilvl w:val="0"/>
          <w:numId w:val="3"/>
        </w:numPr>
        <w:spacing w:before="120"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widowControl/>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项目的主要内容为：本项目的主管部门为叶城县文化体育广播电视和旅游局</w:t>
      </w:r>
      <w:r>
        <w:rPr>
          <w:rFonts w:ascii="仿宋_GB2312" w:hAnsi="仿宋" w:eastAsia="仿宋_GB2312" w:cs="宋体"/>
          <w:sz w:val="32"/>
          <w:szCs w:val="32"/>
        </w:rPr>
        <w:t>,</w:t>
      </w:r>
      <w:r>
        <w:rPr>
          <w:rFonts w:hint="eastAsia" w:ascii="仿宋_GB2312" w:hAnsi="仿宋" w:eastAsia="仿宋_GB2312" w:cs="宋体"/>
          <w:sz w:val="32"/>
          <w:szCs w:val="32"/>
        </w:rPr>
        <w:t>实施单位为叶城县文化体育广播电视和旅游局，建设内容为：11个村文化室、1个管理区文化站及</w:t>
      </w:r>
      <w:r>
        <w:rPr>
          <w:rFonts w:hint="eastAsia" w:ascii="仿宋" w:hAnsi="仿宋" w:eastAsia="仿宋"/>
          <w:kern w:val="32"/>
          <w:sz w:val="32"/>
          <w:szCs w:val="32"/>
        </w:rPr>
        <w:t>217个</w:t>
      </w:r>
      <w:r>
        <w:rPr>
          <w:rFonts w:ascii="仿宋" w:hAnsi="仿宋" w:eastAsia="仿宋"/>
          <w:kern w:val="32"/>
          <w:sz w:val="32"/>
          <w:szCs w:val="32"/>
        </w:rPr>
        <w:t>行政村</w:t>
      </w:r>
      <w:r>
        <w:rPr>
          <w:rFonts w:hint="eastAsia" w:ascii="仿宋" w:hAnsi="仿宋" w:eastAsia="仿宋"/>
          <w:kern w:val="32"/>
          <w:sz w:val="32"/>
          <w:szCs w:val="32"/>
        </w:rPr>
        <w:t>健身器械；227个</w:t>
      </w:r>
      <w:r>
        <w:rPr>
          <w:rFonts w:ascii="仿宋" w:hAnsi="仿宋" w:eastAsia="仿宋"/>
          <w:kern w:val="32"/>
          <w:sz w:val="32"/>
          <w:szCs w:val="32"/>
        </w:rPr>
        <w:t>行政村文化站（</w:t>
      </w:r>
      <w:r>
        <w:rPr>
          <w:rFonts w:hint="eastAsia" w:ascii="仿宋" w:hAnsi="仿宋" w:eastAsia="仿宋"/>
          <w:kern w:val="32"/>
          <w:sz w:val="32"/>
          <w:szCs w:val="32"/>
        </w:rPr>
        <w:t>室</w:t>
      </w:r>
      <w:r>
        <w:rPr>
          <w:rFonts w:ascii="仿宋" w:hAnsi="仿宋" w:eastAsia="仿宋"/>
          <w:kern w:val="32"/>
          <w:sz w:val="32"/>
          <w:szCs w:val="32"/>
        </w:rPr>
        <w:t>）</w:t>
      </w:r>
      <w:r>
        <w:rPr>
          <w:rFonts w:hint="eastAsia" w:ascii="仿宋" w:hAnsi="仿宋" w:eastAsia="仿宋"/>
          <w:kern w:val="32"/>
          <w:sz w:val="32"/>
          <w:szCs w:val="32"/>
        </w:rPr>
        <w:t>煤改电；263个</w:t>
      </w:r>
      <w:r>
        <w:rPr>
          <w:rFonts w:ascii="仿宋" w:hAnsi="仿宋" w:eastAsia="仿宋"/>
          <w:kern w:val="32"/>
          <w:sz w:val="32"/>
          <w:szCs w:val="32"/>
        </w:rPr>
        <w:t>行政村</w:t>
      </w:r>
      <w:r>
        <w:rPr>
          <w:rFonts w:hint="eastAsia" w:ascii="仿宋" w:hAnsi="仿宋" w:eastAsia="仿宋"/>
          <w:kern w:val="32"/>
          <w:sz w:val="32"/>
          <w:szCs w:val="32"/>
        </w:rPr>
        <w:t>乐器；317个</w:t>
      </w:r>
      <w:r>
        <w:rPr>
          <w:rFonts w:ascii="仿宋" w:hAnsi="仿宋" w:eastAsia="仿宋"/>
          <w:kern w:val="32"/>
          <w:sz w:val="32"/>
          <w:szCs w:val="32"/>
        </w:rPr>
        <w:t>行政村</w:t>
      </w:r>
      <w:r>
        <w:rPr>
          <w:rFonts w:hint="eastAsia" w:ascii="仿宋" w:hAnsi="仿宋" w:eastAsia="仿宋"/>
          <w:kern w:val="32"/>
          <w:sz w:val="32"/>
          <w:szCs w:val="32"/>
        </w:rPr>
        <w:t>手拉杆</w:t>
      </w:r>
      <w:r>
        <w:rPr>
          <w:rFonts w:ascii="仿宋" w:hAnsi="仿宋" w:eastAsia="仿宋"/>
          <w:kern w:val="32"/>
          <w:sz w:val="32"/>
          <w:szCs w:val="32"/>
        </w:rPr>
        <w:t>移动音箱</w:t>
      </w:r>
      <w:r>
        <w:rPr>
          <w:rFonts w:hint="eastAsia" w:ascii="仿宋_GB2312" w:hAnsi="仿宋" w:eastAsia="仿宋_GB2312" w:cs="宋体"/>
          <w:sz w:val="32"/>
          <w:szCs w:val="32"/>
        </w:rPr>
        <w:t>，主要职责：</w:t>
      </w:r>
    </w:p>
    <w:p>
      <w:pPr>
        <w:widowControl/>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（一）贯彻落实党和国家、自治区以及地区有关文化体育和旅游工作方针政策，</w:t>
      </w:r>
      <w:r>
        <w:rPr>
          <w:rFonts w:hint="eastAsia" w:ascii="仿宋_GB2312" w:eastAsia="仿宋_GB2312"/>
          <w:sz w:val="32"/>
          <w:szCs w:val="32"/>
        </w:rPr>
        <w:t>研究拟订文化体育和旅游工作政策措施，</w:t>
      </w:r>
      <w:r>
        <w:rPr>
          <w:rFonts w:hint="eastAsia" w:ascii="仿宋_GB2312" w:hAnsi="仿宋_GB2312" w:eastAsia="仿宋_GB2312" w:cs="仿宋_GB2312"/>
          <w:color w:val="000000"/>
          <w:sz w:val="32"/>
          <w:szCs w:val="32"/>
        </w:rPr>
        <w:t>起草文化体育和旅游管理规定、办法并组织实施</w:t>
      </w:r>
      <w:r>
        <w:rPr>
          <w:rFonts w:hint="eastAsia" w:ascii="仿宋_GB2312" w:eastAsia="仿宋_GB2312"/>
          <w:sz w:val="32"/>
          <w:szCs w:val="32"/>
        </w:rPr>
        <w:t>，牢牢掌握意识形态工作的领导权和主动权</w:t>
      </w:r>
      <w:r>
        <w:rPr>
          <w:rFonts w:hint="eastAsia" w:ascii="仿宋_GB2312" w:hAnsi="仿宋_GB2312" w:eastAsia="仿宋_GB2312" w:cs="仿宋_GB2312"/>
          <w:color w:val="000000"/>
          <w:sz w:val="32"/>
          <w:szCs w:val="32"/>
        </w:rPr>
        <w:t>。</w:t>
      </w:r>
    </w:p>
    <w:p>
      <w:pPr>
        <w:widowControl/>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（二）统筹文化和旅游事业、产业振兴发展，拟订叶城县文化和旅游发展规划并组织实施，推进文化、体育和旅游创新融合发展。落实文化、体育和旅游体制机制改革。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（三）负责管理叶城县重大文化、体育和旅游活动，指导、监督叶城县重点文化、体育和旅游设施建设、</w:t>
      </w:r>
      <w:r>
        <w:rPr>
          <w:rFonts w:hint="eastAsia" w:ascii="仿宋_GB2312" w:eastAsia="仿宋_GB2312"/>
          <w:sz w:val="32"/>
          <w:szCs w:val="32"/>
        </w:rPr>
        <w:t>公共文化服务重大</w:t>
      </w:r>
      <w:r>
        <w:rPr>
          <w:rFonts w:hint="eastAsia" w:ascii="仿宋_GB2312" w:hAnsi="仿宋_GB2312" w:eastAsia="仿宋_GB2312" w:cs="仿宋_GB2312"/>
          <w:sz w:val="32"/>
          <w:szCs w:val="32"/>
        </w:rPr>
        <w:t>公益性工程和公益活动。组织文化旅游整体形象推广。促进文化和旅游产业对外合作和市场推广。拟定全县文化、旅游市场开发战略并组织实施。统筹文化和旅游景区管理，指导、统筹景区、酒店（饭店）、农家乐等的评星创建，推进全域旅游。</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项目的实施情况：本项目自2019年1月4日经叶城县发展和改革委员会《叶发改投资【2019】005号《叶城县发展和改革委员会关于叶城县行政村文化室及文化站建设项目的立项批复》，经局务会议研究，</w:t>
      </w:r>
      <w:r>
        <w:rPr>
          <w:rFonts w:hint="eastAsia" w:ascii="仿宋" w:hAnsi="仿宋" w:eastAsia="仿宋"/>
          <w:kern w:val="32"/>
          <w:sz w:val="32"/>
          <w:szCs w:val="32"/>
        </w:rPr>
        <w:t>该项目在叶城县文体广影局建设项目领导小组的统一领导下实施，负责该项目的总体筹划。下设办公室，负责该项目日常的协调、组织与实施工作并</w:t>
      </w:r>
      <w:r>
        <w:rPr>
          <w:rFonts w:hint="eastAsia" w:ascii="仿宋_GB2312" w:hAnsi="仿宋" w:eastAsia="仿宋_GB2312" w:cs="宋体"/>
          <w:sz w:val="32"/>
          <w:szCs w:val="32"/>
        </w:rPr>
        <w:t>确定了项目领导小组，明确了责任分工：组长由文旅局党组书记章中和任组长，成员有：陈熙（项目负责人）、龙艳（财务人员），文化站（室）由浙江上宸建筑设计有限公司新疆分公司完成项目初步设计，编制了实施方案，文化站（室）项目采用公开招标，方式确定施工单位为新疆富顺建设工程有限公司，并签订了项目合同，监理方为新疆泽强工程项目管理有限公司喀什监理并签订了监理合同。</w:t>
      </w:r>
      <w:r>
        <w:rPr>
          <w:rFonts w:hint="eastAsia" w:ascii="仿宋" w:hAnsi="仿宋" w:eastAsia="仿宋"/>
          <w:kern w:val="32"/>
          <w:sz w:val="32"/>
          <w:szCs w:val="32"/>
        </w:rPr>
        <w:t>217个</w:t>
      </w:r>
      <w:r>
        <w:rPr>
          <w:rFonts w:ascii="仿宋" w:hAnsi="仿宋" w:eastAsia="仿宋"/>
          <w:kern w:val="32"/>
          <w:sz w:val="32"/>
          <w:szCs w:val="32"/>
        </w:rPr>
        <w:t>行政村</w:t>
      </w:r>
      <w:r>
        <w:rPr>
          <w:rFonts w:hint="eastAsia" w:ascii="仿宋" w:hAnsi="仿宋" w:eastAsia="仿宋"/>
          <w:kern w:val="32"/>
          <w:sz w:val="32"/>
          <w:szCs w:val="32"/>
        </w:rPr>
        <w:t>健身器械；227个</w:t>
      </w:r>
      <w:r>
        <w:rPr>
          <w:rFonts w:ascii="仿宋" w:hAnsi="仿宋" w:eastAsia="仿宋"/>
          <w:kern w:val="32"/>
          <w:sz w:val="32"/>
          <w:szCs w:val="32"/>
        </w:rPr>
        <w:t>行政村文化站（</w:t>
      </w:r>
      <w:r>
        <w:rPr>
          <w:rFonts w:hint="eastAsia" w:ascii="仿宋" w:hAnsi="仿宋" w:eastAsia="仿宋"/>
          <w:kern w:val="32"/>
          <w:sz w:val="32"/>
          <w:szCs w:val="32"/>
        </w:rPr>
        <w:t>室</w:t>
      </w:r>
      <w:r>
        <w:rPr>
          <w:rFonts w:ascii="仿宋" w:hAnsi="仿宋" w:eastAsia="仿宋"/>
          <w:kern w:val="32"/>
          <w:sz w:val="32"/>
          <w:szCs w:val="32"/>
        </w:rPr>
        <w:t>）</w:t>
      </w:r>
      <w:r>
        <w:rPr>
          <w:rFonts w:hint="eastAsia" w:ascii="仿宋" w:hAnsi="仿宋" w:eastAsia="仿宋"/>
          <w:kern w:val="32"/>
          <w:sz w:val="32"/>
          <w:szCs w:val="32"/>
        </w:rPr>
        <w:t>煤改电；263个</w:t>
      </w:r>
      <w:r>
        <w:rPr>
          <w:rFonts w:ascii="仿宋" w:hAnsi="仿宋" w:eastAsia="仿宋"/>
          <w:kern w:val="32"/>
          <w:sz w:val="32"/>
          <w:szCs w:val="32"/>
        </w:rPr>
        <w:t>行政村</w:t>
      </w:r>
      <w:r>
        <w:rPr>
          <w:rFonts w:hint="eastAsia" w:ascii="仿宋" w:hAnsi="仿宋" w:eastAsia="仿宋"/>
          <w:kern w:val="32"/>
          <w:sz w:val="32"/>
          <w:szCs w:val="32"/>
        </w:rPr>
        <w:t>乐器；317个</w:t>
      </w:r>
      <w:r>
        <w:rPr>
          <w:rFonts w:ascii="仿宋" w:hAnsi="仿宋" w:eastAsia="仿宋"/>
          <w:kern w:val="32"/>
          <w:sz w:val="32"/>
          <w:szCs w:val="32"/>
        </w:rPr>
        <w:t>行政村</w:t>
      </w:r>
      <w:r>
        <w:rPr>
          <w:rFonts w:hint="eastAsia" w:ascii="仿宋" w:hAnsi="仿宋" w:eastAsia="仿宋"/>
          <w:kern w:val="32"/>
          <w:sz w:val="32"/>
          <w:szCs w:val="32"/>
        </w:rPr>
        <w:t>手拉杆</w:t>
      </w:r>
      <w:r>
        <w:rPr>
          <w:rFonts w:ascii="仿宋" w:hAnsi="仿宋" w:eastAsia="仿宋"/>
          <w:kern w:val="32"/>
          <w:sz w:val="32"/>
          <w:szCs w:val="32"/>
        </w:rPr>
        <w:t>移动音箱</w:t>
      </w:r>
      <w:r>
        <w:rPr>
          <w:rFonts w:hint="eastAsia" w:ascii="仿宋" w:hAnsi="仿宋" w:eastAsia="仿宋"/>
          <w:kern w:val="32"/>
          <w:sz w:val="32"/>
          <w:szCs w:val="32"/>
        </w:rPr>
        <w:t>的设备采购均由叶城县政府采购</w:t>
      </w:r>
      <w:r>
        <w:rPr>
          <w:rFonts w:hint="eastAsia" w:ascii="仿宋" w:hAnsi="仿宋" w:eastAsia="仿宋"/>
          <w:kern w:val="32"/>
          <w:sz w:val="32"/>
          <w:szCs w:val="32"/>
          <w:lang w:val="en-US" w:eastAsia="zh-CN"/>
        </w:rPr>
        <w:t>站</w:t>
      </w:r>
      <w:r>
        <w:rPr>
          <w:rFonts w:hint="eastAsia" w:ascii="仿宋" w:hAnsi="仿宋" w:eastAsia="仿宋"/>
          <w:kern w:val="32"/>
          <w:sz w:val="32"/>
          <w:szCs w:val="32"/>
        </w:rPr>
        <w:t>招标，其中217套健身器械中标公司为海兴红旗体育器材有限量公司，227个</w:t>
      </w:r>
      <w:r>
        <w:rPr>
          <w:rFonts w:ascii="仿宋" w:hAnsi="仿宋" w:eastAsia="仿宋"/>
          <w:kern w:val="32"/>
          <w:sz w:val="32"/>
          <w:szCs w:val="32"/>
        </w:rPr>
        <w:t>行政村文化站（</w:t>
      </w:r>
      <w:r>
        <w:rPr>
          <w:rFonts w:hint="eastAsia" w:ascii="仿宋" w:hAnsi="仿宋" w:eastAsia="仿宋"/>
          <w:kern w:val="32"/>
          <w:sz w:val="32"/>
          <w:szCs w:val="32"/>
        </w:rPr>
        <w:t>室</w:t>
      </w:r>
      <w:r>
        <w:rPr>
          <w:rFonts w:ascii="仿宋" w:hAnsi="仿宋" w:eastAsia="仿宋"/>
          <w:kern w:val="32"/>
          <w:sz w:val="32"/>
          <w:szCs w:val="32"/>
        </w:rPr>
        <w:t>）</w:t>
      </w:r>
      <w:r>
        <w:rPr>
          <w:rFonts w:hint="eastAsia" w:ascii="仿宋" w:hAnsi="仿宋" w:eastAsia="仿宋"/>
          <w:kern w:val="32"/>
          <w:sz w:val="32"/>
          <w:szCs w:val="32"/>
        </w:rPr>
        <w:t>煤改电项目，中标公司为新疆叶阳电气制造有限公司，263个</w:t>
      </w:r>
      <w:r>
        <w:rPr>
          <w:rFonts w:ascii="仿宋" w:hAnsi="仿宋" w:eastAsia="仿宋"/>
          <w:kern w:val="32"/>
          <w:sz w:val="32"/>
          <w:szCs w:val="32"/>
        </w:rPr>
        <w:t>行政村</w:t>
      </w:r>
      <w:r>
        <w:rPr>
          <w:rFonts w:hint="eastAsia" w:ascii="仿宋" w:hAnsi="仿宋" w:eastAsia="仿宋"/>
          <w:kern w:val="32"/>
          <w:sz w:val="32"/>
          <w:szCs w:val="32"/>
        </w:rPr>
        <w:t>乐器；317个</w:t>
      </w:r>
      <w:r>
        <w:rPr>
          <w:rFonts w:ascii="仿宋" w:hAnsi="仿宋" w:eastAsia="仿宋"/>
          <w:kern w:val="32"/>
          <w:sz w:val="32"/>
          <w:szCs w:val="32"/>
        </w:rPr>
        <w:t>行政村</w:t>
      </w:r>
      <w:r>
        <w:rPr>
          <w:rFonts w:hint="eastAsia" w:ascii="仿宋" w:hAnsi="仿宋" w:eastAsia="仿宋"/>
          <w:kern w:val="32"/>
          <w:sz w:val="32"/>
          <w:szCs w:val="32"/>
        </w:rPr>
        <w:t>手拉杆</w:t>
      </w:r>
      <w:r>
        <w:rPr>
          <w:rFonts w:ascii="仿宋" w:hAnsi="仿宋" w:eastAsia="仿宋"/>
          <w:kern w:val="32"/>
          <w:sz w:val="32"/>
          <w:szCs w:val="32"/>
        </w:rPr>
        <w:t>移动音箱</w:t>
      </w:r>
      <w:r>
        <w:rPr>
          <w:rFonts w:hint="eastAsia" w:ascii="仿宋_GB2312" w:hAnsi="仿宋" w:eastAsia="仿宋_GB2312" w:cs="宋体"/>
          <w:sz w:val="32"/>
          <w:szCs w:val="32"/>
        </w:rPr>
        <w:t>项目，中标公司为叶城县文思科教设备制造有限公司，日目前文化站（室）建设及设备采购均进行了验收并合格，项目已竣工决算，但资产还未移交。</w:t>
      </w:r>
    </w:p>
    <w:p>
      <w:pPr>
        <w:tabs>
          <w:tab w:val="left" w:pos="7770"/>
        </w:tabs>
        <w:spacing w:before="120" w:beforeLines="50" w:line="600" w:lineRule="exact"/>
        <w:ind w:firstLine="645"/>
        <w:rPr>
          <w:rFonts w:ascii="仿宋_GB2312" w:hAnsi="仿宋" w:eastAsia="仿宋_GB2312" w:cs="宋体"/>
          <w:bCs/>
          <w:sz w:val="32"/>
          <w:szCs w:val="32"/>
        </w:rPr>
      </w:pPr>
      <w:r>
        <w:rPr>
          <w:rFonts w:hint="eastAsia" w:ascii="仿宋_GB2312" w:hAnsi="仿宋" w:eastAsia="仿宋_GB2312" w:cs="宋体"/>
          <w:bCs/>
          <w:sz w:val="32"/>
          <w:szCs w:val="32"/>
        </w:rPr>
        <w:t>3.项目负责人为陈熙，主要职责为主要职责为参与项目可靠性研究、项目前期规划、方案论证、协助前期工作的开展、确保工程按时开工，并对工程建设进度、质量、成本、安全负责，组织工程验收等。</w:t>
      </w:r>
    </w:p>
    <w:p>
      <w:pPr>
        <w:pStyle w:val="25"/>
        <w:ind w:left="0" w:firstLine="643" w:firstLineChars="200"/>
      </w:pPr>
      <w:bookmarkStart w:id="1" w:name="_Toc26401550"/>
      <w:r>
        <w:rPr>
          <w:rFonts w:hint="eastAsia"/>
        </w:rPr>
        <w:t>资金</w:t>
      </w:r>
      <w:bookmarkEnd w:id="1"/>
      <w:r>
        <w:rPr>
          <w:rFonts w:hint="eastAsia"/>
        </w:rPr>
        <w:t>投入和使用情况</w:t>
      </w:r>
    </w:p>
    <w:p>
      <w:pPr>
        <w:spacing w:before="120" w:beforeLines="50" w:line="600" w:lineRule="exact"/>
        <w:ind w:firstLine="645"/>
        <w:rPr>
          <w:rFonts w:ascii="仿宋_GB2312" w:hAnsi="仿宋" w:eastAsia="仿宋_GB2312" w:cs="宋体"/>
          <w:color w:val="FF0000"/>
          <w:sz w:val="32"/>
          <w:szCs w:val="32"/>
        </w:rPr>
      </w:pPr>
      <w:r>
        <w:rPr>
          <w:rFonts w:hint="eastAsia" w:ascii="仿宋_GB2312" w:hAnsi="仿宋" w:eastAsia="仿宋_GB2312" w:cs="宋体"/>
          <w:sz w:val="32"/>
          <w:szCs w:val="32"/>
        </w:rPr>
        <w:t>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总投资1525元，资金来源为地方政府一般债券资金中央债券转贷资金1525元。</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资金的使用范围：根据喀地【2019】23号关于下达文化室项目资金的文件，</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我单位制定了专项资金管理办法，按照债券资金管理文件进行使用，</w:t>
      </w:r>
      <w:r>
        <w:rPr>
          <w:rFonts w:hint="eastAsia" w:ascii="仿宋" w:hAnsi="仿宋" w:eastAsia="仿宋"/>
          <w:kern w:val="32"/>
          <w:sz w:val="32"/>
          <w:szCs w:val="32"/>
        </w:rPr>
        <w:t>项目资金由</w:t>
      </w:r>
      <w:r>
        <w:rPr>
          <w:rFonts w:ascii="仿宋" w:hAnsi="仿宋" w:eastAsia="仿宋"/>
          <w:kern w:val="32"/>
          <w:sz w:val="32"/>
          <w:szCs w:val="32"/>
        </w:rPr>
        <w:t>财政部门</w:t>
      </w:r>
      <w:r>
        <w:rPr>
          <w:rFonts w:hint="eastAsia" w:ascii="仿宋" w:hAnsi="仿宋" w:eastAsia="仿宋"/>
          <w:kern w:val="32"/>
          <w:sz w:val="32"/>
          <w:szCs w:val="32"/>
        </w:rPr>
        <w:t>管理，文体局根据项目实施进度拨付项目资金。中标</w:t>
      </w:r>
      <w:r>
        <w:rPr>
          <w:rFonts w:ascii="仿宋" w:hAnsi="仿宋" w:eastAsia="仿宋"/>
          <w:kern w:val="32"/>
          <w:sz w:val="32"/>
          <w:szCs w:val="32"/>
        </w:rPr>
        <w:t>单位、企业需提交资金申请报告</w:t>
      </w:r>
      <w:r>
        <w:rPr>
          <w:rFonts w:hint="eastAsia" w:ascii="仿宋" w:hAnsi="仿宋" w:eastAsia="仿宋"/>
          <w:kern w:val="32"/>
          <w:sz w:val="32"/>
          <w:szCs w:val="32"/>
        </w:rPr>
        <w:t>、</w:t>
      </w:r>
      <w:r>
        <w:rPr>
          <w:rFonts w:ascii="仿宋" w:hAnsi="仿宋" w:eastAsia="仿宋"/>
          <w:kern w:val="32"/>
          <w:sz w:val="32"/>
          <w:szCs w:val="32"/>
        </w:rPr>
        <w:t>中标通知书复印件、合同、</w:t>
      </w:r>
      <w:r>
        <w:rPr>
          <w:rFonts w:hint="eastAsia" w:ascii="仿宋" w:hAnsi="仿宋" w:eastAsia="仿宋"/>
          <w:kern w:val="32"/>
          <w:sz w:val="32"/>
          <w:szCs w:val="32"/>
        </w:rPr>
        <w:t>工程</w:t>
      </w:r>
      <w:r>
        <w:rPr>
          <w:rFonts w:ascii="仿宋" w:hAnsi="仿宋" w:eastAsia="仿宋"/>
          <w:kern w:val="32"/>
          <w:sz w:val="32"/>
          <w:szCs w:val="32"/>
        </w:rPr>
        <w:t>进度表、监理</w:t>
      </w:r>
      <w:r>
        <w:rPr>
          <w:rFonts w:hint="eastAsia" w:ascii="仿宋" w:hAnsi="仿宋" w:eastAsia="仿宋"/>
          <w:kern w:val="32"/>
          <w:sz w:val="32"/>
          <w:szCs w:val="32"/>
        </w:rPr>
        <w:t>签字</w:t>
      </w:r>
      <w:r>
        <w:rPr>
          <w:rFonts w:ascii="仿宋" w:hAnsi="仿宋" w:eastAsia="仿宋"/>
          <w:kern w:val="32"/>
          <w:sz w:val="32"/>
          <w:szCs w:val="32"/>
        </w:rPr>
        <w:t>等</w:t>
      </w:r>
      <w:r>
        <w:rPr>
          <w:rFonts w:hint="eastAsia" w:ascii="仿宋" w:hAnsi="仿宋" w:eastAsia="仿宋"/>
          <w:kern w:val="32"/>
          <w:sz w:val="32"/>
          <w:szCs w:val="32"/>
        </w:rPr>
        <w:t>手续，项目实施</w:t>
      </w:r>
      <w:r>
        <w:rPr>
          <w:rFonts w:ascii="仿宋" w:hAnsi="仿宋" w:eastAsia="仿宋"/>
          <w:kern w:val="32"/>
          <w:sz w:val="32"/>
          <w:szCs w:val="32"/>
        </w:rPr>
        <w:t>单位</w:t>
      </w:r>
      <w:r>
        <w:rPr>
          <w:rFonts w:hint="eastAsia" w:ascii="仿宋" w:hAnsi="仿宋" w:eastAsia="仿宋"/>
          <w:kern w:val="32"/>
          <w:sz w:val="32"/>
          <w:szCs w:val="32"/>
        </w:rPr>
        <w:t>、</w:t>
      </w:r>
      <w:r>
        <w:rPr>
          <w:rFonts w:ascii="仿宋" w:hAnsi="仿宋" w:eastAsia="仿宋"/>
          <w:kern w:val="32"/>
          <w:sz w:val="32"/>
          <w:szCs w:val="32"/>
        </w:rPr>
        <w:t>企业的资金拨付申请由局主要领导签字审批，中标单位、企业的发票由局分管</w:t>
      </w:r>
      <w:r>
        <w:rPr>
          <w:rFonts w:hint="eastAsia" w:ascii="仿宋" w:hAnsi="仿宋" w:eastAsia="仿宋"/>
          <w:kern w:val="32"/>
          <w:sz w:val="32"/>
          <w:szCs w:val="32"/>
        </w:rPr>
        <w:t>财务</w:t>
      </w:r>
      <w:r>
        <w:rPr>
          <w:rFonts w:ascii="仿宋" w:hAnsi="仿宋" w:eastAsia="仿宋"/>
          <w:kern w:val="32"/>
          <w:sz w:val="32"/>
          <w:szCs w:val="32"/>
        </w:rPr>
        <w:t>的领导及项目负责人签字审批</w:t>
      </w:r>
      <w:r>
        <w:rPr>
          <w:rFonts w:hint="eastAsia" w:ascii="仿宋" w:hAnsi="仿宋" w:eastAsia="仿宋"/>
          <w:kern w:val="32"/>
          <w:sz w:val="32"/>
          <w:szCs w:val="32"/>
        </w:rPr>
        <w:t>。文体局</w:t>
      </w:r>
      <w:r>
        <w:rPr>
          <w:rFonts w:ascii="仿宋" w:hAnsi="仿宋" w:eastAsia="仿宋"/>
          <w:kern w:val="32"/>
          <w:sz w:val="32"/>
          <w:szCs w:val="32"/>
        </w:rPr>
        <w:t>再向</w:t>
      </w:r>
      <w:r>
        <w:rPr>
          <w:rFonts w:hint="eastAsia" w:ascii="仿宋" w:hAnsi="仿宋" w:eastAsia="仿宋"/>
          <w:kern w:val="32"/>
          <w:sz w:val="32"/>
          <w:szCs w:val="32"/>
        </w:rPr>
        <w:t>县</w:t>
      </w:r>
      <w:r>
        <w:rPr>
          <w:rFonts w:ascii="仿宋" w:hAnsi="仿宋" w:eastAsia="仿宋"/>
          <w:kern w:val="32"/>
          <w:sz w:val="32"/>
          <w:szCs w:val="32"/>
        </w:rPr>
        <w:t>扶贫开发</w:t>
      </w:r>
      <w:r>
        <w:rPr>
          <w:rFonts w:hint="eastAsia" w:ascii="仿宋" w:hAnsi="仿宋" w:eastAsia="仿宋"/>
          <w:kern w:val="32"/>
          <w:sz w:val="32"/>
          <w:szCs w:val="32"/>
        </w:rPr>
        <w:t>领导</w:t>
      </w:r>
      <w:r>
        <w:rPr>
          <w:rFonts w:ascii="仿宋" w:hAnsi="仿宋" w:eastAsia="仿宋"/>
          <w:kern w:val="32"/>
          <w:sz w:val="32"/>
          <w:szCs w:val="32"/>
        </w:rPr>
        <w:t>小组、财政部门进行申请</w:t>
      </w:r>
      <w:r>
        <w:rPr>
          <w:rFonts w:hint="eastAsia" w:ascii="仿宋" w:hAnsi="仿宋" w:eastAsia="仿宋"/>
          <w:kern w:val="32"/>
          <w:sz w:val="32"/>
          <w:szCs w:val="32"/>
        </w:rPr>
        <w:t>，财政统一支付</w:t>
      </w:r>
      <w:r>
        <w:rPr>
          <w:rFonts w:ascii="仿宋" w:hAnsi="仿宋" w:eastAsia="仿宋"/>
          <w:kern w:val="32"/>
          <w:sz w:val="32"/>
          <w:szCs w:val="32"/>
        </w:rPr>
        <w:t>给施工单位、企业。</w:t>
      </w:r>
      <w:r>
        <w:rPr>
          <w:rFonts w:hint="eastAsia" w:ascii="仿宋" w:hAnsi="仿宋" w:eastAsia="仿宋"/>
          <w:kern w:val="32"/>
          <w:sz w:val="32"/>
          <w:szCs w:val="32"/>
        </w:rPr>
        <w:t>采购类</w:t>
      </w:r>
      <w:r>
        <w:rPr>
          <w:rFonts w:ascii="仿宋" w:hAnsi="仿宋" w:eastAsia="仿宋"/>
          <w:kern w:val="32"/>
          <w:sz w:val="32"/>
          <w:szCs w:val="32"/>
        </w:rPr>
        <w:t>的项目合同签订支付</w:t>
      </w:r>
      <w:r>
        <w:rPr>
          <w:rFonts w:hint="eastAsia" w:ascii="仿宋" w:hAnsi="仿宋" w:eastAsia="仿宋"/>
          <w:kern w:val="32"/>
          <w:sz w:val="32"/>
          <w:szCs w:val="32"/>
        </w:rPr>
        <w:t>30</w:t>
      </w:r>
      <w:r>
        <w:rPr>
          <w:rFonts w:ascii="仿宋" w:hAnsi="仿宋" w:eastAsia="仿宋"/>
          <w:kern w:val="32"/>
          <w:sz w:val="32"/>
          <w:szCs w:val="32"/>
        </w:rPr>
        <w:t>%，</w:t>
      </w:r>
      <w:r>
        <w:rPr>
          <w:rFonts w:hint="eastAsia" w:ascii="仿宋" w:hAnsi="仿宋" w:eastAsia="仿宋"/>
          <w:kern w:val="32"/>
          <w:sz w:val="32"/>
          <w:szCs w:val="32"/>
        </w:rPr>
        <w:t>余下</w:t>
      </w:r>
      <w:r>
        <w:rPr>
          <w:rFonts w:ascii="仿宋" w:hAnsi="仿宋" w:eastAsia="仿宋"/>
          <w:kern w:val="32"/>
          <w:sz w:val="32"/>
          <w:szCs w:val="32"/>
        </w:rPr>
        <w:t>部分</w:t>
      </w:r>
      <w:r>
        <w:rPr>
          <w:rFonts w:hint="eastAsia" w:ascii="仿宋" w:hAnsi="仿宋" w:eastAsia="仿宋"/>
          <w:kern w:val="32"/>
          <w:sz w:val="32"/>
          <w:szCs w:val="32"/>
        </w:rPr>
        <w:t>资金由供货商</w:t>
      </w:r>
      <w:r>
        <w:rPr>
          <w:rFonts w:ascii="仿宋" w:hAnsi="仿宋" w:eastAsia="仿宋"/>
          <w:kern w:val="32"/>
          <w:sz w:val="32"/>
          <w:szCs w:val="32"/>
        </w:rPr>
        <w:t>货物供完，经项目实施</w:t>
      </w:r>
      <w:r>
        <w:rPr>
          <w:rFonts w:hint="eastAsia" w:ascii="仿宋" w:hAnsi="仿宋" w:eastAsia="仿宋"/>
          <w:kern w:val="32"/>
          <w:sz w:val="32"/>
          <w:szCs w:val="32"/>
        </w:rPr>
        <w:t>单位、</w:t>
      </w:r>
      <w:r>
        <w:rPr>
          <w:rFonts w:ascii="仿宋" w:hAnsi="仿宋" w:eastAsia="仿宋"/>
          <w:kern w:val="32"/>
          <w:sz w:val="32"/>
          <w:szCs w:val="32"/>
        </w:rPr>
        <w:t>采购</w:t>
      </w:r>
      <w:r>
        <w:rPr>
          <w:rFonts w:hint="eastAsia" w:ascii="仿宋" w:hAnsi="仿宋" w:eastAsia="仿宋"/>
          <w:kern w:val="32"/>
          <w:sz w:val="32"/>
          <w:szCs w:val="32"/>
          <w:lang w:val="en-US" w:eastAsia="zh-CN"/>
        </w:rPr>
        <w:t>站</w:t>
      </w:r>
      <w:r>
        <w:rPr>
          <w:rFonts w:ascii="仿宋" w:hAnsi="仿宋" w:eastAsia="仿宋"/>
          <w:kern w:val="32"/>
          <w:sz w:val="32"/>
          <w:szCs w:val="32"/>
        </w:rPr>
        <w:t>、采购办</w:t>
      </w:r>
      <w:r>
        <w:rPr>
          <w:rFonts w:hint="eastAsia" w:ascii="仿宋" w:hAnsi="仿宋" w:eastAsia="仿宋"/>
          <w:kern w:val="32"/>
          <w:sz w:val="32"/>
          <w:szCs w:val="32"/>
        </w:rPr>
        <w:t>、发改委、</w:t>
      </w:r>
      <w:r>
        <w:rPr>
          <w:rFonts w:ascii="仿宋" w:hAnsi="仿宋" w:eastAsia="仿宋"/>
          <w:kern w:val="32"/>
          <w:sz w:val="32"/>
          <w:szCs w:val="32"/>
        </w:rPr>
        <w:t>县扶贫办验收后拨付资金</w:t>
      </w:r>
      <w:r>
        <w:rPr>
          <w:rFonts w:hint="eastAsia" w:ascii="仿宋" w:hAnsi="仿宋" w:eastAsia="仿宋"/>
          <w:kern w:val="32"/>
          <w:sz w:val="32"/>
          <w:szCs w:val="32"/>
        </w:rPr>
        <w:t>97</w:t>
      </w:r>
      <w:r>
        <w:rPr>
          <w:rFonts w:ascii="仿宋" w:hAnsi="仿宋" w:eastAsia="仿宋"/>
          <w:kern w:val="32"/>
          <w:sz w:val="32"/>
          <w:szCs w:val="32"/>
        </w:rPr>
        <w:t>%，</w:t>
      </w:r>
      <w:r>
        <w:rPr>
          <w:rFonts w:hint="eastAsia" w:ascii="仿宋" w:hAnsi="仿宋" w:eastAsia="仿宋"/>
          <w:kern w:val="32"/>
          <w:sz w:val="32"/>
          <w:szCs w:val="32"/>
        </w:rPr>
        <w:t>售后质保金3</w:t>
      </w:r>
      <w:r>
        <w:rPr>
          <w:rFonts w:ascii="仿宋" w:hAnsi="仿宋" w:eastAsia="仿宋"/>
          <w:kern w:val="32"/>
          <w:sz w:val="32"/>
          <w:szCs w:val="32"/>
        </w:rPr>
        <w:t>%</w:t>
      </w:r>
      <w:r>
        <w:rPr>
          <w:rFonts w:hint="eastAsia" w:ascii="仿宋" w:hAnsi="仿宋" w:eastAsia="仿宋"/>
          <w:kern w:val="32"/>
          <w:sz w:val="32"/>
          <w:szCs w:val="32"/>
        </w:rPr>
        <w:t>，质保金</w:t>
      </w:r>
      <w:r>
        <w:rPr>
          <w:rFonts w:ascii="仿宋" w:hAnsi="仿宋" w:eastAsia="仿宋"/>
          <w:kern w:val="32"/>
          <w:sz w:val="32"/>
          <w:szCs w:val="32"/>
        </w:rPr>
        <w:t>也可以由银行保函的形式</w:t>
      </w:r>
      <w:r>
        <w:rPr>
          <w:rFonts w:hint="eastAsia" w:ascii="仿宋" w:hAnsi="仿宋" w:eastAsia="仿宋"/>
          <w:kern w:val="32"/>
          <w:sz w:val="32"/>
          <w:szCs w:val="32"/>
        </w:rPr>
        <w:t>进行</w:t>
      </w:r>
      <w:r>
        <w:rPr>
          <w:rFonts w:ascii="仿宋" w:hAnsi="仿宋" w:eastAsia="仿宋"/>
          <w:kern w:val="32"/>
          <w:sz w:val="32"/>
          <w:szCs w:val="32"/>
        </w:rPr>
        <w:t>支付</w:t>
      </w:r>
      <w:r>
        <w:rPr>
          <w:rFonts w:hint="eastAsia" w:ascii="仿宋" w:hAnsi="仿宋" w:eastAsia="仿宋"/>
          <w:kern w:val="32"/>
          <w:sz w:val="32"/>
          <w:szCs w:val="32"/>
        </w:rPr>
        <w:t>。基础建设类</w:t>
      </w:r>
      <w:r>
        <w:rPr>
          <w:rFonts w:ascii="仿宋" w:hAnsi="仿宋" w:eastAsia="仿宋"/>
          <w:kern w:val="32"/>
          <w:sz w:val="32"/>
          <w:szCs w:val="32"/>
        </w:rPr>
        <w:t>的</w:t>
      </w:r>
      <w:r>
        <w:rPr>
          <w:rFonts w:hint="eastAsia" w:ascii="仿宋" w:hAnsi="仿宋" w:eastAsia="仿宋"/>
          <w:kern w:val="32"/>
          <w:sz w:val="32"/>
          <w:szCs w:val="32"/>
        </w:rPr>
        <w:t>项目</w:t>
      </w:r>
      <w:r>
        <w:rPr>
          <w:rFonts w:ascii="仿宋" w:hAnsi="仿宋" w:eastAsia="仿宋"/>
          <w:kern w:val="32"/>
          <w:sz w:val="32"/>
          <w:szCs w:val="32"/>
        </w:rPr>
        <w:t>合同签订支付</w:t>
      </w:r>
      <w:r>
        <w:rPr>
          <w:rFonts w:hint="eastAsia" w:ascii="仿宋" w:hAnsi="仿宋" w:eastAsia="仿宋"/>
          <w:kern w:val="32"/>
          <w:sz w:val="32"/>
          <w:szCs w:val="32"/>
        </w:rPr>
        <w:t>30</w:t>
      </w:r>
      <w:r>
        <w:rPr>
          <w:rFonts w:ascii="仿宋" w:hAnsi="仿宋" w:eastAsia="仿宋"/>
          <w:kern w:val="32"/>
          <w:sz w:val="32"/>
          <w:szCs w:val="32"/>
        </w:rPr>
        <w:t>%，同时中标企业需在当地银行</w:t>
      </w:r>
      <w:r>
        <w:rPr>
          <w:rFonts w:hint="eastAsia" w:ascii="仿宋" w:hAnsi="仿宋" w:eastAsia="仿宋"/>
          <w:kern w:val="32"/>
          <w:sz w:val="32"/>
          <w:szCs w:val="32"/>
        </w:rPr>
        <w:t>开设</w:t>
      </w:r>
      <w:r>
        <w:rPr>
          <w:rFonts w:ascii="仿宋" w:hAnsi="仿宋" w:eastAsia="仿宋"/>
          <w:kern w:val="32"/>
          <w:sz w:val="32"/>
          <w:szCs w:val="32"/>
        </w:rPr>
        <w:t>民工工资专户</w:t>
      </w:r>
      <w:r>
        <w:rPr>
          <w:rFonts w:hint="eastAsia" w:ascii="仿宋" w:hAnsi="仿宋" w:eastAsia="仿宋"/>
          <w:kern w:val="32"/>
          <w:sz w:val="32"/>
          <w:szCs w:val="32"/>
        </w:rPr>
        <w:t>，每批</w:t>
      </w:r>
      <w:r>
        <w:rPr>
          <w:rFonts w:ascii="仿宋" w:hAnsi="仿宋" w:eastAsia="仿宋"/>
          <w:kern w:val="32"/>
          <w:sz w:val="32"/>
          <w:szCs w:val="32"/>
        </w:rPr>
        <w:t>工程款的</w:t>
      </w:r>
      <w:r>
        <w:rPr>
          <w:rFonts w:hint="eastAsia" w:ascii="仿宋" w:hAnsi="仿宋" w:eastAsia="仿宋"/>
          <w:kern w:val="32"/>
          <w:sz w:val="32"/>
          <w:szCs w:val="32"/>
        </w:rPr>
        <w:t>30</w:t>
      </w:r>
      <w:r>
        <w:rPr>
          <w:rFonts w:ascii="仿宋" w:hAnsi="仿宋" w:eastAsia="仿宋"/>
          <w:kern w:val="32"/>
          <w:sz w:val="32"/>
          <w:szCs w:val="32"/>
        </w:rPr>
        <w:t>%打入</w:t>
      </w:r>
      <w:r>
        <w:rPr>
          <w:rFonts w:hint="eastAsia" w:ascii="仿宋" w:hAnsi="仿宋" w:eastAsia="仿宋"/>
          <w:kern w:val="32"/>
          <w:sz w:val="32"/>
          <w:szCs w:val="32"/>
        </w:rPr>
        <w:t>民工工资专户。第二批</w:t>
      </w:r>
      <w:r>
        <w:rPr>
          <w:rFonts w:ascii="仿宋" w:hAnsi="仿宋" w:eastAsia="仿宋"/>
          <w:kern w:val="32"/>
          <w:sz w:val="32"/>
          <w:szCs w:val="32"/>
        </w:rPr>
        <w:t>工程款</w:t>
      </w:r>
      <w:r>
        <w:rPr>
          <w:rFonts w:hint="eastAsia" w:ascii="仿宋" w:hAnsi="仿宋" w:eastAsia="仿宋"/>
          <w:kern w:val="32"/>
          <w:sz w:val="32"/>
          <w:szCs w:val="32"/>
        </w:rPr>
        <w:t>主体结束</w:t>
      </w:r>
      <w:r>
        <w:rPr>
          <w:rFonts w:ascii="仿宋" w:hAnsi="仿宋" w:eastAsia="仿宋"/>
          <w:kern w:val="32"/>
          <w:sz w:val="32"/>
          <w:szCs w:val="32"/>
        </w:rPr>
        <w:t>后，支付</w:t>
      </w:r>
      <w:r>
        <w:rPr>
          <w:rFonts w:hint="eastAsia" w:ascii="仿宋" w:hAnsi="仿宋" w:eastAsia="仿宋"/>
          <w:kern w:val="32"/>
          <w:sz w:val="32"/>
          <w:szCs w:val="32"/>
        </w:rPr>
        <w:t>30</w:t>
      </w:r>
      <w:r>
        <w:rPr>
          <w:rFonts w:ascii="仿宋" w:hAnsi="仿宋" w:eastAsia="仿宋"/>
          <w:kern w:val="32"/>
          <w:sz w:val="32"/>
          <w:szCs w:val="32"/>
        </w:rPr>
        <w:t>%</w:t>
      </w:r>
      <w:r>
        <w:rPr>
          <w:rFonts w:hint="eastAsia" w:ascii="仿宋" w:hAnsi="仿宋" w:eastAsia="仿宋"/>
          <w:kern w:val="32"/>
          <w:sz w:val="32"/>
          <w:szCs w:val="32"/>
        </w:rPr>
        <w:t>工程款</w:t>
      </w:r>
      <w:r>
        <w:rPr>
          <w:rFonts w:ascii="仿宋" w:hAnsi="仿宋" w:eastAsia="仿宋"/>
          <w:kern w:val="32"/>
          <w:sz w:val="32"/>
          <w:szCs w:val="32"/>
        </w:rPr>
        <w:t>，同时需要施工企业</w:t>
      </w:r>
      <w:r>
        <w:rPr>
          <w:rFonts w:hint="eastAsia" w:ascii="仿宋" w:hAnsi="仿宋" w:eastAsia="仿宋"/>
          <w:kern w:val="32"/>
          <w:sz w:val="32"/>
          <w:szCs w:val="32"/>
        </w:rPr>
        <w:t>单位</w:t>
      </w:r>
      <w:r>
        <w:rPr>
          <w:rFonts w:ascii="仿宋" w:hAnsi="仿宋" w:eastAsia="仿宋"/>
          <w:kern w:val="32"/>
          <w:sz w:val="32"/>
          <w:szCs w:val="32"/>
        </w:rPr>
        <w:t>提供工程</w:t>
      </w:r>
      <w:r>
        <w:rPr>
          <w:rFonts w:hint="eastAsia" w:ascii="仿宋" w:hAnsi="仿宋" w:eastAsia="仿宋"/>
          <w:kern w:val="32"/>
          <w:sz w:val="32"/>
          <w:szCs w:val="32"/>
        </w:rPr>
        <w:t>量清单</w:t>
      </w:r>
      <w:r>
        <w:rPr>
          <w:rFonts w:ascii="仿宋" w:hAnsi="仿宋" w:eastAsia="仿宋"/>
          <w:kern w:val="32"/>
          <w:sz w:val="32"/>
          <w:szCs w:val="32"/>
        </w:rPr>
        <w:t>，</w:t>
      </w:r>
      <w:r>
        <w:rPr>
          <w:rFonts w:hint="eastAsia" w:ascii="仿宋" w:hAnsi="仿宋" w:eastAsia="仿宋"/>
          <w:kern w:val="32"/>
          <w:sz w:val="32"/>
          <w:szCs w:val="32"/>
        </w:rPr>
        <w:t>工程进度</w:t>
      </w:r>
      <w:r>
        <w:rPr>
          <w:rFonts w:ascii="仿宋" w:hAnsi="仿宋" w:eastAsia="仿宋"/>
          <w:kern w:val="32"/>
          <w:sz w:val="32"/>
          <w:szCs w:val="32"/>
        </w:rPr>
        <w:t>表</w:t>
      </w:r>
      <w:r>
        <w:rPr>
          <w:rFonts w:hint="eastAsia" w:ascii="仿宋" w:hAnsi="仿宋" w:eastAsia="仿宋"/>
          <w:kern w:val="32"/>
          <w:sz w:val="32"/>
          <w:szCs w:val="32"/>
        </w:rPr>
        <w:t>，</w:t>
      </w:r>
      <w:r>
        <w:rPr>
          <w:rFonts w:ascii="仿宋" w:hAnsi="仿宋" w:eastAsia="仿宋"/>
          <w:kern w:val="32"/>
          <w:sz w:val="32"/>
          <w:szCs w:val="32"/>
        </w:rPr>
        <w:t>需监理公司签字盖章；第三</w:t>
      </w:r>
      <w:r>
        <w:rPr>
          <w:rFonts w:hint="eastAsia" w:ascii="仿宋" w:hAnsi="仿宋" w:eastAsia="仿宋"/>
          <w:kern w:val="32"/>
          <w:sz w:val="32"/>
          <w:szCs w:val="32"/>
        </w:rPr>
        <w:t>批</w:t>
      </w:r>
      <w:r>
        <w:rPr>
          <w:rFonts w:ascii="仿宋" w:hAnsi="仿宋" w:eastAsia="仿宋"/>
          <w:kern w:val="32"/>
          <w:sz w:val="32"/>
          <w:szCs w:val="32"/>
        </w:rPr>
        <w:t>工程款，工程结束后由设计、地勘、施工单位、实施单位、</w:t>
      </w:r>
      <w:r>
        <w:rPr>
          <w:rFonts w:hint="eastAsia" w:ascii="仿宋" w:hAnsi="仿宋" w:eastAsia="仿宋"/>
          <w:kern w:val="32"/>
          <w:sz w:val="32"/>
          <w:szCs w:val="32"/>
        </w:rPr>
        <w:t>监理单位</w:t>
      </w:r>
      <w:r>
        <w:rPr>
          <w:rFonts w:ascii="仿宋" w:hAnsi="仿宋" w:eastAsia="仿宋"/>
          <w:kern w:val="32"/>
          <w:sz w:val="32"/>
          <w:szCs w:val="32"/>
        </w:rPr>
        <w:t>验收后，支付</w:t>
      </w:r>
      <w:r>
        <w:rPr>
          <w:rFonts w:hint="eastAsia" w:ascii="仿宋" w:hAnsi="仿宋" w:eastAsia="仿宋"/>
          <w:kern w:val="32"/>
          <w:sz w:val="32"/>
          <w:szCs w:val="32"/>
        </w:rPr>
        <w:t>20</w:t>
      </w:r>
      <w:r>
        <w:rPr>
          <w:rFonts w:ascii="仿宋" w:hAnsi="仿宋" w:eastAsia="仿宋"/>
          <w:kern w:val="32"/>
          <w:sz w:val="32"/>
          <w:szCs w:val="32"/>
        </w:rPr>
        <w:t>%工程款。</w:t>
      </w:r>
      <w:r>
        <w:rPr>
          <w:rFonts w:hint="eastAsia" w:ascii="仿宋" w:hAnsi="仿宋" w:eastAsia="仿宋"/>
          <w:kern w:val="32"/>
          <w:sz w:val="32"/>
          <w:szCs w:val="32"/>
        </w:rPr>
        <w:t>余下部分</w:t>
      </w:r>
      <w:r>
        <w:rPr>
          <w:rFonts w:ascii="仿宋" w:hAnsi="仿宋" w:eastAsia="仿宋"/>
          <w:kern w:val="32"/>
          <w:sz w:val="32"/>
          <w:szCs w:val="32"/>
        </w:rPr>
        <w:t>由审计后支付。</w:t>
      </w:r>
    </w:p>
    <w:p>
      <w:pPr>
        <w:pStyle w:val="25"/>
        <w:ind w:left="0" w:firstLine="643" w:firstLineChars="200"/>
      </w:pPr>
      <w:bookmarkStart w:id="2" w:name="_Toc26401551"/>
      <w:r>
        <w:rPr>
          <w:rFonts w:hint="eastAsia"/>
        </w:rPr>
        <w:t>绩效目标</w:t>
      </w:r>
      <w:bookmarkEnd w:id="2"/>
    </w:p>
    <w:p>
      <w:pPr>
        <w:spacing w:line="360" w:lineRule="auto"/>
        <w:ind w:firstLine="640" w:firstLineChars="200"/>
        <w:rPr>
          <w:rFonts w:ascii="仿宋" w:hAnsi="仿宋" w:eastAsia="仿宋"/>
          <w:kern w:val="32"/>
          <w:sz w:val="32"/>
          <w:szCs w:val="32"/>
        </w:rPr>
      </w:pPr>
      <w:r>
        <w:rPr>
          <w:rFonts w:hint="eastAsia" w:ascii="仿宋_GB2312" w:hAnsi="仿宋" w:eastAsia="仿宋_GB2312" w:cs="宋体"/>
          <w:sz w:val="32"/>
          <w:szCs w:val="32"/>
        </w:rPr>
        <w:t>总体目标为：</w:t>
      </w:r>
      <w:r>
        <w:rPr>
          <w:rFonts w:hint="eastAsia" w:ascii="仿宋" w:hAnsi="仿宋" w:eastAsia="仿宋"/>
          <w:kern w:val="32"/>
          <w:sz w:val="32"/>
          <w:szCs w:val="32"/>
        </w:rPr>
        <w:t>该项目建成后，可使我们党“用社会主义思想占领农村文化阵地”及代表中国先进文化前进方向的目标在我镇得以更好地贯彻落实，使乡镇文化站、村文化室充分发挥出社会主义精神文明宣传、教育地阵地作用、极大丰富广大居民群众的精神文化生活，有效淡化意识，使广大居民群众摆脱束缚后有去处、有活动场地，对提高居民群众思想认识、增强维护安定的意识、繁荣群众文化事业、促进非物质文化的保护有极大的推动作用。同时，对聚焦总目标，实现社会安定和长治久安效益十分显著。</w:t>
      </w:r>
    </w:p>
    <w:p>
      <w:pPr>
        <w:pStyle w:val="23"/>
        <w:numPr>
          <w:ilvl w:val="0"/>
          <w:numId w:val="2"/>
        </w:numPr>
        <w:ind w:firstLineChars="0"/>
      </w:pPr>
      <w:bookmarkStart w:id="3" w:name="_Toc26401552"/>
      <w:r>
        <w:rPr>
          <w:rFonts w:hint="eastAsia"/>
        </w:rPr>
        <w:t>评价工作简述</w:t>
      </w:r>
      <w:bookmarkEnd w:id="3"/>
    </w:p>
    <w:p>
      <w:pPr>
        <w:pStyle w:val="25"/>
        <w:numPr>
          <w:ilvl w:val="0"/>
          <w:numId w:val="4"/>
        </w:numPr>
        <w:ind w:left="0" w:firstLine="643" w:firstLineChars="200"/>
      </w:pPr>
      <w:bookmarkStart w:id="4" w:name="_Toc26401553"/>
      <w:r>
        <w:rPr>
          <w:rFonts w:hint="eastAsia"/>
        </w:rPr>
        <w:t>评价目的</w:t>
      </w:r>
      <w:bookmarkEnd w:id="4"/>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项目实施前期、过程及效果，评价财政预算资金使用的效率及效益。</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本次评价从叶城县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资金项目产生的效果角度出发,力求从绩效的角度发现2019年度叶城县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资金项目中取得的成绩和产生的问题,优化财政支出管理改革,为下一步实施绩效预算奠定基础。</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1.通过评价,了解2019年度叶城县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资金项目的基本情况对项目背景和目的、项目内容和现状、项目预算做深入调研和分析;</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2.通过评价,了解2019年度叶城县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资金项目的产出和效果情况,及整体绩效状况</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3,通过评价,发掘2019年度叶城县</w:t>
      </w:r>
      <w:r>
        <w:rPr>
          <w:rFonts w:ascii="仿宋_GB2312" w:hAnsi="仿宋" w:eastAsia="仿宋_GB2312" w:cs="宋体"/>
          <w:sz w:val="32"/>
          <w:szCs w:val="32"/>
        </w:rPr>
        <w:t>2019年文化站(室）建设、行政村设备采购项目</w:t>
      </w:r>
      <w:r>
        <w:rPr>
          <w:rFonts w:hint="eastAsia" w:ascii="仿宋_GB2312" w:hAnsi="仿宋" w:eastAsia="仿宋_GB2312" w:cs="宋体"/>
          <w:sz w:val="32"/>
          <w:szCs w:val="32"/>
        </w:rPr>
        <w:t>资金项目所产生的现实意义和实际价值:</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4,通过评价,从绩效的角度发现该项目在决策、实施和管理过程中存在的问题,寻求解决方案,为进一步深化项目管理工作提供依据,以促进项目建成后取得最大的社会效益。</w:t>
      </w:r>
    </w:p>
    <w:p>
      <w:pPr>
        <w:pStyle w:val="25"/>
        <w:numPr>
          <w:ilvl w:val="0"/>
          <w:numId w:val="4"/>
        </w:numPr>
        <w:ind w:left="0" w:firstLine="643" w:firstLineChars="200"/>
      </w:pPr>
      <w:r>
        <w:rPr>
          <w:rFonts w:hint="eastAsia"/>
        </w:rPr>
        <w:t>本次绩效评价的对象及范围</w:t>
      </w:r>
      <w:bookmarkStart w:id="5" w:name="_Toc26401554"/>
    </w:p>
    <w:p>
      <w:pPr>
        <w:spacing w:before="120"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叶城县</w:t>
      </w:r>
      <w:r>
        <w:rPr>
          <w:rFonts w:ascii="仿宋_GB2312" w:hAnsi="仿宋" w:eastAsia="仿宋_GB2312" w:cs="宋体"/>
          <w:sz w:val="32"/>
          <w:szCs w:val="32"/>
        </w:rPr>
        <w:t>2019年文化站(室）建设、行政村设备采购项目资金，</w:t>
      </w:r>
      <w:r>
        <w:rPr>
          <w:rFonts w:hint="eastAsia" w:ascii="仿宋_GB2312" w:hAnsi="仿宋" w:eastAsia="仿宋_GB2312" w:cs="宋体"/>
          <w:sz w:val="32"/>
          <w:szCs w:val="32"/>
        </w:rPr>
        <w:t>根据（新财预</w:t>
      </w:r>
      <w:r>
        <w:rPr>
          <w:rFonts w:hint="eastAsia" w:ascii="仿宋" w:hAnsi="仿宋" w:eastAsia="仿宋"/>
          <w:sz w:val="30"/>
          <w:szCs w:val="30"/>
        </w:rPr>
        <w:t>[2019]31号、喀地财预[2019]23号），</w:t>
      </w:r>
      <w:r>
        <w:rPr>
          <w:rFonts w:hint="eastAsia" w:ascii="仿宋_GB2312" w:hAnsi="仿宋" w:eastAsia="仿宋_GB2312" w:cs="宋体"/>
          <w:sz w:val="32"/>
          <w:szCs w:val="32"/>
        </w:rPr>
        <w:t>2019年共收到项目资金1525万元，资金到位率为100%。资金来源为地方政府一般债券资金中央债券转贷资金。根据项目实施进度，该项目实际完成投资额1525万元，资金执行率为100%。</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1.资金使用范围：</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叶城县文旅局根据</w:t>
      </w:r>
      <w:r>
        <w:rPr>
          <w:rFonts w:hint="eastAsia" w:ascii="仿宋_GB2312" w:hAnsi="Calibri" w:eastAsia="仿宋_GB2312" w:cs="Times New Roman"/>
          <w:bCs/>
          <w:sz w:val="32"/>
          <w:szCs w:val="32"/>
        </w:rPr>
        <w:t>根据《中央、自治区和喀什地区中央转移专项资金管理办法的要求和单位财务管理制度》，严格按照专项资金支持的项目条件和范围要求，使用管理项目资金</w:t>
      </w:r>
      <w:r>
        <w:rPr>
          <w:rFonts w:hint="eastAsia" w:ascii="仿宋_GB2312" w:hAnsi="仿宋" w:eastAsia="仿宋_GB2312" w:cs="宋体"/>
          <w:sz w:val="32"/>
          <w:szCs w:val="32"/>
        </w:rPr>
        <w:t>，资金跟着项目走，项目跟着需求走。</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2.项目实施及管理情况：</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项目经立项后。由叶城县文旅局组织实施，制定实施方案，实施过程均按照上级管理制度和实施方案执行。</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按照“行政主导、部门合作、科学决策”的原则，推进规划科学民主决策，健全乡镇规划编制、实施管理和监督检查机制，严格规划审批和监督。落实规划稽查制度和责任追究制度，切实维护规划的权威性和严肃性。</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该项目不存在调整情况。</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本项目严格遵守相关法律法规和业务管理规定，对项目各项资料整理并及时归档。已建立《日常检查监督检查机制》，不定期对项目进行督导检查，对检查过程中发现的问题及时督促整改。</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在建设中还加强了项目财务收支管理，节约财务支出，建立严格的财务管理制度。对工作过程中产生的问题，落实稽查制度和责任追究制度，采用公平公正公开的原则，积极整改并接受大众社会监督。确保财政资金支出有据、有有效，项目完成高质量。</w:t>
      </w:r>
    </w:p>
    <w:p>
      <w:pPr>
        <w:pStyle w:val="25"/>
        <w:numPr>
          <w:ilvl w:val="0"/>
          <w:numId w:val="4"/>
        </w:numPr>
        <w:ind w:left="0" w:firstLine="643" w:firstLineChars="200"/>
      </w:pPr>
      <w:r>
        <w:rPr>
          <w:rFonts w:hint="eastAsia"/>
        </w:rPr>
        <w:t>绩效评价原则</w:t>
      </w:r>
      <w:bookmarkEnd w:id="5"/>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5"/>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5"/>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5"/>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spacing w:before="120" w:beforeLines="50" w:line="600" w:lineRule="exact"/>
        <w:rPr>
          <w:rFonts w:ascii="仿宋_GB2312" w:hAnsi="仿宋" w:eastAsia="仿宋_GB2312" w:cs="宋体"/>
          <w:bCs/>
          <w:sz w:val="32"/>
          <w:szCs w:val="32"/>
        </w:rPr>
      </w:pPr>
      <w:r>
        <w:rPr>
          <w:rFonts w:hint="eastAsia" w:ascii="仿宋_GB2312" w:hAnsi="仿宋" w:eastAsia="仿宋_GB2312" w:cs="宋体"/>
          <w:bCs/>
          <w:sz w:val="32"/>
          <w:szCs w:val="32"/>
        </w:rPr>
        <w:t>根据以上原则,绩效评价应遵循如下要求:</w:t>
      </w:r>
    </w:p>
    <w:p>
      <w:pPr>
        <w:spacing w:before="120"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（1）在数据采集时,采取客观数据,主管部门审查、社会中介组织复查,与问卷调查相结合的形式,以保证各项指标的真实性。</w:t>
      </w:r>
    </w:p>
    <w:p>
      <w:pPr>
        <w:spacing w:before="120"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(2)保证评价结果的真实性、公正性,提高评价报告的公信力。</w:t>
      </w:r>
    </w:p>
    <w:p>
      <w:pPr>
        <w:spacing w:before="120"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(3)绩教评价报告应当简明扼要,除了对绩效评价的过程、结果描述外,还应总结经验,指出问题,并就共性问题提出可操作性改进建议。</w:t>
      </w:r>
    </w:p>
    <w:p>
      <w:pPr>
        <w:pStyle w:val="19"/>
        <w:numPr>
          <w:ilvl w:val="0"/>
          <w:numId w:val="6"/>
        </w:numPr>
        <w:spacing w:before="120" w:beforeLines="50" w:line="600" w:lineRule="exact"/>
        <w:ind w:firstLineChars="0"/>
        <w:rPr>
          <w:rFonts w:ascii="仿宋_GB2312" w:hAnsi="仿宋" w:eastAsia="仿宋_GB2312" w:cs="宋体"/>
          <w:b/>
          <w:bCs/>
          <w:sz w:val="32"/>
          <w:szCs w:val="32"/>
        </w:rPr>
      </w:pPr>
      <w:r>
        <w:rPr>
          <w:rFonts w:hint="eastAsia" w:ascii="仿宋_GB2312" w:hAnsi="仿宋" w:eastAsia="仿宋_GB2312" w:cs="宋体"/>
          <w:b/>
          <w:bCs/>
          <w:sz w:val="32"/>
          <w:szCs w:val="32"/>
        </w:rPr>
        <w:t>本项目绩效评价体系</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遵循“科学性、规范性、客观性和公正性”的绩效评价原则,根据财政部制定的《项目支出绩效评价共性指标体系框架》,结合叶城县</w:t>
      </w:r>
      <w:r>
        <w:rPr>
          <w:rFonts w:ascii="仿宋_GB2312" w:hAnsi="仿宋" w:eastAsia="仿宋_GB2312" w:cs="宋体"/>
          <w:sz w:val="32"/>
          <w:szCs w:val="32"/>
        </w:rPr>
        <w:t>2019年文化站(室）建设、行政村设备采购</w:t>
      </w:r>
      <w:r>
        <w:rPr>
          <w:rFonts w:hint="eastAsia" w:ascii="仿宋_GB2312" w:hAnsi="仿宋" w:eastAsia="仿宋_GB2312" w:cs="宋体"/>
          <w:sz w:val="32"/>
          <w:szCs w:val="32"/>
        </w:rPr>
        <w:t>项目特性文旅局实际情况,本项目按照财预﹝2020﹞10号文件制定评价指标体系。</w:t>
      </w:r>
      <w:bookmarkStart w:id="6" w:name="_Toc26401555"/>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我单位选取共性指标：决策中一级指标1个，二级指标2个，三级指标3个，分别是绩效指标明确性、预算编制科学性、资金分配合理性。</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过程中一级指标1个，二级指标2个，三级指标3个，分别是资金到位率、预算执行率、管理制度健全性 。</w:t>
      </w:r>
    </w:p>
    <w:p>
      <w:pPr>
        <w:pStyle w:val="25"/>
        <w:keepNext w:val="0"/>
        <w:keepLines w:val="0"/>
        <w:numPr>
          <w:ilvl w:val="0"/>
          <w:numId w:val="6"/>
        </w:numPr>
        <w:ind w:left="0" w:firstLine="643" w:firstLineChars="200"/>
      </w:pPr>
      <w:r>
        <w:rPr>
          <w:rFonts w:hint="eastAsia"/>
        </w:rPr>
        <w:t>绩效评价方法</w:t>
      </w:r>
      <w:bookmarkEnd w:id="6"/>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本次绩效评价方法的选用坚持简便有效的原则问卷调查法。</w:t>
      </w:r>
    </w:p>
    <w:p>
      <w:pPr>
        <w:spacing w:before="120" w:beforeLines="50" w:line="560" w:lineRule="exact"/>
        <w:ind w:firstLine="480" w:firstLineChars="150"/>
        <w:rPr>
          <w:rFonts w:ascii="仿宋_GB2312" w:hAnsi="仿宋" w:eastAsia="仿宋_GB2312" w:cs="宋体"/>
          <w:sz w:val="32"/>
          <w:szCs w:val="32"/>
        </w:rPr>
      </w:pPr>
      <w:r>
        <w:rPr>
          <w:rFonts w:hint="eastAsia" w:ascii="仿宋_GB2312" w:hAnsi="仿宋" w:eastAsia="仿宋_GB2312" w:cs="宋体"/>
          <w:sz w:val="32"/>
          <w:szCs w:val="32"/>
        </w:rPr>
        <w:t>(1)数据采集方法及过程</w:t>
      </w:r>
    </w:p>
    <w:p>
      <w:pPr>
        <w:pStyle w:val="19"/>
        <w:tabs>
          <w:tab w:val="left" w:pos="1446"/>
        </w:tabs>
        <w:spacing w:before="120" w:beforeLines="50" w:line="600" w:lineRule="exact"/>
        <w:ind w:left="160" w:firstLine="480" w:firstLineChars="150"/>
        <w:rPr>
          <w:rFonts w:ascii="仿宋_GB2312" w:hAnsi="仿宋" w:eastAsia="仿宋_GB2312" w:cs="宋体"/>
          <w:bCs/>
          <w:sz w:val="32"/>
          <w:szCs w:val="32"/>
        </w:rPr>
      </w:pPr>
      <w:r>
        <w:rPr>
          <w:rFonts w:hint="eastAsia" w:ascii="仿宋_GB2312" w:hAnsi="仿宋" w:eastAsia="仿宋_GB2312" w:cs="宋体"/>
          <w:sz w:val="32"/>
          <w:szCs w:val="32"/>
        </w:rPr>
        <w:t>本项目主要采用实地走访及查阅相关会计凭证等资料的方式采集项目资金支出情况、项目完成情况及项目成本构成等数据资料，对采集的数据做详细的分析和统计。</w:t>
      </w:r>
    </w:p>
    <w:p>
      <w:pPr>
        <w:pStyle w:val="19"/>
        <w:numPr>
          <w:ilvl w:val="0"/>
          <w:numId w:val="7"/>
        </w:numPr>
        <w:tabs>
          <w:tab w:val="left" w:pos="1446"/>
        </w:tabs>
        <w:spacing w:before="120"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资金使用情况检查方法及过程</w:t>
      </w:r>
    </w:p>
    <w:p>
      <w:pPr>
        <w:spacing w:before="120" w:beforeLines="50" w:line="560" w:lineRule="exact"/>
        <w:ind w:firstLine="800" w:firstLineChars="250"/>
        <w:rPr>
          <w:rFonts w:ascii="仿宋_GB2312" w:hAnsi="仿宋" w:eastAsia="仿宋_GB2312" w:cs="宋体"/>
          <w:sz w:val="32"/>
          <w:szCs w:val="32"/>
        </w:rPr>
      </w:pPr>
      <w:r>
        <w:rPr>
          <w:rFonts w:hint="eastAsia" w:ascii="仿宋_GB2312" w:hAnsi="仿宋" w:eastAsia="仿宋_GB2312" w:cs="宋体"/>
          <w:sz w:val="32"/>
          <w:szCs w:val="32"/>
        </w:rPr>
        <w:t>进行实地调研，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 项目不存在资金截留、挪用的情况；资金用于规定的使用范围，资金使用合规。</w:t>
      </w:r>
    </w:p>
    <w:p>
      <w:pPr>
        <w:pStyle w:val="19"/>
        <w:numPr>
          <w:ilvl w:val="0"/>
          <w:numId w:val="7"/>
        </w:numPr>
        <w:spacing w:before="120" w:beforeLines="50" w:line="560" w:lineRule="exact"/>
        <w:ind w:firstLineChars="0"/>
        <w:rPr>
          <w:rFonts w:ascii="仿宋_GB2312" w:hAnsi="仿宋" w:eastAsia="仿宋_GB2312" w:cs="宋体"/>
          <w:sz w:val="32"/>
          <w:szCs w:val="32"/>
        </w:rPr>
      </w:pPr>
      <w:r>
        <w:rPr>
          <w:rFonts w:hint="eastAsia" w:ascii="仿宋_GB2312" w:hAnsi="仿宋" w:eastAsia="仿宋_GB2312" w:cs="宋体"/>
          <w:sz w:val="32"/>
          <w:szCs w:val="32"/>
        </w:rPr>
        <w:t>实地调研的方法</w:t>
      </w:r>
    </w:p>
    <w:p>
      <w:pPr>
        <w:pStyle w:val="19"/>
        <w:spacing w:before="120" w:beforeLines="50" w:line="560" w:lineRule="exact"/>
        <w:ind w:left="160" w:firstLine="640"/>
        <w:rPr>
          <w:rFonts w:ascii="仿宋_GB2312" w:hAnsi="仿宋" w:eastAsia="仿宋_GB2312" w:cs="宋体"/>
          <w:sz w:val="32"/>
          <w:szCs w:val="32"/>
        </w:rPr>
      </w:pPr>
      <w:r>
        <w:rPr>
          <w:rFonts w:hint="eastAsia" w:ascii="仿宋_GB2312" w:hAnsi="仿宋" w:eastAsia="仿宋_GB2312" w:cs="宋体"/>
          <w:sz w:val="32"/>
          <w:szCs w:val="32"/>
        </w:rPr>
        <w:t>项目评价组根据项目实施过程及指标评价需求判断，针对项目进行实地调研考察等</w:t>
      </w:r>
      <w:r>
        <w:rPr>
          <w:rFonts w:ascii="仿宋_GB2312" w:hAnsi="仿宋" w:eastAsia="仿宋_GB2312" w:cs="宋体"/>
          <w:sz w:val="32"/>
          <w:szCs w:val="32"/>
        </w:rPr>
        <w:t>,</w:t>
      </w:r>
      <w:r>
        <w:rPr>
          <w:rFonts w:hint="eastAsia" w:ascii="仿宋_GB2312" w:hAnsi="仿宋" w:eastAsia="仿宋_GB2312" w:cs="宋体"/>
          <w:sz w:val="32"/>
          <w:szCs w:val="32"/>
        </w:rPr>
        <w:t>在限期内</w:t>
      </w:r>
      <w:r>
        <w:rPr>
          <w:rFonts w:ascii="仿宋_GB2312" w:hAnsi="仿宋" w:eastAsia="仿宋_GB2312" w:cs="宋体"/>
          <w:sz w:val="32"/>
          <w:szCs w:val="32"/>
        </w:rPr>
        <w:t>收集、分析调查问卷,进行评价和判断的方法。</w:t>
      </w:r>
    </w:p>
    <w:p>
      <w:pPr>
        <w:pStyle w:val="19"/>
        <w:numPr>
          <w:ilvl w:val="0"/>
          <w:numId w:val="7"/>
        </w:numPr>
        <w:spacing w:before="120" w:beforeLines="50" w:line="560" w:lineRule="exact"/>
        <w:ind w:firstLineChars="0"/>
        <w:rPr>
          <w:rFonts w:ascii="仿宋_GB2312" w:hAnsi="仿宋" w:eastAsia="仿宋_GB2312" w:cs="宋体"/>
          <w:sz w:val="32"/>
          <w:szCs w:val="32"/>
        </w:rPr>
      </w:pPr>
      <w:r>
        <w:rPr>
          <w:rFonts w:hint="eastAsia" w:ascii="仿宋_GB2312" w:hAnsi="仿宋" w:eastAsia="仿宋_GB2312" w:cs="宋体"/>
          <w:sz w:val="32"/>
          <w:szCs w:val="32"/>
        </w:rPr>
        <w:t>撰写报告情况</w:t>
      </w:r>
    </w:p>
    <w:p>
      <w:pPr>
        <w:pStyle w:val="19"/>
        <w:spacing w:before="120" w:beforeLines="50" w:line="560" w:lineRule="exact"/>
        <w:ind w:left="160" w:firstLine="640"/>
        <w:rPr>
          <w:rFonts w:ascii="仿宋_GB2312" w:hAnsi="仿宋" w:eastAsia="仿宋_GB2312" w:cs="宋体"/>
          <w:sz w:val="32"/>
          <w:szCs w:val="32"/>
        </w:rPr>
      </w:pPr>
      <w:r>
        <w:rPr>
          <w:rFonts w:hint="eastAsia" w:ascii="仿宋_GB2312" w:hAnsi="仿宋" w:eastAsia="仿宋_GB2312" w:cs="宋体"/>
          <w:sz w:val="32"/>
          <w:szCs w:val="32"/>
        </w:rPr>
        <w:t>项目评价组根据绩效评价的原理，对收集的数据汇总和分析，撰写绩效评价报告。</w:t>
      </w:r>
    </w:p>
    <w:p>
      <w:pPr>
        <w:pStyle w:val="25"/>
        <w:keepNext w:val="0"/>
        <w:keepLines w:val="0"/>
        <w:numPr>
          <w:ilvl w:val="0"/>
          <w:numId w:val="8"/>
        </w:numPr>
        <w:ind w:left="0" w:firstLine="643" w:firstLineChars="200"/>
      </w:pPr>
      <w:r>
        <w:rPr>
          <w:rFonts w:hint="eastAsia"/>
        </w:rPr>
        <w:t>评价标准</w:t>
      </w:r>
    </w:p>
    <w:p>
      <w:pPr>
        <w:pStyle w:val="25"/>
        <w:keepNext w:val="0"/>
        <w:keepLines w:val="0"/>
        <w:numPr>
          <w:ilvl w:val="0"/>
          <w:numId w:val="0"/>
        </w:numPr>
        <w:ind w:firstLine="642"/>
        <w:rPr>
          <w:bCs w:val="0"/>
        </w:rPr>
      </w:pPr>
      <w:r>
        <w:rPr>
          <w:rFonts w:hint="eastAsia"/>
        </w:rPr>
        <w:t>项目评价标准采用</w:t>
      </w:r>
      <w:r>
        <w:rPr>
          <w:rFonts w:hint="eastAsia"/>
          <w:bCs w:val="0"/>
        </w:rPr>
        <w:t>计划标准</w:t>
      </w:r>
    </w:p>
    <w:p>
      <w:pPr>
        <w:pStyle w:val="25"/>
        <w:keepNext w:val="0"/>
        <w:keepLines w:val="0"/>
        <w:numPr>
          <w:ilvl w:val="0"/>
          <w:numId w:val="0"/>
        </w:numPr>
        <w:ind w:firstLine="640" w:firstLineChars="200"/>
        <w:rPr>
          <w:rFonts w:hAnsi="仿宋" w:cs="宋体"/>
          <w:b w:val="0"/>
        </w:rPr>
      </w:pPr>
      <w:r>
        <w:rPr>
          <w:rFonts w:hint="eastAsia" w:hAnsi="仿宋" w:cs="宋体"/>
          <w:b w:val="0"/>
        </w:rPr>
        <w:t>计划标准:</w:t>
      </w:r>
      <w:r>
        <w:rPr>
          <w:rFonts w:hint="eastAsia" w:hAnsi="仿宋" w:cs="宋体"/>
        </w:rPr>
        <w:t xml:space="preserve"> </w:t>
      </w:r>
      <w:r>
        <w:rPr>
          <w:rFonts w:hint="eastAsia" w:hAnsi="仿宋" w:cs="宋体"/>
          <w:b w:val="0"/>
        </w:rPr>
        <w:t>叶城县</w:t>
      </w:r>
      <w:r>
        <w:rPr>
          <w:rFonts w:hAnsi="仿宋" w:cs="宋体"/>
          <w:b w:val="0"/>
        </w:rPr>
        <w:t>2019年文化站(室）建设、行政村设备采购项目</w:t>
      </w:r>
      <w:r>
        <w:rPr>
          <w:rFonts w:hint="eastAsia" w:hAnsi="仿宋" w:cs="宋体"/>
          <w:b w:val="0"/>
        </w:rPr>
        <w:t>总投资为1525万元,其中:1个文化站、11个文化室预算为410万元，217个</w:t>
      </w:r>
      <w:r>
        <w:rPr>
          <w:rFonts w:hAnsi="仿宋" w:cs="宋体"/>
          <w:b w:val="0"/>
        </w:rPr>
        <w:t>行政村</w:t>
      </w:r>
      <w:r>
        <w:rPr>
          <w:rFonts w:hint="eastAsia" w:hAnsi="仿宋" w:cs="宋体"/>
          <w:b w:val="0"/>
        </w:rPr>
        <w:t>健身器械；227个</w:t>
      </w:r>
      <w:r>
        <w:rPr>
          <w:rFonts w:hAnsi="仿宋" w:cs="宋体"/>
          <w:b w:val="0"/>
        </w:rPr>
        <w:t>行政村文化站（</w:t>
      </w:r>
      <w:r>
        <w:rPr>
          <w:rFonts w:hint="eastAsia" w:hAnsi="仿宋" w:cs="宋体"/>
          <w:b w:val="0"/>
        </w:rPr>
        <w:t>室</w:t>
      </w:r>
      <w:r>
        <w:rPr>
          <w:rFonts w:hAnsi="仿宋" w:cs="宋体"/>
          <w:b w:val="0"/>
        </w:rPr>
        <w:t>）</w:t>
      </w:r>
      <w:r>
        <w:rPr>
          <w:rFonts w:hint="eastAsia" w:hAnsi="仿宋" w:cs="宋体"/>
          <w:b w:val="0"/>
        </w:rPr>
        <w:t>煤改电；263个</w:t>
      </w:r>
      <w:r>
        <w:rPr>
          <w:rFonts w:hAnsi="仿宋" w:cs="宋体"/>
          <w:b w:val="0"/>
        </w:rPr>
        <w:t>行政村</w:t>
      </w:r>
      <w:r>
        <w:rPr>
          <w:rFonts w:hint="eastAsia" w:hAnsi="仿宋" w:cs="宋体"/>
          <w:b w:val="0"/>
        </w:rPr>
        <w:t>乐器；317个</w:t>
      </w:r>
      <w:r>
        <w:rPr>
          <w:rFonts w:hAnsi="仿宋" w:cs="宋体"/>
          <w:b w:val="0"/>
        </w:rPr>
        <w:t>行政村</w:t>
      </w:r>
      <w:r>
        <w:rPr>
          <w:rFonts w:hint="eastAsia" w:hAnsi="仿宋" w:cs="宋体"/>
          <w:b w:val="0"/>
        </w:rPr>
        <w:t>手拉杆</w:t>
      </w:r>
      <w:r>
        <w:rPr>
          <w:rFonts w:hAnsi="仿宋" w:cs="宋体"/>
          <w:b w:val="0"/>
        </w:rPr>
        <w:t>移动音箱</w:t>
      </w:r>
      <w:r>
        <w:rPr>
          <w:rFonts w:hint="eastAsia" w:hAnsi="仿宋" w:cs="宋体"/>
          <w:b w:val="0"/>
        </w:rPr>
        <w:t>预算为1115万元。该项目建成后，可使我们党“用社会主义思想占领农村文化阵地”及代表中国先进文化前进方向的目标在我镇得以更好地贯彻落实，使乡镇文化站、村文化室充分发挥出社会主义精神文明宣传、教育地阵地作用、极大丰富广大居民群众的精神文化生活，有效淡化意识，使广大居民群众摆脱束缚后有去处、有活动场地，对提高居民群众思想认识、增强维护安定的意识、繁荣群众文化事业、促进非物质文化的保护有极大的推动作用。同时，对聚焦总目标，实现社会安定和长治久安效益十分显著</w:t>
      </w:r>
    </w:p>
    <w:p>
      <w:pPr>
        <w:pStyle w:val="25"/>
        <w:keepNext w:val="0"/>
        <w:keepLines w:val="0"/>
        <w:numPr>
          <w:ilvl w:val="0"/>
          <w:numId w:val="0"/>
        </w:numPr>
        <w:ind w:firstLine="642"/>
      </w:pPr>
      <w:r>
        <w:rPr>
          <w:rFonts w:hint="eastAsia"/>
        </w:rPr>
        <w:t>（三）绩效评价工作过程</w:t>
      </w:r>
    </w:p>
    <w:p>
      <w:pPr>
        <w:pStyle w:val="25"/>
        <w:keepNext w:val="0"/>
        <w:keepLines w:val="0"/>
        <w:numPr>
          <w:ilvl w:val="0"/>
          <w:numId w:val="0"/>
        </w:numPr>
        <w:ind w:firstLine="640" w:firstLineChars="200"/>
        <w:outlineLvl w:val="9"/>
        <w:rPr>
          <w:b w:val="0"/>
          <w:bCs w:val="0"/>
        </w:rPr>
      </w:pPr>
      <w:r>
        <w:rPr>
          <w:rFonts w:hint="eastAsia"/>
          <w:b w:val="0"/>
          <w:bCs w:val="0"/>
        </w:rPr>
        <w:t>（一）本次评价成立了评价工作组，成员如下：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章中和</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文旅局党组书记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陈熙</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龙艳</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财务人员</w:t>
            </w:r>
          </w:p>
        </w:tc>
      </w:tr>
    </w:tbl>
    <w:p>
      <w:pPr>
        <w:spacing w:before="120" w:beforeLines="50" w:line="560" w:lineRule="exact"/>
        <w:rPr>
          <w:rFonts w:ascii="仿宋_GB2312" w:hAnsi="仿宋" w:eastAsia="仿宋_GB2312" w:cs="宋体"/>
          <w:sz w:val="32"/>
          <w:szCs w:val="32"/>
        </w:rPr>
      </w:pPr>
      <w:r>
        <w:rPr>
          <w:rFonts w:hint="eastAsia"/>
        </w:rPr>
        <w:t>　</w:t>
      </w:r>
      <w:r>
        <w:rPr>
          <w:rFonts w:hint="eastAsia" w:ascii="仿宋_GB2312" w:hAnsi="仿宋" w:eastAsia="仿宋_GB2312" w:cs="宋体"/>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本项目绩效评价工作共分五个步骤。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第一阶段，前期准备。主要完成确定评价工作任务，绩效评价的实施方法以及编制绩效评价指标体系等工作。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第二阶段，评价设计。主要完成形成评价实施方案、项目支出的预评价等工作。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第三阶段，评价实施。主要完成资料的收集、整理，现场分析与绩效评价，形成评估结论、经验教训和建议等工作。　　</w:t>
      </w:r>
    </w:p>
    <w:p>
      <w:pPr>
        <w:spacing w:before="120" w:beforeLines="50" w:line="560" w:lineRule="exact"/>
        <w:ind w:firstLine="645"/>
        <w:rPr>
          <w:rFonts w:ascii="仿宋_GB2312" w:hAnsi="仿宋" w:eastAsia="仿宋_GB2312" w:cs="宋体"/>
          <w:sz w:val="32"/>
          <w:szCs w:val="32"/>
        </w:rPr>
      </w:pPr>
      <w:r>
        <w:rPr>
          <w:rFonts w:ascii="仿宋_GB2312" w:hAnsi="仿宋" w:eastAsia="仿宋_GB2312" w:cs="宋体"/>
          <w:sz w:val="32"/>
          <w:szCs w:val="32"/>
        </w:rPr>
        <w:t>数据分析及撰写报告</w:t>
      </w:r>
    </w:p>
    <w:p>
      <w:pPr>
        <w:spacing w:before="120" w:beforeLines="50" w:line="560" w:lineRule="exact"/>
        <w:ind w:firstLine="645"/>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20</w:t>
      </w:r>
      <w:r>
        <w:rPr>
          <w:rFonts w:hint="eastAsia" w:ascii="仿宋_GB2312" w:hAnsi="仿宋" w:eastAsia="仿宋_GB2312" w:cs="宋体"/>
          <w:sz w:val="32"/>
          <w:szCs w:val="32"/>
        </w:rPr>
        <w:t>日</w:t>
      </w:r>
      <w:r>
        <w:rPr>
          <w:rFonts w:ascii="仿宋_GB2312" w:hAnsi="仿宋" w:eastAsia="仿宋_GB2312" w:cs="宋体"/>
          <w:sz w:val="32"/>
          <w:szCs w:val="32"/>
        </w:rPr>
        <w:t>，项目组根据绩效评价的原理和规范，对采集的数据进行处理、分析和评分，并提炼结论撰写报告。</w:t>
      </w:r>
    </w:p>
    <w:p>
      <w:pPr>
        <w:pStyle w:val="25"/>
        <w:keepNext w:val="0"/>
        <w:keepLines w:val="0"/>
        <w:numPr>
          <w:ilvl w:val="0"/>
          <w:numId w:val="0"/>
        </w:numPr>
        <w:ind w:firstLine="640" w:firstLineChars="200"/>
        <w:outlineLvl w:val="9"/>
        <w:rPr>
          <w:rFonts w:hAnsi="仿宋" w:cs="宋体"/>
          <w:b w:val="0"/>
          <w:bCs w:val="0"/>
        </w:rPr>
      </w:pPr>
      <w:r>
        <w:rPr>
          <w:rFonts w:hint="eastAsia" w:hAnsi="仿宋" w:cs="宋体"/>
          <w:b w:val="0"/>
          <w:bCs w:val="0"/>
        </w:rPr>
        <w:t>第四阶段，报告结果。在完成绩效评价报告编制的基础上，与相关项目负责人勾通后形成绩效评价终稿的工作。　</w:t>
      </w:r>
    </w:p>
    <w:p>
      <w:pPr>
        <w:spacing w:before="120" w:beforeLines="50" w:line="560" w:lineRule="exact"/>
        <w:ind w:firstLine="645"/>
        <w:rPr>
          <w:rFonts w:ascii="仿宋_GB2312" w:hAnsi="仿宋" w:eastAsia="仿宋_GB2312" w:cs="宋体"/>
          <w:sz w:val="32"/>
          <w:szCs w:val="32"/>
        </w:rPr>
      </w:pPr>
      <w:r>
        <w:rPr>
          <w:rFonts w:hint="eastAsia" w:ascii="仿宋_GB2312" w:hAnsi="仿宋" w:eastAsia="仿宋_GB2312" w:cs="宋体"/>
          <w:sz w:val="32"/>
          <w:szCs w:val="32"/>
        </w:rPr>
        <w:t>第五阶段，将绩效评价的经验总结与管理建议推广到相关行或部门</w:t>
      </w:r>
    </w:p>
    <w:p>
      <w:pPr>
        <w:pStyle w:val="23"/>
        <w:numPr>
          <w:ilvl w:val="0"/>
          <w:numId w:val="2"/>
        </w:numPr>
        <w:ind w:firstLineChars="0"/>
      </w:pPr>
      <w:bookmarkStart w:id="7" w:name="_Toc26401558"/>
      <w:r>
        <w:rPr>
          <w:rFonts w:hint="eastAsia" w:ascii="黑体" w:hAnsi="黑体"/>
        </w:rPr>
        <w:t>综合评价情况及评价结论</w:t>
      </w:r>
      <w:r>
        <w:rPr>
          <w:rFonts w:hint="eastAsia" w:ascii="仿宋_GB2312"/>
        </w:rPr>
        <w:t>（附相关评分表）</w:t>
      </w:r>
    </w:p>
    <w:p>
      <w:pPr>
        <w:pStyle w:val="23"/>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经评价组通过实地调研、资料分析等方式，采用成本效益分析法等对项目的决策、管理、绩效进行的综合评价分析，项目得分为96.5分，评价结果为一般，详见附件4。</w:t>
      </w:r>
    </w:p>
    <w:p>
      <w:pPr>
        <w:pStyle w:val="23"/>
        <w:numPr>
          <w:ilvl w:val="0"/>
          <w:numId w:val="2"/>
        </w:numPr>
        <w:ind w:firstLineChars="0"/>
      </w:pPr>
      <w:r>
        <w:rPr>
          <w:rFonts w:hint="eastAsia"/>
        </w:rPr>
        <w:t>绩效评价指标分析</w:t>
      </w:r>
      <w:bookmarkEnd w:id="7"/>
    </w:p>
    <w:p>
      <w:pPr>
        <w:pStyle w:val="19"/>
        <w:numPr>
          <w:ilvl w:val="0"/>
          <w:numId w:val="9"/>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5"/>
        <w:keepNext w:val="0"/>
        <w:keepLines w:val="0"/>
        <w:numPr>
          <w:ilvl w:val="0"/>
          <w:numId w:val="0"/>
        </w:numPr>
        <w:ind w:firstLine="640" w:firstLineChars="200"/>
        <w:rPr>
          <w:rFonts w:hAnsi="仿宋" w:cs="宋体"/>
          <w:b w:val="0"/>
        </w:rPr>
      </w:pPr>
      <w:r>
        <w:rPr>
          <w:rFonts w:hint="eastAsia" w:hAnsi="仿宋" w:cs="宋体"/>
          <w:b w:val="0"/>
        </w:rPr>
        <w:t>本项目叶城县发展和改革委员会《叶发改投资【2019】005号《叶城县发展和改革委员会关于叶城县行政村文化室及文化站建设项目的立项批复》，该项目建成后，可使我们党“用社会主义思想占领农村文化阵地”及代表中国先进文化前进方向的目标在我镇得以更好地贯彻落实，使乡镇文化站、村文化室充分发挥出社会主义精神文明宣传、教育地阵地作用、极大丰富广大居民群众的精神文化生活，有效淡化意识，使广大居民群众摆脱束缚后有去处、有活动场地，对提高居民群众思想认识、增强维护安定的意识、繁荣群众文化事业、促进非物质文化的保护有极大的推动作用。同时，对聚焦总目标，实现社会安定和长治久安效益十分显著。</w:t>
      </w:r>
    </w:p>
    <w:p>
      <w:pPr>
        <w:numPr>
          <w:ilvl w:val="0"/>
          <w:numId w:val="10"/>
        </w:num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决策程序</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2019 年 1月经叶城县发展和改革委员会叶发改投资【2019】005号《叶城县发展和改革委员会关于叶城县行政村文化室及文化站建设项目的立项批复</w:t>
      </w:r>
      <w:r>
        <w:rPr>
          <w:rFonts w:hint="eastAsia" w:ascii="仿宋" w:hAnsi="仿宋" w:eastAsia="仿宋"/>
          <w:sz w:val="30"/>
          <w:szCs w:val="30"/>
        </w:rPr>
        <w:t>》下达后</w:t>
      </w:r>
      <w:r>
        <w:rPr>
          <w:rFonts w:hint="eastAsia" w:ascii="仿宋_GB2312" w:hAnsi="仿宋" w:eastAsia="仿宋_GB2312" w:cs="宋体"/>
          <w:sz w:val="32"/>
          <w:szCs w:val="32"/>
        </w:rPr>
        <w:t>， 项目开始实施。该项目决策程序合规合法。</w:t>
      </w:r>
    </w:p>
    <w:p>
      <w:pPr>
        <w:numPr>
          <w:ilvl w:val="0"/>
          <w:numId w:val="10"/>
        </w:num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目标设置</w:t>
      </w:r>
    </w:p>
    <w:p>
      <w:pPr>
        <w:spacing w:before="120" w:beforeLines="50" w:line="600" w:lineRule="exact"/>
        <w:ind w:firstLine="645"/>
        <w:rPr>
          <w:rFonts w:ascii="仿宋_GB2312" w:hAnsi="仿宋" w:eastAsia="仿宋_GB2312" w:cs="宋体"/>
          <w:sz w:val="32"/>
          <w:szCs w:val="32"/>
        </w:rPr>
      </w:pPr>
      <w:r>
        <w:rPr>
          <w:rFonts w:ascii="仿宋_GB2312" w:hAnsi="仿宋" w:eastAsia="仿宋_GB2312" w:cs="宋体"/>
          <w:sz w:val="32"/>
          <w:szCs w:val="32"/>
        </w:rPr>
        <w:t>该项目前期项目单位已设置了明确、量化的绩效目标，但其部分绩效指标的设置过于笼统不够细化，经评价小组与</w:t>
      </w:r>
      <w:r>
        <w:rPr>
          <w:rFonts w:hint="eastAsia" w:ascii="仿宋_GB2312" w:hAnsi="仿宋" w:eastAsia="仿宋_GB2312" w:cs="宋体"/>
          <w:sz w:val="32"/>
          <w:szCs w:val="32"/>
        </w:rPr>
        <w:t>叶城县绩效第三方进行咨询商议</w:t>
      </w:r>
      <w:r>
        <w:rPr>
          <w:rFonts w:ascii="仿宋_GB2312" w:hAnsi="仿宋" w:eastAsia="仿宋_GB2312" w:cs="宋体"/>
          <w:sz w:val="32"/>
          <w:szCs w:val="32"/>
        </w:rPr>
        <w:t>，将原有的绩效目标和绩效指标根据项目实际开展情况进一步细化，将绩效目标细分，精准设置绩效指标及准确指标值的表述，因此该项目绩效评价指标体系可明确反映项目目标，项目绩效评价指标体系分为 2 类指标，其中：共性指标数量为</w:t>
      </w:r>
      <w:r>
        <w:rPr>
          <w:rFonts w:hint="eastAsia" w:ascii="仿宋_GB2312" w:hAnsi="仿宋" w:eastAsia="仿宋_GB2312" w:cs="宋体"/>
          <w:sz w:val="32"/>
          <w:szCs w:val="32"/>
        </w:rPr>
        <w:t>6</w:t>
      </w:r>
      <w:r>
        <w:rPr>
          <w:rFonts w:ascii="仿宋_GB2312" w:hAnsi="仿宋" w:eastAsia="仿宋_GB2312" w:cs="宋体"/>
          <w:sz w:val="32"/>
          <w:szCs w:val="32"/>
        </w:rPr>
        <w:t xml:space="preserve"> 个，项目共性指标包括目标内容、决策依据、决策程序、预算管理、资金到位、财务管理、组织机构、制度建设、过程控制；个性指标包括该项目的数量指标、质量指标、时效指标、成本指标、社会效益指标、可持续影响指标以及满意度指标等</w:t>
      </w:r>
      <w:r>
        <w:rPr>
          <w:rFonts w:hint="eastAsia" w:ascii="仿宋_GB2312" w:hAnsi="仿宋" w:eastAsia="仿宋_GB2312" w:cs="宋体"/>
          <w:sz w:val="32"/>
          <w:szCs w:val="32"/>
        </w:rPr>
        <w:t>，共计8个</w:t>
      </w:r>
      <w:r>
        <w:rPr>
          <w:rFonts w:ascii="仿宋_GB2312" w:hAnsi="仿宋" w:eastAsia="仿宋_GB2312" w:cs="宋体"/>
          <w:sz w:val="32"/>
          <w:szCs w:val="32"/>
        </w:rPr>
        <w:t>。</w:t>
      </w:r>
    </w:p>
    <w:p>
      <w:pPr>
        <w:pStyle w:val="19"/>
        <w:numPr>
          <w:ilvl w:val="0"/>
          <w:numId w:val="9"/>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60" w:lineRule="exact"/>
        <w:ind w:firstLine="800" w:firstLineChars="250"/>
        <w:rPr>
          <w:rFonts w:ascii="仿宋_GB2312" w:hAnsi="仿宋" w:eastAsia="仿宋_GB2312" w:cs="宋体"/>
          <w:sz w:val="32"/>
          <w:szCs w:val="32"/>
        </w:rPr>
      </w:pPr>
      <w:r>
        <w:rPr>
          <w:rFonts w:hint="eastAsia" w:ascii="仿宋_GB2312" w:hAnsi="仿宋" w:eastAsia="仿宋_GB2312" w:cs="宋体"/>
          <w:sz w:val="32"/>
          <w:szCs w:val="32"/>
        </w:rPr>
        <w:t>(1)资金管理</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叶城县文旅局</w:t>
      </w:r>
      <w:r>
        <w:rPr>
          <w:rFonts w:hint="eastAsia" w:ascii="仿宋_GB2312" w:hAnsi="Calibri" w:eastAsia="仿宋_GB2312" w:cs="Times New Roman"/>
          <w:bCs/>
          <w:sz w:val="32"/>
          <w:szCs w:val="32"/>
        </w:rPr>
        <w:t>《中央、自治区和喀什地区中央转移专项资金管理办法的要求和单位财务管理制度》，严格按照专项资金支持的项目条件和范围要求，使用管理项目资金</w:t>
      </w:r>
      <w:r>
        <w:rPr>
          <w:rFonts w:hint="eastAsia" w:ascii="仿宋_GB2312" w:hAnsi="仿宋" w:eastAsia="仿宋_GB2312" w:cs="宋体"/>
          <w:sz w:val="32"/>
          <w:szCs w:val="32"/>
        </w:rPr>
        <w:t>，资金跟着项目走，项目跟着需求走。资金按时到位，到位率100%。项目资金的支付符合国家法规和财务管理制度；坚决保证资金拨付流程合理合规，有完整的审批程序和手续，不存在截留、挤占、挪用、虚列支出等情况。</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（2）组织实施</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1.叶城县文旅局在项目管理上总体情况较好。该项目预算资金安排1525万元，项目实际使用资金1525万元，资金按照规定制度及时支付到位。为保证资金的高效、合规使用，叶城县</w:t>
      </w:r>
      <w:r>
        <w:rPr>
          <w:rFonts w:hint="eastAsia" w:ascii="仿宋_GB2312" w:hAnsi="仿宋" w:eastAsia="仿宋_GB2312" w:cs="宋体"/>
          <w:sz w:val="32"/>
          <w:szCs w:val="32"/>
          <w:lang w:eastAsia="zh-CN"/>
        </w:rPr>
        <w:t>文化旅游</w:t>
      </w:r>
      <w:r>
        <w:rPr>
          <w:rFonts w:hint="eastAsia" w:ascii="仿宋_GB2312" w:hAnsi="仿宋" w:eastAsia="仿宋_GB2312" w:cs="宋体"/>
          <w:sz w:val="32"/>
          <w:szCs w:val="32"/>
        </w:rPr>
        <w:t>局制定并依据项目实施方案，有效促进了法官绩效工资项目资金支出管理工作。</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2.从制度建设看：制定了相应的管理制度。</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3.从过程控制部分看：严格按照资金支出的管理办法，对审批过程和流程进行了统一和规范，确保项目高质量完成。</w:t>
      </w:r>
    </w:p>
    <w:p>
      <w:pPr>
        <w:pStyle w:val="19"/>
        <w:numPr>
          <w:ilvl w:val="0"/>
          <w:numId w:val="9"/>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120" w:beforeLines="50" w:line="600" w:lineRule="exact"/>
        <w:ind w:firstLine="640" w:firstLineChars="200"/>
        <w:rPr>
          <w:rFonts w:ascii="仿宋_GB2312" w:eastAsia="仿宋_GB2312"/>
          <w:sz w:val="32"/>
          <w:szCs w:val="32"/>
        </w:rPr>
      </w:pPr>
      <w:r>
        <w:rPr>
          <w:rFonts w:hint="eastAsia" w:ascii="仿宋_GB2312" w:hAnsi="仿宋" w:eastAsia="仿宋_GB2312" w:cs="宋体"/>
          <w:sz w:val="32"/>
          <w:szCs w:val="32"/>
        </w:rPr>
        <w:t>根据（新财预</w:t>
      </w:r>
      <w:r>
        <w:rPr>
          <w:rFonts w:hint="eastAsia" w:ascii="仿宋" w:hAnsi="仿宋" w:eastAsia="仿宋"/>
          <w:sz w:val="30"/>
          <w:szCs w:val="30"/>
        </w:rPr>
        <w:t>[2019]31号、喀地财预[2019]23号），</w:t>
      </w:r>
      <w:r>
        <w:rPr>
          <w:rFonts w:hint="eastAsia" w:ascii="仿宋_GB2312" w:hAnsi="仿宋" w:eastAsia="仿宋_GB2312" w:cs="宋体"/>
          <w:sz w:val="32"/>
          <w:szCs w:val="32"/>
        </w:rPr>
        <w:t>2019年共收到项目资金1525万元</w:t>
      </w:r>
      <w:r>
        <w:rPr>
          <w:rFonts w:hint="eastAsia" w:ascii="仿宋" w:hAnsi="仿宋" w:eastAsia="仿宋"/>
          <w:sz w:val="30"/>
          <w:szCs w:val="30"/>
        </w:rPr>
        <w:t>，</w:t>
      </w:r>
      <w:r>
        <w:rPr>
          <w:rFonts w:hint="eastAsia" w:ascii="仿宋_GB2312" w:eastAsia="仿宋_GB2312"/>
          <w:sz w:val="32"/>
          <w:szCs w:val="32"/>
        </w:rPr>
        <w:t>主</w:t>
      </w:r>
      <w:r>
        <w:rPr>
          <w:rFonts w:hint="eastAsia" w:ascii="仿宋" w:hAnsi="仿宋" w:eastAsia="仿宋"/>
          <w:sz w:val="30"/>
          <w:szCs w:val="30"/>
        </w:rPr>
        <w:t>要建设内容为</w:t>
      </w:r>
      <w:r>
        <w:rPr>
          <w:rFonts w:hint="eastAsia" w:ascii="仿宋_GB2312" w:hAnsi="仿宋" w:eastAsia="仿宋_GB2312" w:cs="宋体"/>
          <w:sz w:val="32"/>
          <w:szCs w:val="32"/>
        </w:rPr>
        <w:t>1个文化站、11个文化室建设，217个</w:t>
      </w:r>
      <w:r>
        <w:rPr>
          <w:rFonts w:ascii="仿宋_GB2312" w:hAnsi="仿宋" w:eastAsia="仿宋_GB2312" w:cs="宋体"/>
          <w:sz w:val="32"/>
          <w:szCs w:val="32"/>
        </w:rPr>
        <w:t>行政村</w:t>
      </w:r>
      <w:r>
        <w:rPr>
          <w:rFonts w:hint="eastAsia" w:ascii="仿宋_GB2312" w:hAnsi="仿宋" w:eastAsia="仿宋_GB2312" w:cs="宋体"/>
          <w:sz w:val="32"/>
          <w:szCs w:val="32"/>
        </w:rPr>
        <w:t>健身器械；227个</w:t>
      </w:r>
      <w:r>
        <w:rPr>
          <w:rFonts w:ascii="仿宋_GB2312" w:hAnsi="仿宋" w:eastAsia="仿宋_GB2312" w:cs="宋体"/>
          <w:sz w:val="32"/>
          <w:szCs w:val="32"/>
        </w:rPr>
        <w:t>行政村文化站（</w:t>
      </w:r>
      <w:r>
        <w:rPr>
          <w:rFonts w:hint="eastAsia" w:ascii="仿宋_GB2312" w:hAnsi="仿宋" w:eastAsia="仿宋_GB2312" w:cs="宋体"/>
          <w:sz w:val="32"/>
          <w:szCs w:val="32"/>
        </w:rPr>
        <w:t>室</w:t>
      </w:r>
      <w:r>
        <w:rPr>
          <w:rFonts w:ascii="仿宋_GB2312" w:hAnsi="仿宋" w:eastAsia="仿宋_GB2312" w:cs="宋体"/>
          <w:sz w:val="32"/>
          <w:szCs w:val="32"/>
        </w:rPr>
        <w:t>）</w:t>
      </w:r>
      <w:r>
        <w:rPr>
          <w:rFonts w:hint="eastAsia" w:ascii="仿宋_GB2312" w:eastAsia="仿宋_GB2312"/>
          <w:sz w:val="32"/>
          <w:szCs w:val="32"/>
        </w:rPr>
        <w:t>煤改电；263个行政村乐器；317个行政村手拉杆移动音箱，根据年初设定绩效指标严格执行，完成良好。</w:t>
      </w:r>
    </w:p>
    <w:tbl>
      <w:tblPr>
        <w:tblStyle w:val="13"/>
        <w:tblW w:w="8342" w:type="dxa"/>
        <w:tblInd w:w="0" w:type="dxa"/>
        <w:tblLayout w:type="fixed"/>
        <w:tblCellMar>
          <w:top w:w="0" w:type="dxa"/>
          <w:left w:w="0" w:type="dxa"/>
          <w:bottom w:w="0" w:type="dxa"/>
          <w:right w:w="0" w:type="dxa"/>
        </w:tblCellMar>
      </w:tblPr>
      <w:tblGrid>
        <w:gridCol w:w="1210"/>
        <w:gridCol w:w="1211"/>
        <w:gridCol w:w="2042"/>
        <w:gridCol w:w="2041"/>
        <w:gridCol w:w="919"/>
        <w:gridCol w:w="919"/>
      </w:tblGrid>
      <w:tr>
        <w:tblPrEx>
          <w:tblCellMar>
            <w:top w:w="0" w:type="dxa"/>
            <w:left w:w="0" w:type="dxa"/>
            <w:bottom w:w="0" w:type="dxa"/>
            <w:right w:w="0" w:type="dxa"/>
          </w:tblCellMar>
        </w:tblPrEx>
        <w:trPr>
          <w:trHeight w:val="500" w:hRule="atLeast"/>
        </w:trPr>
        <w:tc>
          <w:tcPr>
            <w:tcW w:w="12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一级指标</w:t>
            </w:r>
          </w:p>
        </w:tc>
        <w:tc>
          <w:tcPr>
            <w:tcW w:w="12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二级指标</w:t>
            </w: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91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年度指标值</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2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产出指标</w:t>
            </w: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数量指标</w:t>
            </w:r>
          </w:p>
        </w:tc>
        <w:tc>
          <w:tcPr>
            <w:tcW w:w="408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村文化室建设面积（平方米）</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1930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1930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文化站室外地坪面积（平方米）</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文化站、文化室配备移动音响（套）</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317</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317</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文化室配备健身路径（件）</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2170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2170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文化室配备乐器（套）</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263</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263</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文化站、文化室煤改电（个）</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227</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227</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质量指标</w:t>
            </w: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合为项目验收质量合格率（%）</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设备质量合格率（%）</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≥98%</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98%</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2042" w:type="dxa"/>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设备验收合格率（%）</w:t>
            </w:r>
          </w:p>
        </w:tc>
        <w:tc>
          <w:tcPr>
            <w:tcW w:w="2041" w:type="dxa"/>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0"/>
                <w:szCs w:val="20"/>
              </w:rPr>
            </w:pP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≥98%</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98%</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设备供货及时率（%）</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≥98%</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98%</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时效指标</w:t>
            </w: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资金拨付及时率（%）</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项目当年开工率（%）</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项目当年完工率（%）</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成本指标</w:t>
            </w: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村文化室、文化站建设成本（元/平方米）</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2031</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2031</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文化站室外地坪（元/平方米）</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移动音响（元/套）</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1812.5</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1812.5</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健身路径（元/件）</w:t>
            </w:r>
          </w:p>
        </w:tc>
        <w:tc>
          <w:tcPr>
            <w:tcW w:w="91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1200</w:t>
            </w:r>
          </w:p>
        </w:tc>
        <w:tc>
          <w:tcPr>
            <w:tcW w:w="91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乐器（元/套）</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30000</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30000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煤改电（元/个）</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12000</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12000</w:t>
            </w:r>
          </w:p>
        </w:tc>
      </w:tr>
    </w:tbl>
    <w:p>
      <w:pPr>
        <w:spacing w:before="120" w:beforeLines="50" w:line="600" w:lineRule="exact"/>
        <w:ind w:firstLine="660"/>
        <w:rPr>
          <w:rFonts w:ascii="仿宋_GB2312" w:hAnsi="仿宋" w:eastAsia="仿宋_GB2312" w:cs="宋体"/>
          <w:b/>
          <w:bCs/>
          <w:sz w:val="32"/>
          <w:szCs w:val="32"/>
        </w:rPr>
      </w:pPr>
      <w:r>
        <w:rPr>
          <w:rFonts w:hint="eastAsia" w:ascii="仿宋_GB2312" w:hAnsi="仿宋" w:eastAsia="仿宋_GB2312" w:cs="宋体"/>
          <w:b/>
          <w:bCs/>
          <w:sz w:val="32"/>
          <w:szCs w:val="32"/>
        </w:rPr>
        <w:t>（四）项目效益情况</w:t>
      </w:r>
    </w:p>
    <w:p>
      <w:pPr>
        <w:adjustRightInd w:val="0"/>
        <w:snapToGrid w:val="0"/>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加强了农村文化建设，各地推出文化活动共享共建措施，以创新文化活动形式、搭建开放式文化为载体，将政府重大节庆与小型、分散性群众文化活动有机结合起来。以农村文化阵地建设为切入点，积极开展城乡文化共建，繁荣乡镇广场文化活动。该项目地完成有利于开展农民艺术大会演活动，积极推进“农村文化致富”工程，加强对农村文化基础设施项目建设工程的指导，加强对乡镇文化站建设项目和新农村村级综合文化活动室的建设，提高了社会效益。</w:t>
      </w:r>
    </w:p>
    <w:tbl>
      <w:tblPr>
        <w:tblStyle w:val="13"/>
        <w:tblW w:w="8342" w:type="dxa"/>
        <w:tblInd w:w="0" w:type="dxa"/>
        <w:tblLayout w:type="fixed"/>
        <w:tblCellMar>
          <w:top w:w="0" w:type="dxa"/>
          <w:left w:w="0" w:type="dxa"/>
          <w:bottom w:w="0" w:type="dxa"/>
          <w:right w:w="0" w:type="dxa"/>
        </w:tblCellMar>
      </w:tblPr>
      <w:tblGrid>
        <w:gridCol w:w="1210"/>
        <w:gridCol w:w="1211"/>
        <w:gridCol w:w="4044"/>
        <w:gridCol w:w="39"/>
        <w:gridCol w:w="51"/>
        <w:gridCol w:w="868"/>
        <w:gridCol w:w="919"/>
      </w:tblGrid>
      <w:tr>
        <w:tblPrEx>
          <w:tblCellMar>
            <w:top w:w="0" w:type="dxa"/>
            <w:left w:w="0" w:type="dxa"/>
            <w:bottom w:w="0" w:type="dxa"/>
            <w:right w:w="0" w:type="dxa"/>
          </w:tblCellMar>
        </w:tblPrEx>
        <w:trPr>
          <w:trHeight w:val="500" w:hRule="atLeast"/>
        </w:trPr>
        <w:tc>
          <w:tcPr>
            <w:tcW w:w="12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一级指标</w:t>
            </w:r>
          </w:p>
        </w:tc>
        <w:tc>
          <w:tcPr>
            <w:tcW w:w="12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二级指标</w:t>
            </w: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三级指标</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年度指标值</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2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w:t>
            </w:r>
          </w:p>
        </w:tc>
        <w:tc>
          <w:tcPr>
            <w:tcW w:w="12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经济效益指标</w:t>
            </w:r>
          </w:p>
        </w:tc>
        <w:tc>
          <w:tcPr>
            <w:tcW w:w="4083"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增加贫困户收入（万元）</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≥0.3</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0.3</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社会效益指标</w:t>
            </w:r>
          </w:p>
        </w:tc>
        <w:tc>
          <w:tcPr>
            <w:tcW w:w="408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受益群众户数（户）</w:t>
            </w:r>
          </w:p>
        </w:tc>
        <w:tc>
          <w:tcPr>
            <w:tcW w:w="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31000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31000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044"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受益群众户数中建档立卡贫困户数（户）</w:t>
            </w:r>
          </w:p>
        </w:tc>
        <w:tc>
          <w:tcPr>
            <w:tcW w:w="90" w:type="dxa"/>
            <w:gridSpan w:val="2"/>
            <w:tcBorders>
              <w:top w:val="single" w:color="000000" w:sz="4" w:space="0"/>
              <w:left w:val="nil"/>
              <w:bottom w:val="single" w:color="00000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13000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13000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受益群众人数（人）</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312000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312000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受益群众人数中建档立卡贫困人数（人）</w:t>
            </w: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108000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108000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生态效益指标</w:t>
            </w:r>
          </w:p>
        </w:tc>
        <w:tc>
          <w:tcPr>
            <w:tcW w:w="413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8"/>
                <w:szCs w:val="18"/>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可持续影响指标</w:t>
            </w:r>
          </w:p>
        </w:tc>
        <w:tc>
          <w:tcPr>
            <w:tcW w:w="4134"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文化站（室）使用年限（年）</w:t>
            </w:r>
          </w:p>
        </w:tc>
        <w:tc>
          <w:tcPr>
            <w:tcW w:w="8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134"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设备使用年限（年）</w:t>
            </w:r>
          </w:p>
        </w:tc>
        <w:tc>
          <w:tcPr>
            <w:tcW w:w="8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r>
      <w:tr>
        <w:tblPrEx>
          <w:tblCellMar>
            <w:top w:w="0" w:type="dxa"/>
            <w:left w:w="0" w:type="dxa"/>
            <w:bottom w:w="0" w:type="dxa"/>
            <w:right w:w="0" w:type="dxa"/>
          </w:tblCellMar>
        </w:tblPrEx>
        <w:trPr>
          <w:trHeight w:val="500" w:hRule="atLeast"/>
        </w:trPr>
        <w:tc>
          <w:tcPr>
            <w:tcW w:w="12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满意度指标</w:t>
            </w: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服务对象满意度指标</w:t>
            </w:r>
          </w:p>
        </w:tc>
        <w:tc>
          <w:tcPr>
            <w:tcW w:w="4134"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项目区群众满意度（%）</w:t>
            </w:r>
          </w:p>
        </w:tc>
        <w:tc>
          <w:tcPr>
            <w:tcW w:w="8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r>
      <w:tr>
        <w:tblPrEx>
          <w:tblCellMar>
            <w:top w:w="0" w:type="dxa"/>
            <w:left w:w="0" w:type="dxa"/>
            <w:bottom w:w="0" w:type="dxa"/>
            <w:right w:w="0" w:type="dxa"/>
          </w:tblCellMar>
        </w:tblPrEx>
        <w:trPr>
          <w:trHeight w:val="500" w:hRule="atLeast"/>
        </w:trPr>
        <w:tc>
          <w:tcPr>
            <w:tcW w:w="12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4134"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项目区建档立卡贫困群众满意度（%）</w:t>
            </w:r>
          </w:p>
        </w:tc>
        <w:tc>
          <w:tcPr>
            <w:tcW w:w="8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c>
          <w:tcPr>
            <w:tcW w:w="9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r>
    </w:tbl>
    <w:p>
      <w:pPr>
        <w:pStyle w:val="23"/>
        <w:keepNext w:val="0"/>
        <w:keepLines w:val="0"/>
        <w:numPr>
          <w:ilvl w:val="0"/>
          <w:numId w:val="2"/>
        </w:numPr>
        <w:ind w:firstLineChars="0"/>
      </w:pPr>
      <w:r>
        <w:rPr>
          <w:rFonts w:hint="eastAsia" w:ascii="黑体" w:hAnsi="黑体"/>
        </w:rPr>
        <w:t>主要经验及做法、存在的问题及原因分析</w:t>
      </w:r>
    </w:p>
    <w:p>
      <w:pPr>
        <w:pStyle w:val="25"/>
        <w:keepNext w:val="0"/>
        <w:keepLines w:val="0"/>
        <w:numPr>
          <w:ilvl w:val="0"/>
          <w:numId w:val="0"/>
        </w:numPr>
        <w:ind w:left="1063"/>
      </w:pPr>
      <w:r>
        <w:rPr>
          <w:rFonts w:hint="eastAsia"/>
        </w:rPr>
        <w:t>（一）主要经验及做法</w:t>
      </w:r>
    </w:p>
    <w:p>
      <w:pPr>
        <w:pStyle w:val="25"/>
        <w:keepNext w:val="0"/>
        <w:keepLines w:val="0"/>
        <w:numPr>
          <w:ilvl w:val="0"/>
          <w:numId w:val="0"/>
        </w:numPr>
        <w:ind w:left="426" w:firstLine="482" w:firstLineChars="150"/>
        <w:rPr>
          <w:rFonts w:hAnsi="Calibri"/>
          <w:b w:val="0"/>
        </w:rPr>
      </w:pPr>
      <w:r>
        <w:rPr>
          <w:rFonts w:hint="eastAsia"/>
        </w:rPr>
        <w:t xml:space="preserve"> </w:t>
      </w:r>
      <w:r>
        <w:rPr>
          <w:rFonts w:hint="eastAsia" w:hAnsi="Calibri"/>
          <w:b w:val="0"/>
        </w:rPr>
        <w:t>绩效自评工作首先是要工作准备充分，一是评价小组成员应包含单位领导、项目负责人、财务负责人和行业专家，不同的岗位和职责应用和发挥自身专业和岗位作用；二是在资料收集和档案整理及分析上要全面。其次是评价小组成员要加强绩效基础理论学习，用绩效的理论和知识进行分析评价，客观、公正的分析项目实施情况、资金使用和支付情况、绩效目标的完成情况，对发现的问题要及时总结；再次是要对项目的事前、事中、事后全方位、全过程进行分析、掌握，注重评价过程的记录和档案整理，为下一年度工作提供依据。</w:t>
      </w:r>
    </w:p>
    <w:p>
      <w:pPr>
        <w:pStyle w:val="25"/>
        <w:keepNext w:val="0"/>
        <w:keepLines w:val="0"/>
        <w:numPr>
          <w:ilvl w:val="0"/>
          <w:numId w:val="8"/>
        </w:numPr>
      </w:pPr>
      <w:r>
        <w:rPr>
          <w:rFonts w:hint="eastAsia"/>
        </w:rPr>
        <w:t>存在的问题及原因分析</w:t>
      </w:r>
    </w:p>
    <w:p>
      <w:pPr>
        <w:pStyle w:val="25"/>
        <w:keepNext w:val="0"/>
        <w:keepLines w:val="0"/>
        <w:numPr>
          <w:ilvl w:val="0"/>
          <w:numId w:val="0"/>
        </w:numPr>
        <w:ind w:firstLine="480" w:firstLineChars="150"/>
        <w:rPr>
          <w:b w:val="0"/>
        </w:rPr>
      </w:pPr>
      <w:r>
        <w:rPr>
          <w:rFonts w:hint="eastAsia" w:hAnsi="Calibri"/>
          <w:b w:val="0"/>
        </w:rPr>
        <w:t>一是自评价工作还存在自我审定的局限性，会影响评价质量，容易造成问题的疏漏，在客观性和公正性上说服力不强，二是缺少带着问题去评价的意识，三是现场评价的工作量少，后续效益评价具体措施和方法较少。</w:t>
      </w:r>
    </w:p>
    <w:p>
      <w:pPr>
        <w:pStyle w:val="23"/>
        <w:numPr>
          <w:ilvl w:val="0"/>
          <w:numId w:val="11"/>
        </w:numPr>
        <w:ind w:firstLineChars="0"/>
        <w:rPr>
          <w:rFonts w:ascii="黑体" w:hAnsi="黑体"/>
        </w:rPr>
      </w:pPr>
      <w:r>
        <w:rPr>
          <w:rFonts w:hint="eastAsia" w:ascii="黑体" w:hAnsi="黑体"/>
        </w:rPr>
        <w:t>有关建议</w:t>
      </w:r>
    </w:p>
    <w:p>
      <w:pPr>
        <w:spacing w:before="120" w:beforeLines="50" w:line="560" w:lineRule="exact"/>
        <w:ind w:firstLine="420" w:firstLineChars="200"/>
        <w:rPr>
          <w:rFonts w:ascii="仿宋_GB2312" w:hAnsi="仿宋" w:eastAsia="仿宋_GB2312" w:cs="宋体"/>
          <w:sz w:val="32"/>
          <w:szCs w:val="32"/>
        </w:rPr>
      </w:pPr>
      <w:r>
        <w:rPr>
          <w:rFonts w:ascii="黑体" w:hAnsi="黑体"/>
        </w:rPr>
        <w:t xml:space="preserve"> </w:t>
      </w:r>
      <w:r>
        <w:rPr>
          <w:rFonts w:ascii="仿宋_GB2312" w:hAnsi="仿宋" w:eastAsia="仿宋_GB2312" w:cs="宋体"/>
        </w:rPr>
        <w:t xml:space="preserve">  </w:t>
      </w:r>
      <w:r>
        <w:rPr>
          <w:rFonts w:hint="eastAsia" w:ascii="仿宋_GB2312" w:hAnsi="仿宋" w:eastAsia="仿宋_GB2312" w:cs="宋体"/>
          <w:sz w:val="32"/>
          <w:szCs w:val="32"/>
        </w:rPr>
        <w:t>1. 强化前期准备，加强项目管理力度</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前期做好可行性研究报告，更加细化实施方案，严格执行资金管理办法和财政资金管理制度，严格按照项目实施方案稳步推进工作；项目启动时同步做好档案的归档与整理，及时整理、收集、汇总，健全档案资料；通过绩效管理，发现项目实施中存在漏洞，及时掌握与之相关的各类信息，减少成本，使资金效益最大化。</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 健全项目管理机制，加强管理意识</w:t>
      </w:r>
    </w:p>
    <w:p>
      <w:pPr>
        <w:spacing w:before="120" w:beforeLines="50"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按照预算支出内容，以结果为导向，设置合理的绩效目标，加强项目实施效果的管理；完善资金管理制度，树立监督管理责任意识，加强资金监管力度，完善资金监管制度，建立“预算编制有目标，预算执行有监控，预算完成有评价，评价结果有反馈，反馈结果有应用”的预算绩效管理机制。</w:t>
      </w:r>
    </w:p>
    <w:p>
      <w:pPr>
        <w:pStyle w:val="23"/>
        <w:numPr>
          <w:ilvl w:val="0"/>
          <w:numId w:val="11"/>
        </w:numPr>
        <w:ind w:firstLineChars="0"/>
        <w:rPr>
          <w:rFonts w:ascii="黑体" w:hAnsi="黑体"/>
        </w:rPr>
      </w:pPr>
      <w:r>
        <w:rPr>
          <w:rFonts w:hint="eastAsia" w:ascii="黑体" w:hAnsi="黑体"/>
        </w:rPr>
        <w:t>其他需要说明的问题</w:t>
      </w:r>
    </w:p>
    <w:p>
      <w:pPr>
        <w:pStyle w:val="23"/>
        <w:ind w:firstLine="640"/>
        <w:rPr>
          <w:rFonts w:ascii="仿宋_GB2312" w:hAnsi="仿宋" w:eastAsia="仿宋_GB2312" w:cs="宋体"/>
        </w:rPr>
      </w:pPr>
      <w:r>
        <w:rPr>
          <w:rFonts w:hint="eastAsia" w:ascii="仿宋_GB2312" w:hAnsi="仿宋" w:eastAsia="仿宋_GB2312" w:cs="宋体"/>
          <w:b w:val="0"/>
          <w:kern w:val="2"/>
        </w:rPr>
        <w:t>无。</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w:t>
      </w:r>
      <w:r>
        <w:rPr>
          <w:rFonts w:hint="eastAsia" w:ascii="仿宋_GB2312" w:hAnsi="仿宋" w:eastAsia="仿宋_GB2312" w:cs="宋体"/>
          <w:sz w:val="32"/>
          <w:szCs w:val="32"/>
          <w:lang w:val="en-US" w:eastAsia="zh-CN"/>
        </w:rPr>
        <w:t>文旅局</w:t>
      </w:r>
      <w:r>
        <w:rPr>
          <w:rFonts w:hint="eastAsia" w:ascii="仿宋_GB2312" w:hAnsi="仿宋" w:eastAsia="仿宋_GB2312" w:cs="宋体"/>
          <w:sz w:val="32"/>
          <w:szCs w:val="32"/>
        </w:rPr>
        <w:t>2019年文化站（室）、行政村设备采购项目支出绩效目标申报表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w:t>
      </w:r>
      <w:r>
        <w:rPr>
          <w:rFonts w:hint="eastAsia" w:ascii="仿宋_GB2312" w:hAnsi="仿宋" w:eastAsia="仿宋_GB2312" w:cs="宋体"/>
          <w:sz w:val="32"/>
          <w:szCs w:val="32"/>
          <w:lang w:val="en-US" w:eastAsia="zh-CN"/>
        </w:rPr>
        <w:t>文旅局</w:t>
      </w:r>
      <w:r>
        <w:rPr>
          <w:rFonts w:hint="eastAsia" w:ascii="仿宋_GB2312" w:hAnsi="仿宋" w:eastAsia="仿宋_GB2312" w:cs="宋体"/>
          <w:sz w:val="32"/>
          <w:szCs w:val="32"/>
        </w:rPr>
        <w:t>2019年文化站（室）、行政村设备采购项目支出绩效自评表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w:t>
      </w:r>
      <w:r>
        <w:rPr>
          <w:rFonts w:hint="eastAsia" w:ascii="仿宋_GB2312" w:hAnsi="仿宋" w:eastAsia="仿宋_GB2312" w:cs="宋体"/>
          <w:sz w:val="32"/>
          <w:szCs w:val="32"/>
          <w:lang w:val="en-US" w:eastAsia="zh-CN"/>
        </w:rPr>
        <w:t>文旅局</w:t>
      </w:r>
      <w:r>
        <w:rPr>
          <w:rFonts w:hint="eastAsia" w:ascii="仿宋_GB2312" w:hAnsi="仿宋" w:eastAsia="仿宋_GB2312" w:cs="宋体"/>
          <w:sz w:val="32"/>
          <w:szCs w:val="32"/>
        </w:rPr>
        <w:t>2019年文化站（室）、行政村设备采购项目支出绩效评价指标体系</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00E331BD"/>
    <w:multiLevelType w:val="multilevel"/>
    <w:tmpl w:val="00E331BD"/>
    <w:lvl w:ilvl="0" w:tentative="0">
      <w:start w:val="4"/>
      <w:numFmt w:val="japaneseCounting"/>
      <w:lvlText w:val="（%1）"/>
      <w:lvlJc w:val="left"/>
      <w:pPr>
        <w:ind w:left="1725" w:hanging="108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2">
    <w:nsid w:val="1A0866AD"/>
    <w:multiLevelType w:val="multilevel"/>
    <w:tmpl w:val="1A0866AD"/>
    <w:lvl w:ilvl="0" w:tentative="0">
      <w:start w:val="6"/>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3">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4">
    <w:nsid w:val="3A7260C0"/>
    <w:multiLevelType w:val="multilevel"/>
    <w:tmpl w:val="3A7260C0"/>
    <w:lvl w:ilvl="0" w:tentative="0">
      <w:start w:val="1"/>
      <w:numFmt w:val="chineseCountingThousand"/>
      <w:pStyle w:val="25"/>
      <w:lvlText w:val="(%1)"/>
      <w:lvlJc w:val="left"/>
      <w:pPr>
        <w:ind w:left="846" w:hanging="420"/>
      </w:pPr>
      <w:rPr>
        <w:rFonts w:hint="eastAsia"/>
      </w:rPr>
    </w:lvl>
    <w:lvl w:ilvl="1" w:tentative="0">
      <w:start w:val="1"/>
      <w:numFmt w:val="lowerLetter"/>
      <w:lvlText w:val="%2)"/>
      <w:lvlJc w:val="left"/>
      <w:pPr>
        <w:ind w:left="698" w:hanging="420"/>
      </w:pPr>
    </w:lvl>
    <w:lvl w:ilvl="2" w:tentative="0">
      <w:start w:val="1"/>
      <w:numFmt w:val="lowerRoman"/>
      <w:lvlText w:val="%3."/>
      <w:lvlJc w:val="right"/>
      <w:pPr>
        <w:ind w:left="1118" w:hanging="420"/>
      </w:pPr>
    </w:lvl>
    <w:lvl w:ilvl="3" w:tentative="0">
      <w:start w:val="1"/>
      <w:numFmt w:val="decimal"/>
      <w:lvlText w:val="%4."/>
      <w:lvlJc w:val="left"/>
      <w:pPr>
        <w:ind w:left="1538" w:hanging="420"/>
      </w:pPr>
    </w:lvl>
    <w:lvl w:ilvl="4" w:tentative="0">
      <w:start w:val="1"/>
      <w:numFmt w:val="lowerLetter"/>
      <w:lvlText w:val="%5)"/>
      <w:lvlJc w:val="left"/>
      <w:pPr>
        <w:ind w:left="1958" w:hanging="420"/>
      </w:pPr>
    </w:lvl>
    <w:lvl w:ilvl="5" w:tentative="0">
      <w:start w:val="1"/>
      <w:numFmt w:val="lowerRoman"/>
      <w:lvlText w:val="%6."/>
      <w:lvlJc w:val="right"/>
      <w:pPr>
        <w:ind w:left="2378" w:hanging="420"/>
      </w:pPr>
    </w:lvl>
    <w:lvl w:ilvl="6" w:tentative="0">
      <w:start w:val="1"/>
      <w:numFmt w:val="decimal"/>
      <w:lvlText w:val="%7."/>
      <w:lvlJc w:val="left"/>
      <w:pPr>
        <w:ind w:left="2798" w:hanging="420"/>
      </w:pPr>
    </w:lvl>
    <w:lvl w:ilvl="7" w:tentative="0">
      <w:start w:val="1"/>
      <w:numFmt w:val="lowerLetter"/>
      <w:lvlText w:val="%8)"/>
      <w:lvlJc w:val="left"/>
      <w:pPr>
        <w:ind w:left="3218" w:hanging="420"/>
      </w:pPr>
    </w:lvl>
    <w:lvl w:ilvl="8" w:tentative="0">
      <w:start w:val="1"/>
      <w:numFmt w:val="lowerRoman"/>
      <w:lvlText w:val="%9."/>
      <w:lvlJc w:val="right"/>
      <w:pPr>
        <w:ind w:left="3638" w:hanging="420"/>
      </w:pPr>
    </w:lvl>
  </w:abstractNum>
  <w:abstractNum w:abstractNumId="5">
    <w:nsid w:val="3C3C13AD"/>
    <w:multiLevelType w:val="multilevel"/>
    <w:tmpl w:val="3C3C13AD"/>
    <w:lvl w:ilvl="0" w:tentative="0">
      <w:start w:val="2"/>
      <w:numFmt w:val="decimal"/>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4CFE689E"/>
    <w:multiLevelType w:val="multilevel"/>
    <w:tmpl w:val="4CFE689E"/>
    <w:lvl w:ilvl="0" w:tentative="0">
      <w:start w:val="1"/>
      <w:numFmt w:val="japaneseCounting"/>
      <w:lvlText w:val="（%1）"/>
      <w:lvlJc w:val="left"/>
      <w:pPr>
        <w:ind w:left="1562" w:hanging="108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7">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9">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0">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4"/>
  </w:num>
  <w:num w:numId="2">
    <w:abstractNumId w:val="10"/>
  </w:num>
  <w:num w:numId="3">
    <w:abstractNumId w:val="8"/>
  </w:num>
  <w:num w:numId="4">
    <w:abstractNumId w:val="7"/>
  </w:num>
  <w:num w:numId="5">
    <w:abstractNumId w:val="3"/>
  </w:num>
  <w:num w:numId="6">
    <w:abstractNumId w:val="1"/>
  </w:num>
  <w:num w:numId="7">
    <w:abstractNumId w:val="5"/>
  </w:num>
  <w:num w:numId="8">
    <w:abstractNumId w:val="6"/>
  </w:num>
  <w:num w:numId="9">
    <w:abstractNumId w:val="9"/>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0"/>
  <w:drawingGridHorizontalSpacing w:val="21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22413"/>
    <w:rsid w:val="00037F93"/>
    <w:rsid w:val="00042126"/>
    <w:rsid w:val="00054912"/>
    <w:rsid w:val="000E0C7B"/>
    <w:rsid w:val="000F2007"/>
    <w:rsid w:val="00100A64"/>
    <w:rsid w:val="00100AA9"/>
    <w:rsid w:val="00106A11"/>
    <w:rsid w:val="00106AE7"/>
    <w:rsid w:val="001143D6"/>
    <w:rsid w:val="0012798F"/>
    <w:rsid w:val="00132553"/>
    <w:rsid w:val="00151AF1"/>
    <w:rsid w:val="00174F3A"/>
    <w:rsid w:val="0018169D"/>
    <w:rsid w:val="00184D3F"/>
    <w:rsid w:val="00193649"/>
    <w:rsid w:val="0019720C"/>
    <w:rsid w:val="001A1902"/>
    <w:rsid w:val="001A4FFA"/>
    <w:rsid w:val="001B5B44"/>
    <w:rsid w:val="001D5FF2"/>
    <w:rsid w:val="001D6F2E"/>
    <w:rsid w:val="00203FB6"/>
    <w:rsid w:val="00233ECE"/>
    <w:rsid w:val="0027203F"/>
    <w:rsid w:val="002A052C"/>
    <w:rsid w:val="002A1BF4"/>
    <w:rsid w:val="002B3A72"/>
    <w:rsid w:val="002C1E96"/>
    <w:rsid w:val="002C6231"/>
    <w:rsid w:val="002F7CDC"/>
    <w:rsid w:val="00324E56"/>
    <w:rsid w:val="00331AF1"/>
    <w:rsid w:val="003468D7"/>
    <w:rsid w:val="00363E52"/>
    <w:rsid w:val="00382736"/>
    <w:rsid w:val="003A04D1"/>
    <w:rsid w:val="003A29E7"/>
    <w:rsid w:val="003A56CA"/>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C756D"/>
    <w:rsid w:val="004D088E"/>
    <w:rsid w:val="004D4F06"/>
    <w:rsid w:val="00503406"/>
    <w:rsid w:val="005225F1"/>
    <w:rsid w:val="00531253"/>
    <w:rsid w:val="00540B36"/>
    <w:rsid w:val="00563E06"/>
    <w:rsid w:val="0058554B"/>
    <w:rsid w:val="00596DDF"/>
    <w:rsid w:val="005A5FD4"/>
    <w:rsid w:val="005B6EAB"/>
    <w:rsid w:val="005C3896"/>
    <w:rsid w:val="005D259E"/>
    <w:rsid w:val="005D7AC7"/>
    <w:rsid w:val="00621FE6"/>
    <w:rsid w:val="00630E69"/>
    <w:rsid w:val="006362B2"/>
    <w:rsid w:val="0065420A"/>
    <w:rsid w:val="006869EC"/>
    <w:rsid w:val="00694A44"/>
    <w:rsid w:val="006B16F3"/>
    <w:rsid w:val="006D0AA4"/>
    <w:rsid w:val="006E2F58"/>
    <w:rsid w:val="006F2513"/>
    <w:rsid w:val="006F64CB"/>
    <w:rsid w:val="0071759F"/>
    <w:rsid w:val="00722E40"/>
    <w:rsid w:val="007253B3"/>
    <w:rsid w:val="00731D46"/>
    <w:rsid w:val="00734BAD"/>
    <w:rsid w:val="00741C41"/>
    <w:rsid w:val="00752C57"/>
    <w:rsid w:val="00781733"/>
    <w:rsid w:val="007C5CF9"/>
    <w:rsid w:val="007D340B"/>
    <w:rsid w:val="007E6392"/>
    <w:rsid w:val="007F3C25"/>
    <w:rsid w:val="00811F2D"/>
    <w:rsid w:val="00815938"/>
    <w:rsid w:val="008226BA"/>
    <w:rsid w:val="008235A0"/>
    <w:rsid w:val="00827DA6"/>
    <w:rsid w:val="00835103"/>
    <w:rsid w:val="00854416"/>
    <w:rsid w:val="00866F54"/>
    <w:rsid w:val="00883FF2"/>
    <w:rsid w:val="0089293E"/>
    <w:rsid w:val="00893E6C"/>
    <w:rsid w:val="008D7BC7"/>
    <w:rsid w:val="00900853"/>
    <w:rsid w:val="0090104C"/>
    <w:rsid w:val="00936E09"/>
    <w:rsid w:val="00954F5D"/>
    <w:rsid w:val="00982B10"/>
    <w:rsid w:val="009C0267"/>
    <w:rsid w:val="009D23C3"/>
    <w:rsid w:val="009E5354"/>
    <w:rsid w:val="009F70D0"/>
    <w:rsid w:val="00A10F1E"/>
    <w:rsid w:val="00A12A0C"/>
    <w:rsid w:val="00A365D5"/>
    <w:rsid w:val="00A41DB8"/>
    <w:rsid w:val="00A43094"/>
    <w:rsid w:val="00A53361"/>
    <w:rsid w:val="00A53629"/>
    <w:rsid w:val="00A539FF"/>
    <w:rsid w:val="00A55669"/>
    <w:rsid w:val="00A5786D"/>
    <w:rsid w:val="00A60191"/>
    <w:rsid w:val="00A81609"/>
    <w:rsid w:val="00A85237"/>
    <w:rsid w:val="00AB07C5"/>
    <w:rsid w:val="00AB1B6B"/>
    <w:rsid w:val="00AB2037"/>
    <w:rsid w:val="00AE1FDF"/>
    <w:rsid w:val="00AE3042"/>
    <w:rsid w:val="00B03B29"/>
    <w:rsid w:val="00B16C8F"/>
    <w:rsid w:val="00B257DD"/>
    <w:rsid w:val="00B32FA4"/>
    <w:rsid w:val="00B36F46"/>
    <w:rsid w:val="00B47B13"/>
    <w:rsid w:val="00B53BE4"/>
    <w:rsid w:val="00B6063F"/>
    <w:rsid w:val="00B7657B"/>
    <w:rsid w:val="00B766CE"/>
    <w:rsid w:val="00B9042A"/>
    <w:rsid w:val="00BA0855"/>
    <w:rsid w:val="00BA65AD"/>
    <w:rsid w:val="00BC7696"/>
    <w:rsid w:val="00BF5BA5"/>
    <w:rsid w:val="00C1454E"/>
    <w:rsid w:val="00C22961"/>
    <w:rsid w:val="00C2671D"/>
    <w:rsid w:val="00C563AA"/>
    <w:rsid w:val="00C70B47"/>
    <w:rsid w:val="00C71FF0"/>
    <w:rsid w:val="00C77259"/>
    <w:rsid w:val="00C811F4"/>
    <w:rsid w:val="00C97E2D"/>
    <w:rsid w:val="00D043D7"/>
    <w:rsid w:val="00D117FB"/>
    <w:rsid w:val="00D12608"/>
    <w:rsid w:val="00D23C2E"/>
    <w:rsid w:val="00D465FE"/>
    <w:rsid w:val="00D61EC8"/>
    <w:rsid w:val="00D9295D"/>
    <w:rsid w:val="00D93516"/>
    <w:rsid w:val="00DA7F4C"/>
    <w:rsid w:val="00DB13AC"/>
    <w:rsid w:val="00DC5F94"/>
    <w:rsid w:val="00DE152F"/>
    <w:rsid w:val="00DE293B"/>
    <w:rsid w:val="00E05626"/>
    <w:rsid w:val="00E25B2F"/>
    <w:rsid w:val="00E373A5"/>
    <w:rsid w:val="00E66A4D"/>
    <w:rsid w:val="00E72B1C"/>
    <w:rsid w:val="00E96169"/>
    <w:rsid w:val="00EF5126"/>
    <w:rsid w:val="00F0780F"/>
    <w:rsid w:val="00F16D54"/>
    <w:rsid w:val="00F6015C"/>
    <w:rsid w:val="00F75715"/>
    <w:rsid w:val="00F85D8D"/>
    <w:rsid w:val="00F93AB1"/>
    <w:rsid w:val="00F94E2F"/>
    <w:rsid w:val="00FB2E2F"/>
    <w:rsid w:val="00FD300A"/>
    <w:rsid w:val="00FF137F"/>
    <w:rsid w:val="00FF6959"/>
    <w:rsid w:val="00FF6C14"/>
    <w:rsid w:val="00FF747B"/>
    <w:rsid w:val="01BE6316"/>
    <w:rsid w:val="02BD6CAE"/>
    <w:rsid w:val="07AE4845"/>
    <w:rsid w:val="085C489E"/>
    <w:rsid w:val="217F35A7"/>
    <w:rsid w:val="24E73B1F"/>
    <w:rsid w:val="26887AB1"/>
    <w:rsid w:val="26F03C06"/>
    <w:rsid w:val="2A547683"/>
    <w:rsid w:val="306A4501"/>
    <w:rsid w:val="30C10F1E"/>
    <w:rsid w:val="31C366C0"/>
    <w:rsid w:val="33CA34B6"/>
    <w:rsid w:val="378C4BAE"/>
    <w:rsid w:val="3BC01B4C"/>
    <w:rsid w:val="46C16BC4"/>
    <w:rsid w:val="4BA312AC"/>
    <w:rsid w:val="509F44DE"/>
    <w:rsid w:val="55945462"/>
    <w:rsid w:val="57683FF9"/>
    <w:rsid w:val="57964064"/>
    <w:rsid w:val="5A781A20"/>
    <w:rsid w:val="667765BF"/>
    <w:rsid w:val="68AC0EA3"/>
    <w:rsid w:val="6ECA138A"/>
    <w:rsid w:val="7775238E"/>
    <w:rsid w:val="7A8638D9"/>
    <w:rsid w:val="7C22416B"/>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563C1" w:themeColor="hyperlink"/>
      <w:u w:val="single"/>
    </w:rPr>
  </w:style>
  <w:style w:type="character" w:styleId="17">
    <w:name w:val="annotation reference"/>
    <w:basedOn w:val="15"/>
    <w:semiHidden/>
    <w:unhideWhenUsed/>
    <w:qFormat/>
    <w:uiPriority w:val="99"/>
    <w:rPr>
      <w:sz w:val="21"/>
      <w:szCs w:val="21"/>
    </w:rPr>
  </w:style>
  <w:style w:type="character" w:customStyle="1" w:styleId="18">
    <w:name w:val="标题 1 字符"/>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字符"/>
    <w:basedOn w:val="15"/>
    <w:link w:val="9"/>
    <w:qFormat/>
    <w:uiPriority w:val="99"/>
    <w:rPr>
      <w:sz w:val="18"/>
      <w:szCs w:val="18"/>
    </w:rPr>
  </w:style>
  <w:style w:type="character" w:customStyle="1" w:styleId="21">
    <w:name w:val="页脚 字符"/>
    <w:basedOn w:val="15"/>
    <w:link w:val="8"/>
    <w:qFormat/>
    <w:uiPriority w:val="99"/>
    <w:rPr>
      <w:sz w:val="18"/>
      <w:szCs w:val="18"/>
    </w:rPr>
  </w:style>
  <w:style w:type="character" w:customStyle="1" w:styleId="22">
    <w:name w:val="批注框文本 字符"/>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字符"/>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字符"/>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82ADD4-2F9A-4AF0-A012-7085FF967504}">
  <ds:schemaRefs/>
</ds:datastoreItem>
</file>

<file path=docProps/app.xml><?xml version="1.0" encoding="utf-8"?>
<Properties xmlns="http://schemas.openxmlformats.org/officeDocument/2006/extended-properties" xmlns:vt="http://schemas.openxmlformats.org/officeDocument/2006/docPropsVTypes">
  <Template>Normal</Template>
  <Company>Xinjiang Wusu Brewery Co., Ltd</Company>
  <Pages>19</Pages>
  <Words>1355</Words>
  <Characters>7724</Characters>
  <Lines>64</Lines>
  <Paragraphs>18</Paragraphs>
  <TotalTime>1</TotalTime>
  <ScaleCrop>false</ScaleCrop>
  <LinksUpToDate>false</LinksUpToDate>
  <CharactersWithSpaces>9061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2024-01-03T10:22:08Z</dcterms:modified>
  <dc:title>新疆普天鹏华商务信息咨询有限公司</dc:title>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