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喀什地区叶城县计育宣传技术指导站</w:t>
      </w:r>
      <w:r>
        <w:rPr>
          <w:rFonts w:hint="eastAsia" w:ascii="方正小标宋简体" w:hAnsi="等线" w:eastAsia="方正小标宋简体" w:cs="Times New Roman"/>
          <w:sz w:val="44"/>
          <w:szCs w:val="44"/>
        </w:rPr>
        <w:t>2019年基本公共卫生</w:t>
      </w:r>
    </w:p>
    <w:p>
      <w:pPr>
        <w:spacing w:beforeLines="50"/>
        <w:jc w:val="center"/>
        <w:rPr>
          <w:rFonts w:ascii="方正小标宋简体" w:eastAsia="方正小标宋简体"/>
          <w:sz w:val="44"/>
          <w:szCs w:val="44"/>
        </w:rPr>
      </w:pPr>
      <w:r>
        <w:rPr>
          <w:rFonts w:hint="eastAsia" w:ascii="方正小标宋简体" w:hAnsi="等线" w:eastAsia="方正小标宋简体" w:cs="Times New Roman"/>
          <w:sz w:val="44"/>
          <w:szCs w:val="44"/>
        </w:rPr>
        <w:t>服务补助资金</w:t>
      </w:r>
      <w:r>
        <w:rPr>
          <w:rFonts w:hint="eastAsia" w:ascii="方正小标宋简体" w:eastAsia="方正小标宋简体"/>
          <w:sz w:val="44"/>
          <w:szCs w:val="44"/>
        </w:rPr>
        <w:t>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项目名称：2019年基本公共卫生服务补助资金项目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w:t>
      </w:r>
      <w:r>
        <w:rPr>
          <w:rFonts w:hint="eastAsia" w:ascii="仿宋_GB2312" w:hAnsi="仿宋" w:eastAsia="仿宋_GB2312" w:cs="Times New Roman"/>
          <w:spacing w:val="-2"/>
          <w:sz w:val="36"/>
          <w:szCs w:val="36"/>
          <w:lang w:eastAsia="zh-CN"/>
        </w:rPr>
        <w:t>生育</w:t>
      </w:r>
      <w:r>
        <w:rPr>
          <w:rFonts w:hint="eastAsia" w:ascii="仿宋_GB2312" w:hAnsi="仿宋" w:eastAsia="仿宋_GB2312" w:cs="Times New Roman"/>
          <w:spacing w:val="-2"/>
          <w:sz w:val="36"/>
          <w:szCs w:val="36"/>
        </w:rPr>
        <w:t>育宣传技术指导站</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w:t>
      </w:r>
      <w:r>
        <w:rPr>
          <w:rFonts w:hint="eastAsia" w:ascii="仿宋_GB2312" w:hAnsi="仿宋" w:eastAsia="仿宋_GB2312" w:cs="Times New Roman"/>
          <w:spacing w:val="-2"/>
          <w:sz w:val="36"/>
          <w:szCs w:val="36"/>
          <w:lang w:eastAsia="zh-CN"/>
        </w:rPr>
        <w:t>生育</w:t>
      </w:r>
      <w:r>
        <w:rPr>
          <w:rFonts w:hint="eastAsia" w:ascii="仿宋_GB2312" w:hAnsi="仿宋" w:eastAsia="仿宋_GB2312" w:cs="Times New Roman"/>
          <w:spacing w:val="-2"/>
          <w:sz w:val="36"/>
          <w:szCs w:val="36"/>
        </w:rPr>
        <w:t>育宣传技术指导站</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afterLines="50" w:line="600" w:lineRule="exact"/>
        <w:rPr>
          <w:rFonts w:ascii="方正小标宋简体" w:hAnsi="仿宋_GB2312" w:eastAsia="方正小标宋简体" w:cs="仿宋_GB2312"/>
          <w:color w:val="FF0000"/>
          <w:kern w:val="0"/>
          <w:sz w:val="44"/>
          <w:szCs w:val="44"/>
          <w:shd w:val="clear" w:color="auto" w:fill="FFFFFF"/>
        </w:rPr>
      </w:pPr>
    </w:p>
    <w:p>
      <w:pPr>
        <w:pStyle w:val="24"/>
        <w:numPr>
          <w:ilvl w:val="0"/>
          <w:numId w:val="2"/>
        </w:numPr>
        <w:ind w:firstLineChars="0"/>
      </w:pPr>
      <w:r>
        <w:rPr>
          <w:rFonts w:hint="eastAsia"/>
        </w:rPr>
        <w:t>基本情况</w:t>
      </w:r>
    </w:p>
    <w:p>
      <w:pPr>
        <w:pStyle w:val="26"/>
        <w:ind w:left="0" w:firstLine="643" w:firstLineChars="200"/>
      </w:pPr>
      <w:bookmarkStart w:id="0" w:name="_Toc26401549"/>
      <w:r>
        <w:rPr>
          <w:rFonts w:hint="eastAsia"/>
        </w:rPr>
        <w:t>项目概况</w:t>
      </w:r>
      <w:bookmarkEnd w:id="0"/>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按照2010年9月财教【2010】333号财政部人口</w:t>
      </w:r>
      <w:r>
        <w:rPr>
          <w:rFonts w:hint="eastAsia" w:ascii="仿宋_GB2312" w:hAnsi="仿宋" w:eastAsia="仿宋_GB2312" w:cs="宋体"/>
          <w:sz w:val="32"/>
          <w:szCs w:val="32"/>
          <w:lang w:eastAsia="zh-CN"/>
        </w:rPr>
        <w:t>生育</w:t>
      </w:r>
      <w:r>
        <w:rPr>
          <w:rFonts w:hint="eastAsia" w:ascii="仿宋_GB2312" w:hAnsi="仿宋" w:eastAsia="仿宋_GB2312" w:cs="宋体"/>
          <w:sz w:val="32"/>
          <w:szCs w:val="32"/>
        </w:rPr>
        <w:t>委关于印发《国家免费孕前优生健康检查项目试点专项资金管理办法（试行）》的通知，根据统一安排部署，我县对符合生育政策并准备怀孕的夫妇、夫妇至少一方具有本地户籍或夫妇双方非本地户籍但在本地居住本年以上、在定点服务机构免费提供优生健康教育、国家免费孕前优生健康检查、病史询问、体格检查、临床实验室检查、影像学检查、风险评估、咨询指导等19项免费孕前优生健康检查项目，每对夫妇按照240元标准进行补助。</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1、项目背景及立项依据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 xml:space="preserve"> 根据2010年9月财教【2010】333号财政部人口</w:t>
      </w:r>
      <w:r>
        <w:rPr>
          <w:rFonts w:hint="eastAsia" w:ascii="仿宋_GB2312" w:hAnsi="仿宋" w:eastAsia="仿宋_GB2312" w:cs="宋体"/>
          <w:sz w:val="32"/>
          <w:szCs w:val="32"/>
          <w:lang w:eastAsia="zh-CN"/>
        </w:rPr>
        <w:t>生育</w:t>
      </w:r>
      <w:r>
        <w:rPr>
          <w:rFonts w:hint="eastAsia" w:ascii="仿宋_GB2312" w:hAnsi="仿宋" w:eastAsia="仿宋_GB2312" w:cs="宋体"/>
          <w:sz w:val="32"/>
          <w:szCs w:val="32"/>
        </w:rPr>
        <w:t>委关于印发《国家免费孕前优生健康检查项目试点专项资金管理办法（试行）》的通知及叶城县人民政府办公室文件叶政办【2011】88号文件，叶城县</w:t>
      </w:r>
      <w:r>
        <w:rPr>
          <w:rFonts w:hint="eastAsia" w:ascii="仿宋_GB2312" w:hAnsi="仿宋" w:eastAsia="仿宋_GB2312" w:cs="宋体"/>
          <w:sz w:val="32"/>
          <w:szCs w:val="32"/>
          <w:lang w:eastAsia="zh-CN"/>
        </w:rPr>
        <w:t>生育</w:t>
      </w:r>
      <w:r>
        <w:rPr>
          <w:rFonts w:hint="eastAsia" w:ascii="仿宋_GB2312" w:hAnsi="仿宋" w:eastAsia="仿宋_GB2312" w:cs="宋体"/>
          <w:sz w:val="32"/>
          <w:szCs w:val="32"/>
        </w:rPr>
        <w:t>宣传技术指导站根据上级主管部门同意安排部署，配齐配强精干力量，优质服务统一流程，规范操作各司其职，完成各个项目的检查。旨在早期干预治疗，尽量避免不利于怀孕因素，从源头上减少出生缺陷儿的发生。</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2、项目主要内容及实施情况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主要由县乡共同服务，由乡级对县境内符合生育政策、计划怀孕的农村夫妇、包括流动人口计划怀孕夫妇，进行摸底、宣传，入户发放健康教育资料，告知孕前优生健康检查的重要意义，组织符合条件的夫妇自愿到县级服务机构接受优生健康检查、病史询问、体格检查、临床实验室检查、影像学检查、风险评估、咨询指导等19项免费孕前优生健康检查项目，填写《孕前优生检查技术服务家庭档案》。根据检查结果，区分一般人群和高风险人群，如有必要，进一步检查、治疗或转诊，并进行早孕指导和随访，所有孕前优生健康检查服务记录文书，进行录入及存档。项目资金按照国家免费孕前优生健康检查项目资金管理办法实施，项目资金已按照预期计划执行，不存在截留、挪用现象。</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3、项目负责人为站长王亚，主要职责在项目前期进行可行性研究，指导并监督部门工作安排，协调人员制定方案。各科室工作人员共同配合，确保该项目顺利实施。</w:t>
      </w:r>
    </w:p>
    <w:p>
      <w:pPr>
        <w:pStyle w:val="26"/>
        <w:spacing w:line="560" w:lineRule="exact"/>
        <w:ind w:left="0" w:firstLine="643" w:firstLineChars="200"/>
      </w:pPr>
      <w:bookmarkStart w:id="1" w:name="_Toc26401550"/>
      <w:r>
        <w:rPr>
          <w:rFonts w:hint="eastAsia"/>
        </w:rPr>
        <w:t>资金</w:t>
      </w:r>
      <w:bookmarkEnd w:id="1"/>
      <w:r>
        <w:rPr>
          <w:rFonts w:hint="eastAsia"/>
        </w:rPr>
        <w:t>投入和使用情况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总投资14.58元，资金来源为中央专项资金。根据新财社【2019】77号，喀地财社【2019】82号文件下达资金14.58万元，2019年孕前优生健康检查项目为14.58万元，其中财政资金14.58万元，其他资金0万元，资金到位14.58万元；资金到位率100%。</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基本公共卫生服务补助资金-国家免费孕前优生健康检查项目资金使用范围可统筹用于经常性支出，包括人员经费、公用经费等，不得用于开展基本建设工程、购置大型设备。我站制定了《基本公共卫生服务补助资金-国家免费孕前优生健康检查项目资金管理办法》，按照财政部、国家卫生健康委员会、国家医疗保障局、</w:t>
      </w:r>
      <w:bookmarkStart w:id="6" w:name="_GoBack"/>
      <w:bookmarkEnd w:id="6"/>
      <w:r>
        <w:rPr>
          <w:rFonts w:hint="eastAsia" w:ascii="仿宋_GB2312" w:hAnsi="仿宋" w:eastAsia="仿宋_GB2312" w:cs="宋体"/>
          <w:sz w:val="32"/>
          <w:szCs w:val="32"/>
          <w:lang w:eastAsia="zh-CN"/>
        </w:rPr>
        <w:t>国家中医药管理局</w:t>
      </w:r>
      <w:r>
        <w:rPr>
          <w:rFonts w:hint="eastAsia" w:ascii="仿宋_GB2312" w:hAnsi="仿宋" w:eastAsia="仿宋_GB2312" w:cs="宋体"/>
          <w:sz w:val="32"/>
          <w:szCs w:val="32"/>
        </w:rPr>
        <w:t>财社【2019】113号文件进行使用。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hint="eastAsia" w:ascii="仿宋_GB2312" w:eastAsia="仿宋_GB2312" w:cs="Times New Roman" w:hAnsiTheme="majorHAnsi"/>
          <w:b/>
          <w:bCs/>
          <w:sz w:val="32"/>
          <w:szCs w:val="32"/>
        </w:rPr>
        <w:t>三）绩效目标</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总体目标为：2019年国家免费孕前优生健康检查项目目标完成对数为607对，每对按照240元标准进行补助，要求覆盖率≥98%，项目完成及时率100%，鼓励优生优育，杜绝人口出生缺陷。</w:t>
      </w:r>
    </w:p>
    <w:p>
      <w:pPr>
        <w:pStyle w:val="24"/>
        <w:numPr>
          <w:ilvl w:val="0"/>
          <w:numId w:val="2"/>
        </w:numPr>
        <w:spacing w:line="560" w:lineRule="exact"/>
        <w:ind w:left="0" w:firstLine="643"/>
      </w:pPr>
      <w:bookmarkStart w:id="2" w:name="_Toc26401552"/>
      <w:r>
        <w:rPr>
          <w:rFonts w:hint="eastAsia"/>
        </w:rPr>
        <w:t>评价工作简述</w:t>
      </w:r>
      <w:bookmarkEnd w:id="2"/>
    </w:p>
    <w:p>
      <w:pPr>
        <w:pStyle w:val="26"/>
        <w:numPr>
          <w:ilvl w:val="0"/>
          <w:numId w:val="3"/>
        </w:numPr>
        <w:spacing w:line="560" w:lineRule="exact"/>
        <w:ind w:left="0" w:firstLine="643" w:firstLineChars="200"/>
      </w:pPr>
      <w:bookmarkStart w:id="3" w:name="_Toc26401553"/>
      <w:r>
        <w:rPr>
          <w:rFonts w:hint="eastAsia"/>
        </w:rPr>
        <w:t>评价目的</w:t>
      </w:r>
      <w:bookmarkEnd w:id="3"/>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支出绩效评价管理办法》（财预〔2020〕10号）和自治区财政厅《自治区财政支出绩效评价管理暂行办法》（新财预〔2018〕189号）等相关政策文件与规定，旨在基本公共卫生服务补助资金-国家免费孕前优生健康检查项目实施前期、过程及效果，评价财政预算资金使用的效率及效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通过本次绩效评价，了解我县基本公共卫生服务补助资金-国家免费孕前优生健康检查项目资金使用情况及取得的效果，总结项目资金管理的经验，发现项目资金项目管理中存在的问题，为提高基本公共卫生服务补助资金-国家免费孕前优生健康检查项目资金的使用效益，加强财政支出的规范化管理，健全和完善支出项目和资金使用办法，完善预算编制加强绩效目标管理和绩效考核工作提供重要的参考依据，以及提出的建议和应采取的措施。</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1、通过评价，了解2019年度基本公共卫生服务补助资金-国家免费孕前优生健康检查项目14.58万元资金的基本情况，对项目背景的目的、项目内容和现状、项目预算做深入调研和分析。</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2、通过评价了解2019年度基本公共卫生服务补助资金-国家免费孕前优生健康检查项目的产出和效果情况，及整体绩效状况。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3、通过评价，发掘2019年度 基本公共卫生服务补助资金-国家免费孕前优生健康检查项目所产出的现实意义，和实际价值，促进我站专业技术医务工作队伍工作能力和服务水平的提升。</w:t>
      </w:r>
    </w:p>
    <w:p>
      <w:pPr>
        <w:pStyle w:val="26"/>
        <w:numPr>
          <w:ilvl w:val="0"/>
          <w:numId w:val="0"/>
        </w:numPr>
        <w:spacing w:line="560" w:lineRule="exact"/>
        <w:ind w:firstLine="643" w:firstLineChars="200"/>
      </w:pPr>
      <w:r>
        <w:rPr>
          <w:rFonts w:hint="eastAsia"/>
        </w:rPr>
        <w:t>（二）本次绩效评价的对象及范围</w:t>
      </w:r>
      <w:bookmarkStart w:id="4" w:name="_Toc2640155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本次评价对象为2019年度基本公共卫生服务补助资金-国家免费孕前优生健康检查项目资金，评价范围包括专项资金的安排、组织及使用效益。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新财社【2019】77号，喀地财社【2019】82号文件下达资金14.58万元，我站制定了《基本公共卫生服务补助资金-国家免费孕前优生健康检查项目资金管理办法》，按照财政部、国家卫生健康委员会、国家医疗保障局、</w:t>
      </w:r>
      <w:r>
        <w:rPr>
          <w:rFonts w:hint="eastAsia" w:ascii="仿宋_GB2312" w:hAnsi="仿宋" w:eastAsia="仿宋_GB2312" w:cs="宋体"/>
          <w:sz w:val="32"/>
          <w:szCs w:val="32"/>
          <w:lang w:eastAsia="zh-CN"/>
        </w:rPr>
        <w:t>国家中医药管理局</w:t>
      </w:r>
      <w:r>
        <w:rPr>
          <w:rFonts w:hint="eastAsia" w:ascii="仿宋_GB2312" w:hAnsi="仿宋" w:eastAsia="仿宋_GB2312" w:cs="宋体"/>
          <w:sz w:val="32"/>
          <w:szCs w:val="32"/>
        </w:rPr>
        <w:t>财社【2019】113号文件进行使用。</w:t>
      </w:r>
    </w:p>
    <w:p>
      <w:pPr>
        <w:pStyle w:val="26"/>
        <w:numPr>
          <w:ilvl w:val="0"/>
          <w:numId w:val="0"/>
        </w:numPr>
        <w:spacing w:line="560" w:lineRule="exact"/>
        <w:ind w:firstLine="643" w:firstLineChars="200"/>
      </w:pPr>
      <w:r>
        <w:rPr>
          <w:rFonts w:hint="eastAsia"/>
        </w:rPr>
        <w:t>（三）绩效评价原则</w:t>
      </w:r>
      <w:bookmarkEnd w:id="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6"/>
        <w:keepNext w:val="0"/>
        <w:keepLines w:val="0"/>
        <w:numPr>
          <w:ilvl w:val="1"/>
          <w:numId w:val="4"/>
        </w:numPr>
        <w:spacing w:before="0" w:after="0" w:line="560" w:lineRule="exact"/>
        <w:ind w:left="0" w:firstLine="640" w:firstLineChars="200"/>
        <w:rPr>
          <w:rFonts w:hAnsi="仿宋" w:cs="宋体"/>
          <w:b w:val="0"/>
        </w:rPr>
      </w:pPr>
      <w:r>
        <w:rPr>
          <w:rFonts w:hint="eastAsia" w:hAnsi="仿宋" w:cs="宋体"/>
          <w:b w:val="0"/>
        </w:rPr>
        <w:t>科</w:t>
      </w:r>
      <w:r>
        <w:rPr>
          <w:rFonts w:hint="eastAsia" w:hAnsi="仿宋" w:cs="宋体"/>
          <w:b w:val="0"/>
          <w:bCs w:val="0"/>
        </w:rPr>
        <w:t>学公正。绩效评价应当运用科学合理的方法，按照规范的程序，对项目绩效进行客观、公正的反映。</w:t>
      </w:r>
    </w:p>
    <w:p>
      <w:pPr>
        <w:pStyle w:val="26"/>
        <w:keepNext w:val="0"/>
        <w:keepLines w:val="0"/>
        <w:numPr>
          <w:ilvl w:val="1"/>
          <w:numId w:val="4"/>
        </w:numPr>
        <w:spacing w:before="0" w:after="0" w:line="560" w:lineRule="exact"/>
        <w:ind w:left="0" w:firstLine="640" w:firstLineChars="200"/>
        <w:rPr>
          <w:rFonts w:hAnsi="仿宋" w:cs="宋体"/>
          <w:b w:val="0"/>
        </w:rPr>
      </w:pPr>
      <w:r>
        <w:rPr>
          <w:rFonts w:hint="eastAsia" w:hAnsi="仿宋" w:cs="宋体"/>
          <w:b w:val="0"/>
        </w:rPr>
        <w:t>统</w:t>
      </w:r>
      <w:r>
        <w:rPr>
          <w:rFonts w:hint="eastAsia" w:hAnsi="仿宋" w:cs="宋体"/>
          <w:b w:val="0"/>
          <w:bCs w:val="0"/>
        </w:rPr>
        <w:t>筹兼顾。单位自评、部门评价和财政评价应职责明确，各有侧重，相互衔接。单位自评应由项目单位自主实施，即“谁支出、谁自评”。部门评价和财政评价应在单位自评的基础上开展。</w:t>
      </w:r>
    </w:p>
    <w:p>
      <w:pPr>
        <w:pStyle w:val="26"/>
        <w:keepNext w:val="0"/>
        <w:keepLines w:val="0"/>
        <w:numPr>
          <w:ilvl w:val="1"/>
          <w:numId w:val="4"/>
        </w:numPr>
        <w:spacing w:before="0" w:after="0" w:line="560" w:lineRule="exact"/>
        <w:ind w:left="0" w:firstLine="640" w:firstLineChars="200"/>
        <w:rPr>
          <w:rFonts w:hAnsi="仿宋" w:cs="宋体"/>
          <w:b w:val="0"/>
        </w:rPr>
      </w:pPr>
      <w:r>
        <w:rPr>
          <w:rFonts w:hint="eastAsia" w:hAnsi="仿宋" w:cs="宋体"/>
          <w:b w:val="0"/>
        </w:rPr>
        <w:t>激</w:t>
      </w:r>
      <w:r>
        <w:rPr>
          <w:rFonts w:hint="eastAsia" w:hAnsi="仿宋" w:cs="宋体"/>
          <w:b w:val="0"/>
          <w:bCs w:val="0"/>
        </w:rPr>
        <w:t>励约束。绩效评价结果应与预算安排、政策调整、改进管理实质性挂钩，体现奖优罚劣和激励相容导向，有效要安排、低效要压减、无效要问责。</w:t>
      </w:r>
    </w:p>
    <w:p>
      <w:pPr>
        <w:pStyle w:val="26"/>
        <w:keepNext w:val="0"/>
        <w:keepLines w:val="0"/>
        <w:numPr>
          <w:ilvl w:val="1"/>
          <w:numId w:val="4"/>
        </w:numPr>
        <w:spacing w:before="0" w:after="0" w:line="560" w:lineRule="exact"/>
        <w:ind w:left="0" w:firstLine="640" w:firstLineChars="200"/>
        <w:rPr>
          <w:b w:val="0"/>
        </w:rPr>
      </w:pPr>
      <w:r>
        <w:rPr>
          <w:rFonts w:hint="eastAsia" w:hAnsi="仿宋" w:cs="宋体"/>
          <w:b w:val="0"/>
        </w:rPr>
        <w:t>公开</w:t>
      </w:r>
      <w:r>
        <w:rPr>
          <w:rFonts w:hint="eastAsia" w:hAnsi="仿宋" w:cs="宋体"/>
          <w:b w:val="0"/>
          <w:bCs w:val="0"/>
        </w:rPr>
        <w:t>透明。绩效评价结果应依法依规公开，并自觉接受社会监督。</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根据以上原则,绩效评价应遵循如下要求:</w:t>
      </w:r>
    </w:p>
    <w:p>
      <w:pPr>
        <w:pStyle w:val="26"/>
        <w:keepNext w:val="0"/>
        <w:keepLines w:val="0"/>
        <w:numPr>
          <w:ilvl w:val="0"/>
          <w:numId w:val="0"/>
        </w:numPr>
        <w:spacing w:before="0" w:after="0" w:line="560" w:lineRule="exact"/>
        <w:ind w:firstLine="640" w:firstLineChars="200"/>
        <w:outlineLvl w:val="9"/>
        <w:rPr>
          <w:rFonts w:hAnsi="仿宋" w:cs="宋体"/>
          <w:b w:val="0"/>
          <w:bCs w:val="0"/>
        </w:rPr>
      </w:pPr>
      <w:r>
        <w:rPr>
          <w:rFonts w:hint="eastAsia" w:hAnsi="仿宋" w:cs="宋体"/>
          <w:b w:val="0"/>
          <w:bCs w:val="0"/>
        </w:rPr>
        <w:t>（1）在数据采集时,采取客观数据,主管部门审查、社会中介组织复查,与问卷调查相结合的形式,以保证各项指标的真实性。</w:t>
      </w:r>
    </w:p>
    <w:p>
      <w:pPr>
        <w:pStyle w:val="26"/>
        <w:keepNext w:val="0"/>
        <w:keepLines w:val="0"/>
        <w:numPr>
          <w:ilvl w:val="0"/>
          <w:numId w:val="0"/>
        </w:numPr>
        <w:spacing w:before="0" w:after="0" w:line="560" w:lineRule="exact"/>
        <w:ind w:firstLine="640" w:firstLineChars="200"/>
        <w:outlineLvl w:val="9"/>
        <w:rPr>
          <w:rFonts w:hAnsi="仿宋" w:cs="宋体"/>
          <w:b w:val="0"/>
          <w:bCs w:val="0"/>
        </w:rPr>
      </w:pPr>
      <w:r>
        <w:rPr>
          <w:rFonts w:hint="eastAsia" w:hAnsi="仿宋" w:cs="宋体"/>
          <w:b w:val="0"/>
          <w:bCs w:val="0"/>
        </w:rPr>
        <w:t>(2)保证评价结果的真实性、公正性,提高评价报告的公信力。</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(3)绩教评价报告应当简明扼要,除了对绩效评价的过程、结果描述外,还应总结经验,指出问题,并就共性问题提出可操作性改进建议。</w:t>
      </w:r>
    </w:p>
    <w:p>
      <w:pPr>
        <w:spacing w:line="560" w:lineRule="exact"/>
        <w:ind w:firstLine="643" w:firstLineChars="200"/>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pStyle w:val="26"/>
        <w:keepNext w:val="0"/>
        <w:keepLines w:val="0"/>
        <w:numPr>
          <w:ilvl w:val="0"/>
          <w:numId w:val="0"/>
        </w:numPr>
        <w:spacing w:before="0" w:after="0" w:line="560" w:lineRule="exact"/>
        <w:ind w:firstLine="640" w:firstLineChars="200"/>
        <w:outlineLvl w:val="9"/>
        <w:rPr>
          <w:rFonts w:hAnsi="仿宋" w:cs="宋体"/>
          <w:b w:val="0"/>
          <w:bCs w:val="0"/>
        </w:rPr>
      </w:pPr>
      <w:r>
        <w:rPr>
          <w:rFonts w:hint="eastAsia" w:hAnsi="仿宋" w:cs="宋体"/>
          <w:b w:val="0"/>
          <w:bCs w:val="0"/>
        </w:rPr>
        <w:t>本项目绩效评价体系为根据财预﹝2020﹞10号共性指标及个性化指标设置，详见附件2。</w:t>
      </w:r>
    </w:p>
    <w:p>
      <w:pPr>
        <w:pStyle w:val="26"/>
        <w:keepNext w:val="0"/>
        <w:keepLines w:val="0"/>
        <w:numPr>
          <w:ilvl w:val="0"/>
          <w:numId w:val="0"/>
        </w:numPr>
        <w:spacing w:line="560" w:lineRule="exact"/>
        <w:ind w:firstLine="643" w:firstLineChars="200"/>
      </w:pPr>
      <w:bookmarkStart w:id="5" w:name="_Toc26401555"/>
      <w:r>
        <w:rPr>
          <w:rFonts w:hint="eastAsia"/>
        </w:rPr>
        <w:t>（五）绩效评价方法</w:t>
      </w:r>
      <w:bookmarkEnd w:id="5"/>
    </w:p>
    <w:p>
      <w:pPr>
        <w:pStyle w:val="26"/>
        <w:keepNext w:val="0"/>
        <w:keepLines w:val="0"/>
        <w:numPr>
          <w:ilvl w:val="0"/>
          <w:numId w:val="0"/>
        </w:numPr>
        <w:spacing w:before="0" w:after="0" w:line="560" w:lineRule="exact"/>
        <w:ind w:firstLine="640" w:firstLineChars="200"/>
        <w:outlineLvl w:val="9"/>
        <w:rPr>
          <w:rFonts w:hAnsi="仿宋" w:cs="宋体"/>
          <w:b w:val="0"/>
          <w:bCs w:val="0"/>
        </w:rPr>
      </w:pPr>
      <w:r>
        <w:rPr>
          <w:rFonts w:hint="eastAsia" w:hAnsi="仿宋" w:cs="宋体"/>
          <w:b w:val="0"/>
          <w:bCs w:val="0"/>
        </w:rPr>
        <w:t>为加强国家免费孕前优生健康检查工作的管理和效果评价，我们对国家免费孕前优生健康检查目标设定情况、目标完成情况、组织管理水平、所取得的效益、资金落实情况、资金支出情况等方面进行综合分析和评价，并采用面对面调查等方式，收集国家免费孕前优生健康检查的相关信息资料，采取定性和定量分析评价方法，对各项指标进行逐项逐条审核，形成客观有效的自我评价。</w:t>
      </w:r>
    </w:p>
    <w:p>
      <w:pPr>
        <w:pStyle w:val="26"/>
        <w:keepNext w:val="0"/>
        <w:keepLines w:val="0"/>
        <w:numPr>
          <w:ilvl w:val="0"/>
          <w:numId w:val="0"/>
        </w:numPr>
        <w:spacing w:line="560" w:lineRule="exact"/>
        <w:ind w:firstLine="643" w:firstLineChars="200"/>
      </w:pPr>
      <w:r>
        <w:rPr>
          <w:rFonts w:hint="eastAsia"/>
        </w:rPr>
        <w:t>（六）评价标准</w:t>
      </w:r>
    </w:p>
    <w:p>
      <w:pPr>
        <w:pStyle w:val="26"/>
        <w:keepNext w:val="0"/>
        <w:keepLines w:val="0"/>
        <w:numPr>
          <w:ilvl w:val="0"/>
          <w:numId w:val="0"/>
        </w:numPr>
        <w:spacing w:before="0" w:after="0" w:line="560" w:lineRule="exact"/>
        <w:ind w:firstLine="640" w:firstLineChars="200"/>
        <w:outlineLvl w:val="9"/>
        <w:rPr>
          <w:rFonts w:hAnsi="仿宋" w:cs="宋体"/>
          <w:b w:val="0"/>
          <w:bCs w:val="0"/>
        </w:rPr>
      </w:pPr>
      <w:r>
        <w:rPr>
          <w:rFonts w:hint="eastAsia" w:hAnsi="仿宋" w:cs="宋体"/>
          <w:b w:val="0"/>
          <w:bCs w:val="0"/>
        </w:rPr>
        <w:t>项目标准采用计划标准，2019年国家免费孕前优生健康检查项目目标完成对数为607对，每对按照240元标准进行补助，要求覆盖率≥98%，项目完成及时率100%。</w:t>
      </w:r>
    </w:p>
    <w:p>
      <w:pPr>
        <w:pStyle w:val="26"/>
        <w:keepNext w:val="0"/>
        <w:keepLines w:val="0"/>
        <w:numPr>
          <w:ilvl w:val="0"/>
          <w:numId w:val="0"/>
        </w:numPr>
        <w:ind w:left="988" w:hanging="420"/>
        <w:rPr>
          <w:rFonts w:hAnsi="仿宋" w:cs="宋体"/>
          <w:b w:val="0"/>
          <w:bCs w:val="0"/>
        </w:rPr>
      </w:pPr>
      <w:r>
        <w:rPr>
          <w:rFonts w:hint="eastAsia"/>
        </w:rPr>
        <w:t>（七）绩效评价工作过程</w:t>
      </w:r>
    </w:p>
    <w:p>
      <w:pPr>
        <w:pStyle w:val="26"/>
        <w:keepNext w:val="0"/>
        <w:keepLines w:val="0"/>
        <w:numPr>
          <w:ilvl w:val="0"/>
          <w:numId w:val="0"/>
        </w:numPr>
        <w:spacing w:before="0" w:after="0" w:line="560" w:lineRule="exact"/>
        <w:ind w:firstLine="640" w:firstLineChars="200"/>
        <w:outlineLvl w:val="9"/>
        <w:rPr>
          <w:rFonts w:hAnsi="仿宋" w:cs="宋体"/>
          <w:b w:val="0"/>
          <w:bCs w:val="0"/>
        </w:rPr>
      </w:pPr>
      <w:r>
        <w:rPr>
          <w:rFonts w:hint="eastAsia" w:hAnsi="仿宋" w:cs="宋体"/>
          <w:b w:val="0"/>
          <w:bCs w:val="0"/>
        </w:rPr>
        <w:t>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6"/>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6"/>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6"/>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6"/>
              <w:keepNext w:val="0"/>
              <w:keepLines w:val="0"/>
              <w:numPr>
                <w:ilvl w:val="0"/>
                <w:numId w:val="0"/>
              </w:numPr>
              <w:spacing w:line="240" w:lineRule="atLeast"/>
              <w:jc w:val="center"/>
              <w:rPr>
                <w:b w:val="0"/>
                <w:bCs w:val="0"/>
              </w:rPr>
            </w:pPr>
            <w:r>
              <w:rPr>
                <w:rFonts w:hint="eastAsia"/>
                <w:b w:val="0"/>
                <w:bCs w:val="0"/>
              </w:rPr>
              <w:t>王亚</w:t>
            </w:r>
          </w:p>
        </w:tc>
        <w:tc>
          <w:tcPr>
            <w:tcW w:w="2765" w:type="dxa"/>
            <w:vAlign w:val="center"/>
          </w:tcPr>
          <w:p>
            <w:pPr>
              <w:pStyle w:val="26"/>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6"/>
              <w:keepNext w:val="0"/>
              <w:keepLines w:val="0"/>
              <w:numPr>
                <w:ilvl w:val="0"/>
                <w:numId w:val="0"/>
              </w:numPr>
              <w:spacing w:line="240" w:lineRule="atLeast"/>
              <w:jc w:val="center"/>
              <w:rPr>
                <w:b w:val="0"/>
                <w:bCs w:val="0"/>
              </w:rPr>
            </w:pPr>
            <w:r>
              <w:rPr>
                <w:rFonts w:hint="eastAsia"/>
                <w:b w:val="0"/>
                <w:bCs w:val="0"/>
              </w:rPr>
              <w:t>站长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6"/>
              <w:keepNext w:val="0"/>
              <w:keepLines w:val="0"/>
              <w:numPr>
                <w:ilvl w:val="0"/>
                <w:numId w:val="0"/>
              </w:numPr>
              <w:spacing w:line="240" w:lineRule="atLeast"/>
              <w:rPr>
                <w:b w:val="0"/>
                <w:bCs w:val="0"/>
              </w:rPr>
            </w:pPr>
            <w:r>
              <w:rPr>
                <w:rFonts w:hint="eastAsia"/>
                <w:b w:val="0"/>
                <w:bCs w:val="0"/>
              </w:rPr>
              <w:t xml:space="preserve">    张释月</w:t>
            </w:r>
          </w:p>
        </w:tc>
        <w:tc>
          <w:tcPr>
            <w:tcW w:w="2765" w:type="dxa"/>
            <w:vAlign w:val="center"/>
          </w:tcPr>
          <w:p>
            <w:pPr>
              <w:pStyle w:val="26"/>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6"/>
              <w:keepNext w:val="0"/>
              <w:keepLines w:val="0"/>
              <w:numPr>
                <w:ilvl w:val="0"/>
                <w:numId w:val="0"/>
              </w:numPr>
              <w:spacing w:line="240" w:lineRule="atLeast"/>
              <w:jc w:val="center"/>
              <w:rPr>
                <w:b w:val="0"/>
                <w:bCs w:val="0"/>
              </w:rPr>
            </w:pPr>
            <w:r>
              <w:rPr>
                <w:rFonts w:hint="eastAsia"/>
                <w:b w:val="0"/>
                <w:bCs w:val="0"/>
              </w:rPr>
              <w:t>检验室主任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6"/>
              <w:keepNext w:val="0"/>
              <w:keepLines w:val="0"/>
              <w:numPr>
                <w:ilvl w:val="0"/>
                <w:numId w:val="0"/>
              </w:numPr>
              <w:spacing w:line="240" w:lineRule="atLeast"/>
              <w:jc w:val="center"/>
              <w:rPr>
                <w:b w:val="0"/>
                <w:bCs w:val="0"/>
              </w:rPr>
            </w:pPr>
            <w:r>
              <w:rPr>
                <w:rFonts w:hint="eastAsia"/>
                <w:b w:val="0"/>
                <w:bCs w:val="0"/>
              </w:rPr>
              <w:t>帕提木·库尔班</w:t>
            </w:r>
          </w:p>
        </w:tc>
        <w:tc>
          <w:tcPr>
            <w:tcW w:w="2765" w:type="dxa"/>
            <w:vAlign w:val="center"/>
          </w:tcPr>
          <w:p>
            <w:pPr>
              <w:pStyle w:val="26"/>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6"/>
              <w:keepNext w:val="0"/>
              <w:keepLines w:val="0"/>
              <w:numPr>
                <w:ilvl w:val="0"/>
                <w:numId w:val="0"/>
              </w:numPr>
              <w:spacing w:line="240" w:lineRule="atLeast"/>
              <w:jc w:val="center"/>
              <w:rPr>
                <w:b w:val="0"/>
                <w:bCs w:val="0"/>
              </w:rPr>
            </w:pPr>
            <w:r>
              <w:rPr>
                <w:rFonts w:hint="eastAsia"/>
                <w:b w:val="0"/>
                <w:bCs w:val="0"/>
              </w:rPr>
              <w:t>项目信息员</w:t>
            </w:r>
          </w:p>
        </w:tc>
      </w:tr>
    </w:tbl>
    <w:p>
      <w:pPr>
        <w:pStyle w:val="26"/>
        <w:keepNext w:val="0"/>
        <w:keepLines w:val="0"/>
        <w:numPr>
          <w:ilvl w:val="0"/>
          <w:numId w:val="0"/>
        </w:numPr>
        <w:spacing w:before="0" w:after="0" w:line="560" w:lineRule="exact"/>
        <w:ind w:firstLine="640" w:firstLineChars="200"/>
        <w:outlineLvl w:val="9"/>
        <w:rPr>
          <w:b w:val="0"/>
          <w:bCs w:val="0"/>
        </w:rPr>
      </w:pPr>
      <w:r>
        <w:rPr>
          <w:rFonts w:hint="eastAsia"/>
          <w:b w:val="0"/>
          <w:bCs w:val="0"/>
        </w:rPr>
        <w:t>1、前</w:t>
      </w:r>
      <w:r>
        <w:rPr>
          <w:rFonts w:hint="eastAsia" w:hAnsi="仿宋" w:cs="宋体"/>
          <w:b w:val="0"/>
          <w:bCs w:val="0"/>
        </w:rPr>
        <w:t>期准备：我站根据项目要求设置相关科室、业务技术人员，合理布局，适当改造，优化自然资源，整合资源，最大限度节约各项资源，充分调动人员积极性。</w:t>
      </w:r>
    </w:p>
    <w:p>
      <w:pPr>
        <w:pStyle w:val="26"/>
        <w:keepNext w:val="0"/>
        <w:keepLines w:val="0"/>
        <w:numPr>
          <w:ilvl w:val="0"/>
          <w:numId w:val="0"/>
        </w:numPr>
        <w:spacing w:before="0" w:after="0" w:line="560" w:lineRule="exact"/>
        <w:ind w:firstLine="640" w:firstLineChars="200"/>
        <w:outlineLvl w:val="9"/>
        <w:rPr>
          <w:b w:val="0"/>
          <w:bCs w:val="0"/>
        </w:rPr>
      </w:pPr>
      <w:r>
        <w:rPr>
          <w:rFonts w:hint="eastAsia"/>
          <w:b w:val="0"/>
          <w:bCs w:val="0"/>
        </w:rPr>
        <w:t>2、组</w:t>
      </w:r>
      <w:r>
        <w:rPr>
          <w:rFonts w:hint="eastAsia" w:hAnsi="仿宋" w:cs="宋体"/>
          <w:b w:val="0"/>
          <w:bCs w:val="0"/>
        </w:rPr>
        <w:t>织实施：根据上级主管部门同意安排部署，配齐配强精干力量，优质服务统一流程，规范操作各司其职，完成各个项目的检查。</w:t>
      </w:r>
    </w:p>
    <w:p>
      <w:pPr>
        <w:spacing w:line="560" w:lineRule="exact"/>
        <w:ind w:firstLine="640" w:firstLineChars="200"/>
        <w:rPr>
          <w:rFonts w:ascii="仿宋_GB2312" w:hAnsi="仿宋" w:eastAsia="仿宋_GB2312" w:cs="宋体"/>
          <w:sz w:val="32"/>
          <w:szCs w:val="32"/>
        </w:rPr>
      </w:pPr>
      <w:r>
        <w:rPr>
          <w:rFonts w:hint="eastAsia" w:ascii="仿宋_GB2312" w:eastAsia="仿宋_GB2312" w:cs="Times New Roman" w:hAnsiTheme="majorHAnsi"/>
          <w:bCs/>
          <w:sz w:val="32"/>
          <w:szCs w:val="32"/>
        </w:rPr>
        <w:t>3、分析</w:t>
      </w:r>
      <w:r>
        <w:rPr>
          <w:rFonts w:hint="eastAsia" w:ascii="仿宋_GB2312" w:hAnsi="仿宋" w:eastAsia="仿宋_GB2312" w:cs="宋体"/>
          <w:sz w:val="32"/>
          <w:szCs w:val="32"/>
        </w:rPr>
        <w:t>评价，对国家免费孕前优生健康检查目标设定情况、目标完成情况、组织管理水平、所取得的效益、资金落实情况、资金支出情况等方面进行综合分析和评价。及时拨付项目资金，并按照《基本公共卫生服务补助资金-国家免费孕前优生健康检查项目资金管理办法》，按照财政部、国家卫生健康委员会、国家医疗保障局、</w:t>
      </w:r>
      <w:r>
        <w:rPr>
          <w:rFonts w:hint="eastAsia" w:ascii="仿宋_GB2312" w:hAnsi="仿宋" w:eastAsia="仿宋_GB2312" w:cs="宋体"/>
          <w:sz w:val="32"/>
          <w:szCs w:val="32"/>
          <w:lang w:eastAsia="zh-CN"/>
        </w:rPr>
        <w:t>国家中医药管理局</w:t>
      </w:r>
      <w:r>
        <w:rPr>
          <w:rFonts w:hint="eastAsia" w:ascii="仿宋_GB2312" w:hAnsi="仿宋" w:eastAsia="仿宋_GB2312" w:cs="宋体"/>
          <w:sz w:val="32"/>
          <w:szCs w:val="32"/>
        </w:rPr>
        <w:t>财社【2019】113号文件进行支付。</w:t>
      </w:r>
    </w:p>
    <w:p>
      <w:pPr>
        <w:pStyle w:val="24"/>
        <w:spacing w:line="560" w:lineRule="exact"/>
        <w:ind w:firstLine="643"/>
      </w:pPr>
      <w:r>
        <w:rPr>
          <w:rFonts w:hint="eastAsia" w:ascii="黑体" w:hAnsi="黑体"/>
        </w:rPr>
        <w:t>三、综合评价情况及评价结论</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经评价组通过实地调研、资料分析等方式，采取定性和定量分析评价方法、并采用面对面调查等方式对项目的决策、管理、绩效进行的综合评价分析。项目得分为98分，评价结果为优。</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我站对完成基本公共卫生服务补助资金-国家免费孕前优生健康检查项目人群，全部在国家国家免费孕前优生健康检查网址进行个人健康档案录入，按照实际录入完成对数进行汇总统计上报。数据可查，真实准确。</w:t>
      </w:r>
    </w:p>
    <w:p>
      <w:pPr>
        <w:pStyle w:val="24"/>
        <w:spacing w:line="560" w:lineRule="exact"/>
        <w:ind w:firstLine="643"/>
        <w:rPr>
          <w:rFonts w:ascii="黑体" w:hAnsi="黑体" w:cs="宋体"/>
          <w:bCs w:val="0"/>
          <w:kern w:val="2"/>
        </w:rPr>
      </w:pPr>
      <w:r>
        <w:rPr>
          <w:rFonts w:hint="eastAsia" w:ascii="黑体" w:hAnsi="黑体" w:cs="宋体"/>
          <w:bCs w:val="0"/>
          <w:kern w:val="2"/>
        </w:rPr>
        <w:t>四、绩效评价指标分析</w:t>
      </w:r>
    </w:p>
    <w:p>
      <w:pPr>
        <w:pStyle w:val="20"/>
        <w:numPr>
          <w:ilvl w:val="0"/>
          <w:numId w:val="5"/>
        </w:numPr>
        <w:spacing w:line="560" w:lineRule="exact"/>
        <w:ind w:left="0" w:firstLine="640"/>
        <w:rPr>
          <w:rFonts w:ascii="仿宋_GB2312" w:hAnsi="仿宋" w:eastAsia="仿宋_GB2312" w:cs="宋体"/>
          <w:sz w:val="32"/>
          <w:szCs w:val="32"/>
        </w:rPr>
      </w:pPr>
      <w:r>
        <w:rPr>
          <w:rFonts w:hint="eastAsia" w:ascii="仿宋_GB2312" w:hAnsi="仿宋" w:eastAsia="仿宋_GB2312" w:cs="宋体"/>
          <w:sz w:val="32"/>
          <w:szCs w:val="32"/>
        </w:rPr>
        <w:t>项目的决策情况</w:t>
      </w:r>
    </w:p>
    <w:p>
      <w:pPr>
        <w:pStyle w:val="29"/>
        <w:numPr>
          <w:ilvl w:val="0"/>
          <w:numId w:val="6"/>
        </w:numPr>
        <w:spacing w:line="560" w:lineRule="exact"/>
        <w:ind w:firstLine="640"/>
        <w:rPr>
          <w:rFonts w:ascii="仿宋_GB2312" w:hAnsi="仿宋" w:cs="宋体"/>
          <w:sz w:val="32"/>
          <w:szCs w:val="32"/>
        </w:rPr>
      </w:pPr>
      <w:r>
        <w:rPr>
          <w:rFonts w:hint="eastAsia" w:ascii="仿宋_GB2312" w:hAnsi="仿宋" w:cs="宋体"/>
          <w:sz w:val="32"/>
          <w:szCs w:val="32"/>
        </w:rPr>
        <w:t>决策依据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根据2010年9月财教【2010】333号财政部人口</w:t>
      </w:r>
      <w:r>
        <w:rPr>
          <w:rFonts w:hint="eastAsia" w:ascii="仿宋_GB2312" w:hAnsi="仿宋" w:eastAsia="仿宋_GB2312" w:cs="宋体"/>
          <w:sz w:val="32"/>
          <w:szCs w:val="32"/>
          <w:lang w:eastAsia="zh-CN"/>
        </w:rPr>
        <w:t>生育</w:t>
      </w:r>
      <w:r>
        <w:rPr>
          <w:rFonts w:hint="eastAsia" w:ascii="仿宋_GB2312" w:hAnsi="仿宋" w:eastAsia="仿宋_GB2312" w:cs="宋体"/>
          <w:sz w:val="32"/>
          <w:szCs w:val="32"/>
        </w:rPr>
        <w:t>委关于印发《国家免费孕前优生健康检查项目试点专项资金管理办法（试行）》的通知及叶城县人民政府办公室文件叶政办【2011】88号文件，我站根据上级主管部门同意安排部署，配齐配强精干力量，优质服务统一流程，规范操作各司其职，完成各个项目的检查。旨在早期干预治疗，尽量避免不利于怀孕因素，从源头上减少出生缺陷儿的发生。</w:t>
      </w:r>
    </w:p>
    <w:p>
      <w:pPr>
        <w:numPr>
          <w:ilvl w:val="0"/>
          <w:numId w:val="6"/>
        </w:num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决策程序</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经过对符合政策计划怀孕农村夫妇进行摸底调查，确定人员名单，并按要求将相关申请材料报送上级主管部门进行研讨、分析。最后按照服务对象进行资金下达。</w:t>
      </w:r>
    </w:p>
    <w:p>
      <w:pPr>
        <w:numPr>
          <w:ilvl w:val="0"/>
          <w:numId w:val="6"/>
        </w:num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目标设置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前期项目单位已设置了明确、量化的绩效目标，但其部分绩效指标的设置过于笼统不够细化，经评价小组与叶城县绩效第三方进行咨询商议，将原有的绩效目标和绩效指标根据项目实际开展情况进一步细化，将绩效目标细分，精准设置绩效指标及准确指标值的表述，因此该项目绩效评价指标体系可明确反映项目目标，项目绩效评价指标体系分为 2类指标，其中：共性指标数量为6个，项目共性指标包括目标内容、决策依据、决策程序、预算管理、资金到位、财务管理、组织机构、制度建设、过程控制；个性指标包括该项目的数量指标、质量指标、时效指标、成本指标、社会效益指标、可持续影响指标以及满意度指标等，共计9个。</w:t>
      </w:r>
    </w:p>
    <w:p>
      <w:pPr>
        <w:pStyle w:val="20"/>
        <w:numPr>
          <w:ilvl w:val="0"/>
          <w:numId w:val="5"/>
        </w:numPr>
        <w:spacing w:line="56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numPr>
          <w:ilvl w:val="0"/>
          <w:numId w:val="7"/>
        </w:num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资金管理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我站根据《基本公共卫生服务补助资金</w:t>
      </w:r>
      <w:r>
        <w:rPr>
          <w:rFonts w:hint="eastAsia" w:ascii="仿宋_GB2312" w:hAnsi="仿宋" w:eastAsia="仿宋_GB2312" w:cs="Times New Roman"/>
          <w:spacing w:val="-2"/>
          <w:sz w:val="36"/>
          <w:szCs w:val="36"/>
        </w:rPr>
        <w:t>-</w:t>
      </w:r>
      <w:r>
        <w:rPr>
          <w:rFonts w:hint="eastAsia" w:ascii="仿宋_GB2312" w:hAnsi="仿宋" w:eastAsia="仿宋_GB2312" w:cs="宋体"/>
          <w:sz w:val="32"/>
          <w:szCs w:val="32"/>
        </w:rPr>
        <w:t>国家免费孕前优生健康检查项目资金管理办法》，按照财政部、国家卫生健康委员会、国家医疗保障局、</w:t>
      </w:r>
      <w:r>
        <w:rPr>
          <w:rFonts w:hint="eastAsia" w:ascii="仿宋_GB2312" w:hAnsi="仿宋" w:eastAsia="仿宋_GB2312" w:cs="宋体"/>
          <w:sz w:val="32"/>
          <w:szCs w:val="32"/>
          <w:lang w:eastAsia="zh-CN"/>
        </w:rPr>
        <w:t>国家中医药管理局</w:t>
      </w:r>
      <w:r>
        <w:rPr>
          <w:rFonts w:hint="eastAsia" w:ascii="仿宋_GB2312" w:hAnsi="仿宋" w:eastAsia="仿宋_GB2312" w:cs="宋体"/>
          <w:sz w:val="32"/>
          <w:szCs w:val="32"/>
        </w:rPr>
        <w:t>财社【2019】113号文件进行支付，实行实施一个项目，支付一笔资金、报账一笔资金，资金跟着项目走，项目跟着需求走。资金按时到位，到位率100%。项目资金到位保证足额及时，及时支付。符合国家法规和财务管理制度；坚决保证资金拨付流程合理合规，有完整的审批程序和手续，不存在截留、挤占、挪用、虚列支出等情况。</w:t>
      </w:r>
    </w:p>
    <w:p>
      <w:pPr>
        <w:pStyle w:val="24"/>
        <w:keepNext w:val="0"/>
        <w:keepLines w:val="0"/>
        <w:spacing w:line="560" w:lineRule="exact"/>
        <w:ind w:firstLine="640"/>
        <w:rPr>
          <w:rFonts w:ascii="仿宋_GB2312" w:hAnsi="仿宋" w:eastAsia="仿宋_GB2312" w:cs="宋体"/>
          <w:b w:val="0"/>
          <w:bCs w:val="0"/>
          <w:kern w:val="2"/>
        </w:rPr>
      </w:pPr>
      <w:r>
        <w:rPr>
          <w:rFonts w:hint="eastAsia" w:ascii="仿宋_GB2312" w:hAnsi="仿宋" w:eastAsia="仿宋_GB2312" w:cs="宋体"/>
          <w:b w:val="0"/>
          <w:bCs w:val="0"/>
          <w:kern w:val="2"/>
        </w:rPr>
        <w:t>（2）组织实施</w:t>
      </w:r>
    </w:p>
    <w:p>
      <w:pPr>
        <w:pStyle w:val="24"/>
        <w:keepNext w:val="0"/>
        <w:keepLines w:val="0"/>
        <w:spacing w:line="560" w:lineRule="exact"/>
        <w:ind w:firstLine="640"/>
        <w:rPr>
          <w:rFonts w:ascii="仿宋_GB2312" w:hAnsi="仿宋" w:eastAsia="仿宋_GB2312" w:cs="宋体"/>
          <w:b w:val="0"/>
          <w:bCs w:val="0"/>
          <w:kern w:val="2"/>
        </w:rPr>
      </w:pPr>
      <w:r>
        <w:rPr>
          <w:rFonts w:hint="eastAsia" w:ascii="仿宋_GB2312" w:hAnsi="仿宋" w:eastAsia="仿宋_GB2312" w:cs="宋体"/>
          <w:b w:val="0"/>
          <w:bCs w:val="0"/>
          <w:kern w:val="2"/>
        </w:rPr>
        <w:t>1、我站在项目管理上总体情况较好。该项目预算资金安排14.58万元，项目实际使用资金14.58万元，资金按照规定制度及时支付到位。为保证资金的高效、合规使用。我站制定并依据项目实施方案，有效促进了法官绩效工资项目资金支出管理工作。</w:t>
      </w:r>
    </w:p>
    <w:p>
      <w:pPr>
        <w:pStyle w:val="24"/>
        <w:keepNext w:val="0"/>
        <w:keepLines w:val="0"/>
        <w:spacing w:line="560" w:lineRule="exact"/>
        <w:ind w:firstLine="640"/>
        <w:rPr>
          <w:rFonts w:ascii="仿宋_GB2312" w:hAnsi="仿宋" w:eastAsia="仿宋_GB2312" w:cs="宋体"/>
          <w:b w:val="0"/>
          <w:bCs w:val="0"/>
          <w:kern w:val="2"/>
        </w:rPr>
      </w:pPr>
      <w:r>
        <w:rPr>
          <w:rFonts w:hint="eastAsia" w:ascii="仿宋_GB2312" w:hAnsi="仿宋" w:eastAsia="仿宋_GB2312" w:cs="宋体"/>
          <w:b w:val="0"/>
          <w:bCs w:val="0"/>
          <w:kern w:val="2"/>
        </w:rPr>
        <w:t>2.从制度建设看：制定了相应的管理制度。</w:t>
      </w:r>
    </w:p>
    <w:p>
      <w:pPr>
        <w:pStyle w:val="24"/>
        <w:keepNext w:val="0"/>
        <w:keepLines w:val="0"/>
        <w:spacing w:line="560" w:lineRule="exact"/>
        <w:ind w:firstLine="640"/>
        <w:rPr>
          <w:rFonts w:ascii="仿宋_GB2312" w:hAnsi="仿宋" w:eastAsia="仿宋_GB2312" w:cs="宋体"/>
          <w:b w:val="0"/>
          <w:bCs w:val="0"/>
          <w:kern w:val="2"/>
        </w:rPr>
      </w:pPr>
      <w:r>
        <w:rPr>
          <w:rFonts w:hint="eastAsia" w:ascii="仿宋_GB2312" w:hAnsi="仿宋" w:eastAsia="仿宋_GB2312" w:cs="宋体"/>
          <w:b w:val="0"/>
          <w:bCs w:val="0"/>
          <w:kern w:val="2"/>
        </w:rPr>
        <w:t>3.从过程控制部分看：严格按照资金支出的管理办法，对审批过程和流程进行了统一和规范，确保项目高质量完成。</w:t>
      </w:r>
    </w:p>
    <w:p>
      <w:pPr>
        <w:pStyle w:val="20"/>
        <w:numPr>
          <w:ilvl w:val="0"/>
          <w:numId w:val="5"/>
        </w:numPr>
        <w:spacing w:line="56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pStyle w:val="24"/>
        <w:keepNext w:val="0"/>
        <w:keepLines w:val="0"/>
        <w:spacing w:line="560" w:lineRule="exact"/>
        <w:ind w:firstLine="640"/>
        <w:rPr>
          <w:rFonts w:ascii="仿宋_GB2312" w:hAnsi="仿宋" w:eastAsia="仿宋_GB2312" w:cs="宋体"/>
          <w:b w:val="0"/>
          <w:bCs w:val="0"/>
          <w:kern w:val="2"/>
        </w:rPr>
      </w:pPr>
      <w:r>
        <w:rPr>
          <w:rFonts w:hint="eastAsia" w:ascii="仿宋_GB2312" w:hAnsi="仿宋" w:eastAsia="仿宋_GB2312" w:cs="宋体"/>
          <w:b w:val="0"/>
          <w:bCs w:val="0"/>
          <w:kern w:val="2"/>
        </w:rPr>
        <w:t>本年对607对符合政策计划怀孕的农村夫妇，按照每对240元补助标准进行补助，接受孕前优生健康检查人群覆盖率达98%，项目完成及时，达到预期目标。</w:t>
      </w:r>
    </w:p>
    <w:tbl>
      <w:tblPr>
        <w:tblStyle w:val="13"/>
        <w:tblW w:w="8342" w:type="dxa"/>
        <w:tblInd w:w="0" w:type="dxa"/>
        <w:tblLayout w:type="fixed"/>
        <w:tblCellMar>
          <w:top w:w="0" w:type="dxa"/>
          <w:left w:w="0" w:type="dxa"/>
          <w:bottom w:w="0" w:type="dxa"/>
          <w:right w:w="0" w:type="dxa"/>
        </w:tblCellMar>
      </w:tblPr>
      <w:tblGrid>
        <w:gridCol w:w="1057"/>
        <w:gridCol w:w="896"/>
        <w:gridCol w:w="3569"/>
        <w:gridCol w:w="1410"/>
        <w:gridCol w:w="1410"/>
      </w:tblGrid>
      <w:tr>
        <w:tblPrEx>
          <w:tblCellMar>
            <w:top w:w="0" w:type="dxa"/>
            <w:left w:w="0" w:type="dxa"/>
            <w:bottom w:w="0" w:type="dxa"/>
            <w:right w:w="0" w:type="dxa"/>
          </w:tblCellMar>
        </w:tblPrEx>
        <w:trPr>
          <w:trHeight w:val="499" w:hRule="atLeast"/>
        </w:trPr>
        <w:tc>
          <w:tcPr>
            <w:tcW w:w="10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一级指标</w:t>
            </w:r>
          </w:p>
        </w:tc>
        <w:tc>
          <w:tcPr>
            <w:tcW w:w="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二级指标</w:t>
            </w:r>
          </w:p>
        </w:tc>
        <w:tc>
          <w:tcPr>
            <w:tcW w:w="35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14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CellMar>
            <w:top w:w="0" w:type="dxa"/>
            <w:left w:w="0" w:type="dxa"/>
            <w:bottom w:w="0" w:type="dxa"/>
            <w:right w:w="0" w:type="dxa"/>
          </w:tblCellMar>
        </w:tblPrEx>
        <w:trPr>
          <w:trHeight w:val="499" w:hRule="atLeast"/>
        </w:trPr>
        <w:tc>
          <w:tcPr>
            <w:tcW w:w="10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产出指标</w:t>
            </w:r>
          </w:p>
        </w:tc>
        <w:tc>
          <w:tcPr>
            <w:tcW w:w="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数量指标</w:t>
            </w:r>
          </w:p>
        </w:tc>
        <w:tc>
          <w:tcPr>
            <w:tcW w:w="35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进行健康检查计划怀孕的夫妻（对）</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607</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607</w:t>
            </w:r>
          </w:p>
        </w:tc>
      </w:tr>
      <w:tr>
        <w:tblPrEx>
          <w:tblCellMar>
            <w:top w:w="0" w:type="dxa"/>
            <w:left w:w="0" w:type="dxa"/>
            <w:bottom w:w="0" w:type="dxa"/>
            <w:right w:w="0" w:type="dxa"/>
          </w:tblCellMar>
        </w:tblPrEx>
        <w:trPr>
          <w:trHeight w:val="499" w:hRule="atLeast"/>
        </w:trPr>
        <w:tc>
          <w:tcPr>
            <w:tcW w:w="10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质量指标</w:t>
            </w:r>
          </w:p>
        </w:tc>
        <w:tc>
          <w:tcPr>
            <w:tcW w:w="35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接受孕前优生健康检查人群覆盖率（%）</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≥98%</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98%</w:t>
            </w:r>
          </w:p>
        </w:tc>
      </w:tr>
      <w:tr>
        <w:tblPrEx>
          <w:tblCellMar>
            <w:top w:w="0" w:type="dxa"/>
            <w:left w:w="0" w:type="dxa"/>
            <w:bottom w:w="0" w:type="dxa"/>
            <w:right w:w="0" w:type="dxa"/>
          </w:tblCellMar>
        </w:tblPrEx>
        <w:trPr>
          <w:trHeight w:val="499" w:hRule="atLeast"/>
        </w:trPr>
        <w:tc>
          <w:tcPr>
            <w:tcW w:w="10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9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时效指标</w:t>
            </w:r>
          </w:p>
        </w:tc>
        <w:tc>
          <w:tcPr>
            <w:tcW w:w="35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项目完成及时率（%）</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r>
      <w:tr>
        <w:tblPrEx>
          <w:tblCellMar>
            <w:top w:w="0" w:type="dxa"/>
            <w:left w:w="0" w:type="dxa"/>
            <w:bottom w:w="0" w:type="dxa"/>
            <w:right w:w="0" w:type="dxa"/>
          </w:tblCellMar>
        </w:tblPrEx>
        <w:trPr>
          <w:trHeight w:val="499" w:hRule="atLeast"/>
        </w:trPr>
        <w:tc>
          <w:tcPr>
            <w:tcW w:w="10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9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成本指标</w:t>
            </w:r>
          </w:p>
        </w:tc>
        <w:tc>
          <w:tcPr>
            <w:tcW w:w="35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国家承担每对夫妇的资金标准（元/对）</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240</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240</w:t>
            </w:r>
          </w:p>
        </w:tc>
      </w:tr>
    </w:tbl>
    <w:p>
      <w:pPr>
        <w:pStyle w:val="24"/>
        <w:keepNext w:val="0"/>
        <w:keepLines w:val="0"/>
        <w:spacing w:line="560" w:lineRule="exact"/>
        <w:ind w:firstLine="0" w:firstLineChars="0"/>
        <w:rPr>
          <w:rFonts w:ascii="仿宋_GB2312" w:hAnsi="仿宋" w:eastAsia="仿宋_GB2312" w:cs="宋体"/>
          <w:b w:val="0"/>
          <w:bCs w:val="0"/>
          <w:kern w:val="2"/>
        </w:rPr>
      </w:pPr>
    </w:p>
    <w:p>
      <w:pPr>
        <w:pStyle w:val="20"/>
        <w:numPr>
          <w:ilvl w:val="0"/>
          <w:numId w:val="5"/>
        </w:numPr>
        <w:spacing w:line="56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pStyle w:val="24"/>
        <w:keepNext w:val="0"/>
        <w:keepLines w:val="0"/>
        <w:spacing w:line="560" w:lineRule="exact"/>
        <w:ind w:firstLine="640"/>
        <w:rPr>
          <w:rFonts w:ascii="仿宋_GB2312" w:hAnsi="仿宋" w:eastAsia="仿宋_GB2312" w:cs="宋体"/>
          <w:b w:val="0"/>
          <w:bCs w:val="0"/>
          <w:kern w:val="2"/>
        </w:rPr>
      </w:pPr>
      <w:r>
        <w:rPr>
          <w:rFonts w:hint="eastAsia" w:ascii="仿宋_GB2312" w:hAnsi="仿宋" w:eastAsia="仿宋_GB2312" w:cs="宋体"/>
          <w:b w:val="0"/>
          <w:bCs w:val="0"/>
          <w:kern w:val="2"/>
        </w:rPr>
        <w:t>本项目实施产生的社会效益指标为杜绝病患儿的出生，使社会和家庭更和谐，覆盖率95%，预期指标值为95%，实际完成值为90%，部分达到预期目标，原因系宣传力度不到位,改进措施;加强宣传力度，提高农民风险防范意识，进一步降低不良生育结局风险。</w:t>
      </w:r>
    </w:p>
    <w:tbl>
      <w:tblPr>
        <w:tblStyle w:val="13"/>
        <w:tblW w:w="8342" w:type="dxa"/>
        <w:tblInd w:w="0" w:type="dxa"/>
        <w:tblLayout w:type="fixed"/>
        <w:tblCellMar>
          <w:top w:w="0" w:type="dxa"/>
          <w:left w:w="0" w:type="dxa"/>
          <w:bottom w:w="0" w:type="dxa"/>
          <w:right w:w="0" w:type="dxa"/>
        </w:tblCellMar>
      </w:tblPr>
      <w:tblGrid>
        <w:gridCol w:w="1057"/>
        <w:gridCol w:w="896"/>
        <w:gridCol w:w="3569"/>
        <w:gridCol w:w="1410"/>
        <w:gridCol w:w="1410"/>
      </w:tblGrid>
      <w:tr>
        <w:tblPrEx>
          <w:tblCellMar>
            <w:top w:w="0" w:type="dxa"/>
            <w:left w:w="0" w:type="dxa"/>
            <w:bottom w:w="0" w:type="dxa"/>
            <w:right w:w="0" w:type="dxa"/>
          </w:tblCellMar>
        </w:tblPrEx>
        <w:trPr>
          <w:trHeight w:val="499" w:hRule="atLeast"/>
        </w:trPr>
        <w:tc>
          <w:tcPr>
            <w:tcW w:w="10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一级指标</w:t>
            </w:r>
          </w:p>
        </w:tc>
        <w:tc>
          <w:tcPr>
            <w:tcW w:w="89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二级指标</w:t>
            </w:r>
          </w:p>
        </w:tc>
        <w:tc>
          <w:tcPr>
            <w:tcW w:w="35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CellMar>
            <w:top w:w="0" w:type="dxa"/>
            <w:left w:w="0" w:type="dxa"/>
            <w:bottom w:w="0" w:type="dxa"/>
            <w:right w:w="0" w:type="dxa"/>
          </w:tblCellMar>
        </w:tblPrEx>
        <w:trPr>
          <w:trHeight w:val="499" w:hRule="atLeast"/>
        </w:trPr>
        <w:tc>
          <w:tcPr>
            <w:tcW w:w="10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效益指标</w:t>
            </w:r>
          </w:p>
        </w:tc>
        <w:tc>
          <w:tcPr>
            <w:tcW w:w="89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经济效益指标</w:t>
            </w:r>
          </w:p>
        </w:tc>
        <w:tc>
          <w:tcPr>
            <w:tcW w:w="35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8"/>
                <w:szCs w:val="18"/>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r>
      <w:tr>
        <w:tblPrEx>
          <w:tblCellMar>
            <w:top w:w="0" w:type="dxa"/>
            <w:left w:w="0" w:type="dxa"/>
            <w:bottom w:w="0" w:type="dxa"/>
            <w:right w:w="0" w:type="dxa"/>
          </w:tblCellMar>
        </w:tblPrEx>
        <w:trPr>
          <w:trHeight w:val="495" w:hRule="atLeast"/>
        </w:trPr>
        <w:tc>
          <w:tcPr>
            <w:tcW w:w="10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9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社会效益指标</w:t>
            </w:r>
          </w:p>
        </w:tc>
        <w:tc>
          <w:tcPr>
            <w:tcW w:w="35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杜绝病患儿的出生，使社会和家庭更和谐，覆盖率（%）</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95%</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90%</w:t>
            </w:r>
          </w:p>
        </w:tc>
      </w:tr>
      <w:tr>
        <w:tblPrEx>
          <w:tblCellMar>
            <w:top w:w="0" w:type="dxa"/>
            <w:left w:w="0" w:type="dxa"/>
            <w:bottom w:w="0" w:type="dxa"/>
            <w:right w:w="0" w:type="dxa"/>
          </w:tblCellMar>
        </w:tblPrEx>
        <w:trPr>
          <w:trHeight w:val="499" w:hRule="atLeast"/>
        </w:trPr>
        <w:tc>
          <w:tcPr>
            <w:tcW w:w="10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9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生态效益指标</w:t>
            </w:r>
          </w:p>
        </w:tc>
        <w:tc>
          <w:tcPr>
            <w:tcW w:w="35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8"/>
                <w:szCs w:val="18"/>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r>
      <w:tr>
        <w:tblPrEx>
          <w:tblCellMar>
            <w:top w:w="0" w:type="dxa"/>
            <w:left w:w="0" w:type="dxa"/>
            <w:bottom w:w="0" w:type="dxa"/>
            <w:right w:w="0" w:type="dxa"/>
          </w:tblCellMar>
        </w:tblPrEx>
        <w:trPr>
          <w:trHeight w:val="499" w:hRule="atLeast"/>
        </w:trPr>
        <w:tc>
          <w:tcPr>
            <w:tcW w:w="10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可持续影响指标</w:t>
            </w:r>
          </w:p>
        </w:tc>
        <w:tc>
          <w:tcPr>
            <w:tcW w:w="35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该项目持续影响时间</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长期</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80%</w:t>
            </w:r>
          </w:p>
        </w:tc>
      </w:tr>
      <w:tr>
        <w:tblPrEx>
          <w:tblCellMar>
            <w:top w:w="0" w:type="dxa"/>
            <w:left w:w="0" w:type="dxa"/>
            <w:bottom w:w="0" w:type="dxa"/>
            <w:right w:w="0" w:type="dxa"/>
          </w:tblCellMar>
        </w:tblPrEx>
        <w:trPr>
          <w:trHeight w:val="499" w:hRule="atLeast"/>
        </w:trPr>
        <w:tc>
          <w:tcPr>
            <w:tcW w:w="105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满意度指标</w:t>
            </w:r>
          </w:p>
        </w:tc>
        <w:tc>
          <w:tcPr>
            <w:tcW w:w="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服务对象满意度指标</w:t>
            </w:r>
          </w:p>
        </w:tc>
        <w:tc>
          <w:tcPr>
            <w:tcW w:w="35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群众满意度（%）</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≥95%</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95%</w:t>
            </w:r>
          </w:p>
        </w:tc>
      </w:tr>
    </w:tbl>
    <w:p>
      <w:pPr>
        <w:pStyle w:val="24"/>
        <w:keepNext w:val="0"/>
        <w:keepLines w:val="0"/>
        <w:spacing w:line="560" w:lineRule="exact"/>
        <w:ind w:firstLine="0" w:firstLineChars="0"/>
        <w:rPr>
          <w:rFonts w:ascii="仿宋_GB2312" w:hAnsi="仿宋" w:eastAsia="仿宋_GB2312" w:cs="宋体"/>
          <w:b w:val="0"/>
          <w:bCs w:val="0"/>
          <w:kern w:val="2"/>
        </w:rPr>
      </w:pPr>
    </w:p>
    <w:p>
      <w:pPr>
        <w:pStyle w:val="24"/>
        <w:keepNext w:val="0"/>
        <w:keepLines w:val="0"/>
        <w:spacing w:line="560" w:lineRule="exact"/>
        <w:ind w:firstLine="643"/>
      </w:pPr>
      <w:r>
        <w:rPr>
          <w:rFonts w:hint="eastAsia" w:ascii="黑体" w:hAnsi="黑体"/>
        </w:rPr>
        <w:t>五、主要经验及做法、存在的问题及原因分析</w:t>
      </w:r>
    </w:p>
    <w:p>
      <w:pPr>
        <w:pStyle w:val="26"/>
        <w:keepNext w:val="0"/>
        <w:keepLines w:val="0"/>
        <w:numPr>
          <w:ilvl w:val="0"/>
          <w:numId w:val="8"/>
        </w:numPr>
        <w:spacing w:line="560" w:lineRule="exact"/>
        <w:ind w:left="0" w:firstLine="643" w:firstLineChars="200"/>
      </w:pPr>
      <w:r>
        <w:rPr>
          <w:rFonts w:hint="eastAsia"/>
        </w:rPr>
        <w:t>主要经验及做法</w:t>
      </w:r>
    </w:p>
    <w:p>
      <w:pPr>
        <w:pStyle w:val="24"/>
        <w:keepNext w:val="0"/>
        <w:keepLines w:val="0"/>
        <w:spacing w:line="560" w:lineRule="exact"/>
        <w:ind w:firstLine="640"/>
        <w:rPr>
          <w:rFonts w:ascii="仿宋_GB2312" w:hAnsi="仿宋" w:eastAsia="仿宋_GB2312" w:cs="宋体"/>
          <w:b w:val="0"/>
          <w:bCs w:val="0"/>
          <w:kern w:val="2"/>
        </w:rPr>
      </w:pPr>
      <w:r>
        <w:rPr>
          <w:rFonts w:hint="eastAsia" w:ascii="仿宋_GB2312" w:hAnsi="仿宋" w:eastAsia="仿宋_GB2312" w:cs="宋体"/>
          <w:b w:val="0"/>
          <w:bCs w:val="0"/>
          <w:kern w:val="2"/>
        </w:rPr>
        <w:t>通过预算绩效管理，总结了工作中较好的经验，如：做好资金计划，按时拨付资金，通过深化预算绩效管理，调整结余资金存量结构，让有限的资金发挥最大的效益。</w:t>
      </w:r>
    </w:p>
    <w:p>
      <w:pPr>
        <w:pStyle w:val="26"/>
        <w:keepNext w:val="0"/>
        <w:keepLines w:val="0"/>
        <w:numPr>
          <w:ilvl w:val="0"/>
          <w:numId w:val="0"/>
        </w:numPr>
        <w:spacing w:line="560" w:lineRule="exact"/>
        <w:ind w:firstLine="643" w:firstLineChars="200"/>
        <w:rPr>
          <w:rFonts w:ascii="黑体" w:hAnsi="黑体" w:eastAsia="黑体" w:cs="宋体"/>
          <w:bCs w:val="0"/>
        </w:rPr>
      </w:pPr>
      <w:r>
        <w:rPr>
          <w:rFonts w:hint="eastAsia"/>
        </w:rPr>
        <w:t>（二）存在的问题及原因分析</w:t>
      </w:r>
    </w:p>
    <w:p>
      <w:pPr>
        <w:pStyle w:val="24"/>
        <w:keepNext w:val="0"/>
        <w:keepLines w:val="0"/>
        <w:spacing w:line="560" w:lineRule="exact"/>
        <w:ind w:firstLine="640"/>
        <w:rPr>
          <w:rFonts w:ascii="仿宋_GB2312" w:hAnsi="仿宋" w:eastAsia="仿宋_GB2312" w:cs="宋体"/>
          <w:b w:val="0"/>
          <w:bCs w:val="0"/>
          <w:kern w:val="2"/>
        </w:rPr>
      </w:pPr>
      <w:r>
        <w:rPr>
          <w:rFonts w:hint="eastAsia" w:ascii="仿宋_GB2312" w:hAnsi="仿宋" w:eastAsia="仿宋_GB2312" w:cs="宋体"/>
          <w:b w:val="0"/>
          <w:bCs w:val="0"/>
          <w:kern w:val="2"/>
        </w:rPr>
        <w:t>资金下达时间问题，资金下达最好在年初，可以更好的计划利用。如在下半年下达，可能造成部分资金跨年使用。</w:t>
      </w:r>
    </w:p>
    <w:p>
      <w:pPr>
        <w:pStyle w:val="26"/>
        <w:keepNext w:val="0"/>
        <w:keepLines w:val="0"/>
        <w:numPr>
          <w:ilvl w:val="0"/>
          <w:numId w:val="0"/>
        </w:numPr>
        <w:spacing w:line="560" w:lineRule="exact"/>
        <w:ind w:firstLine="643" w:firstLineChars="200"/>
        <w:rPr>
          <w:rFonts w:hAnsi="仿宋" w:cs="宋体"/>
          <w:b w:val="0"/>
          <w:bCs w:val="0"/>
        </w:rPr>
      </w:pPr>
      <w:r>
        <w:rPr>
          <w:rFonts w:hint="eastAsia" w:ascii="黑体" w:hAnsi="黑体" w:eastAsia="黑体"/>
          <w:kern w:val="44"/>
        </w:rPr>
        <w:t>六、有关建议</w:t>
      </w:r>
    </w:p>
    <w:p>
      <w:pPr>
        <w:pStyle w:val="24"/>
        <w:keepNext w:val="0"/>
        <w:keepLines w:val="0"/>
        <w:spacing w:line="560" w:lineRule="exact"/>
        <w:ind w:firstLine="640"/>
        <w:rPr>
          <w:rFonts w:ascii="仿宋_GB2312" w:hAnsi="仿宋" w:eastAsia="仿宋_GB2312" w:cs="宋体"/>
          <w:b w:val="0"/>
          <w:bCs w:val="0"/>
          <w:kern w:val="2"/>
        </w:rPr>
      </w:pPr>
      <w:r>
        <w:rPr>
          <w:rFonts w:hint="eastAsia" w:ascii="仿宋_GB2312" w:hAnsi="仿宋" w:eastAsia="仿宋_GB2312" w:cs="宋体"/>
          <w:b w:val="0"/>
          <w:bCs w:val="0"/>
          <w:kern w:val="2"/>
        </w:rPr>
        <w:t>及时尽早拨付各项资金。</w:t>
      </w:r>
    </w:p>
    <w:p>
      <w:pPr>
        <w:pStyle w:val="26"/>
        <w:keepNext w:val="0"/>
        <w:keepLines w:val="0"/>
        <w:numPr>
          <w:ilvl w:val="0"/>
          <w:numId w:val="0"/>
        </w:numPr>
        <w:spacing w:line="560" w:lineRule="exact"/>
        <w:ind w:firstLine="643" w:firstLineChars="200"/>
        <w:rPr>
          <w:rFonts w:ascii="黑体" w:hAnsi="黑体" w:eastAsia="黑体"/>
          <w:kern w:val="44"/>
        </w:rPr>
      </w:pPr>
      <w:r>
        <w:rPr>
          <w:rFonts w:hint="eastAsia" w:ascii="黑体" w:hAnsi="黑体" w:eastAsia="黑体"/>
          <w:kern w:val="44"/>
        </w:rPr>
        <w:t>七、其他需要说明的问题</w:t>
      </w:r>
    </w:p>
    <w:p>
      <w:pPr>
        <w:pStyle w:val="24"/>
        <w:keepNext w:val="0"/>
        <w:keepLines w:val="0"/>
        <w:spacing w:line="560" w:lineRule="exact"/>
        <w:ind w:firstLine="640"/>
        <w:rPr>
          <w:rFonts w:ascii="仿宋_GB2312" w:hAnsi="仿宋" w:eastAsia="仿宋_GB2312" w:cs="宋体"/>
          <w:b w:val="0"/>
          <w:bCs w:val="0"/>
          <w:kern w:val="2"/>
        </w:rPr>
      </w:pPr>
      <w:r>
        <w:rPr>
          <w:rFonts w:hint="eastAsia" w:ascii="仿宋_GB2312" w:hAnsi="仿宋" w:eastAsia="仿宋_GB2312" w:cs="宋体"/>
          <w:b w:val="0"/>
          <w:bCs w:val="0"/>
          <w:kern w:val="2"/>
        </w:rPr>
        <w:t>无其他需要说明情况。</w:t>
      </w:r>
    </w:p>
    <w:p>
      <w:pPr>
        <w:spacing w:line="560" w:lineRule="exact"/>
        <w:ind w:firstLine="640" w:firstLineChars="200"/>
        <w:rPr>
          <w:rFonts w:ascii="仿宋_GB2312" w:hAnsi="仿宋" w:eastAsia="仿宋_GB2312" w:cs="宋体"/>
          <w:sz w:val="32"/>
          <w:szCs w:val="32"/>
        </w:rPr>
      </w:pPr>
    </w:p>
    <w:p>
      <w:pPr>
        <w:spacing w:line="560" w:lineRule="exact"/>
        <w:ind w:firstLine="640" w:firstLineChars="200"/>
        <w:rPr>
          <w:rFonts w:ascii="仿宋_GB2312" w:hAnsi="仿宋" w:eastAsia="仿宋_GB2312" w:cs="宋体"/>
          <w:sz w:val="32"/>
          <w:szCs w:val="32"/>
        </w:rPr>
      </w:pP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附件1：喀什地区我站基本公共卫生公用经费项目支出绩效目标申报表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附件2：喀什地区XX单位XX项目支出绩效自评表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附件3：喀什地区XX部门XX项目支出绩效评价指标体系</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F5D7B307"/>
    <w:multiLevelType w:val="singleLevel"/>
    <w:tmpl w:val="F5D7B307"/>
    <w:lvl w:ilvl="0" w:tentative="0">
      <w:start w:val="1"/>
      <w:numFmt w:val="decimal"/>
      <w:suff w:val="nothing"/>
      <w:lvlText w:val="（%1）"/>
      <w:lvlJc w:val="left"/>
    </w:lvl>
  </w:abstractNum>
  <w:abstractNum w:abstractNumId="2">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3">
    <w:nsid w:val="3A7260C0"/>
    <w:multiLevelType w:val="multilevel"/>
    <w:tmpl w:val="3A7260C0"/>
    <w:lvl w:ilvl="0" w:tentative="0">
      <w:start w:val="1"/>
      <w:numFmt w:val="chineseCountingThousand"/>
      <w:pStyle w:val="2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F37299F"/>
    <w:multiLevelType w:val="multilevel"/>
    <w:tmpl w:val="4F37299F"/>
    <w:lvl w:ilvl="0" w:tentative="0">
      <w:start w:val="1"/>
      <w:numFmt w:val="chineseCountingThousand"/>
      <w:lvlText w:val="(%1)"/>
      <w:lvlJc w:val="left"/>
      <w:pPr>
        <w:ind w:left="1696"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3"/>
  </w:num>
  <w:num w:numId="2">
    <w:abstractNumId w:val="6"/>
  </w:num>
  <w:num w:numId="3">
    <w:abstractNumId w:val="4"/>
  </w:num>
  <w:num w:numId="4">
    <w:abstractNumId w:val="2"/>
  </w:num>
  <w:num w:numId="5">
    <w:abstractNumId w:val="5"/>
  </w:num>
  <w:num w:numId="6">
    <w:abstractNumId w:val="0"/>
  </w:num>
  <w:num w:numId="7">
    <w:abstractNumId w:val="1"/>
  </w:num>
  <w:num w:numId="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0"/>
  <w:drawingGridHorizontalSpacing w:val="21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11E8D"/>
    <w:rsid w:val="00022413"/>
    <w:rsid w:val="00037F93"/>
    <w:rsid w:val="00042126"/>
    <w:rsid w:val="00084AF1"/>
    <w:rsid w:val="00092487"/>
    <w:rsid w:val="000B2920"/>
    <w:rsid w:val="000B39D4"/>
    <w:rsid w:val="000E0C7B"/>
    <w:rsid w:val="000F2007"/>
    <w:rsid w:val="00100A64"/>
    <w:rsid w:val="00100AA9"/>
    <w:rsid w:val="001143D6"/>
    <w:rsid w:val="0012273A"/>
    <w:rsid w:val="00126D2E"/>
    <w:rsid w:val="0012798F"/>
    <w:rsid w:val="00132553"/>
    <w:rsid w:val="00151AF1"/>
    <w:rsid w:val="00156AB9"/>
    <w:rsid w:val="001578E3"/>
    <w:rsid w:val="00161D1C"/>
    <w:rsid w:val="00174F3A"/>
    <w:rsid w:val="0018169D"/>
    <w:rsid w:val="00193649"/>
    <w:rsid w:val="0019720C"/>
    <w:rsid w:val="001A176C"/>
    <w:rsid w:val="001A1902"/>
    <w:rsid w:val="001A4FFA"/>
    <w:rsid w:val="001B5B44"/>
    <w:rsid w:val="001C7BEF"/>
    <w:rsid w:val="001D3666"/>
    <w:rsid w:val="001D5FF2"/>
    <w:rsid w:val="001D6F2E"/>
    <w:rsid w:val="00203FB6"/>
    <w:rsid w:val="00206706"/>
    <w:rsid w:val="00213B0C"/>
    <w:rsid w:val="00233ECE"/>
    <w:rsid w:val="00257FE4"/>
    <w:rsid w:val="00266F0F"/>
    <w:rsid w:val="002A1BF4"/>
    <w:rsid w:val="002B3A72"/>
    <w:rsid w:val="002C6231"/>
    <w:rsid w:val="002D3D93"/>
    <w:rsid w:val="002E4E66"/>
    <w:rsid w:val="002F5AF0"/>
    <w:rsid w:val="002F7C2A"/>
    <w:rsid w:val="002F7CDC"/>
    <w:rsid w:val="00311658"/>
    <w:rsid w:val="00311EA2"/>
    <w:rsid w:val="0031645B"/>
    <w:rsid w:val="00324341"/>
    <w:rsid w:val="00324E56"/>
    <w:rsid w:val="00327D37"/>
    <w:rsid w:val="00327FAF"/>
    <w:rsid w:val="00331AF1"/>
    <w:rsid w:val="003468D7"/>
    <w:rsid w:val="00361119"/>
    <w:rsid w:val="00363373"/>
    <w:rsid w:val="00363E52"/>
    <w:rsid w:val="00382736"/>
    <w:rsid w:val="003859CF"/>
    <w:rsid w:val="003A04D1"/>
    <w:rsid w:val="003C327E"/>
    <w:rsid w:val="003C4B3D"/>
    <w:rsid w:val="003C5104"/>
    <w:rsid w:val="003C6E7F"/>
    <w:rsid w:val="003D1EA7"/>
    <w:rsid w:val="003E0E95"/>
    <w:rsid w:val="003E2FA0"/>
    <w:rsid w:val="003F1C70"/>
    <w:rsid w:val="003F2E47"/>
    <w:rsid w:val="004002E4"/>
    <w:rsid w:val="00403544"/>
    <w:rsid w:val="004115AA"/>
    <w:rsid w:val="00421244"/>
    <w:rsid w:val="00434C92"/>
    <w:rsid w:val="0044198D"/>
    <w:rsid w:val="00443C47"/>
    <w:rsid w:val="00452560"/>
    <w:rsid w:val="00460FA8"/>
    <w:rsid w:val="00462B48"/>
    <w:rsid w:val="004674CB"/>
    <w:rsid w:val="00467DBB"/>
    <w:rsid w:val="004A0587"/>
    <w:rsid w:val="004C1EB3"/>
    <w:rsid w:val="004C56AB"/>
    <w:rsid w:val="004D088E"/>
    <w:rsid w:val="004D1AE1"/>
    <w:rsid w:val="004D4F06"/>
    <w:rsid w:val="005149D4"/>
    <w:rsid w:val="00520FAC"/>
    <w:rsid w:val="005225F1"/>
    <w:rsid w:val="00531253"/>
    <w:rsid w:val="00540B36"/>
    <w:rsid w:val="00541705"/>
    <w:rsid w:val="00554384"/>
    <w:rsid w:val="00563E06"/>
    <w:rsid w:val="00571F34"/>
    <w:rsid w:val="0058554B"/>
    <w:rsid w:val="0059019B"/>
    <w:rsid w:val="005906B2"/>
    <w:rsid w:val="00590E20"/>
    <w:rsid w:val="00591B51"/>
    <w:rsid w:val="00596DDF"/>
    <w:rsid w:val="00597176"/>
    <w:rsid w:val="005B6EAB"/>
    <w:rsid w:val="005C11FB"/>
    <w:rsid w:val="005C17D4"/>
    <w:rsid w:val="005C43B1"/>
    <w:rsid w:val="005C74DF"/>
    <w:rsid w:val="005D7AC7"/>
    <w:rsid w:val="00617AAD"/>
    <w:rsid w:val="00630E69"/>
    <w:rsid w:val="006362B2"/>
    <w:rsid w:val="00652B72"/>
    <w:rsid w:val="0065420A"/>
    <w:rsid w:val="00673717"/>
    <w:rsid w:val="00680E48"/>
    <w:rsid w:val="00681357"/>
    <w:rsid w:val="006869EC"/>
    <w:rsid w:val="00694A44"/>
    <w:rsid w:val="006B49FA"/>
    <w:rsid w:val="006C69DA"/>
    <w:rsid w:val="006D0AA4"/>
    <w:rsid w:val="006D2144"/>
    <w:rsid w:val="006F2513"/>
    <w:rsid w:val="006F64CB"/>
    <w:rsid w:val="0070635A"/>
    <w:rsid w:val="0071759F"/>
    <w:rsid w:val="007253B3"/>
    <w:rsid w:val="00731D46"/>
    <w:rsid w:val="00734BAD"/>
    <w:rsid w:val="00744CAD"/>
    <w:rsid w:val="00752C57"/>
    <w:rsid w:val="00781733"/>
    <w:rsid w:val="00782F73"/>
    <w:rsid w:val="00785395"/>
    <w:rsid w:val="007A7EC6"/>
    <w:rsid w:val="007B2CE1"/>
    <w:rsid w:val="007C5CF9"/>
    <w:rsid w:val="007C7A56"/>
    <w:rsid w:val="007D340B"/>
    <w:rsid w:val="007E6392"/>
    <w:rsid w:val="007F3C25"/>
    <w:rsid w:val="00811F2D"/>
    <w:rsid w:val="00812FD4"/>
    <w:rsid w:val="00815938"/>
    <w:rsid w:val="008226BA"/>
    <w:rsid w:val="00824CBD"/>
    <w:rsid w:val="00827DA6"/>
    <w:rsid w:val="00835103"/>
    <w:rsid w:val="00843EC5"/>
    <w:rsid w:val="00854416"/>
    <w:rsid w:val="008556EE"/>
    <w:rsid w:val="008669F9"/>
    <w:rsid w:val="00866F54"/>
    <w:rsid w:val="00883FF2"/>
    <w:rsid w:val="0089293E"/>
    <w:rsid w:val="00893329"/>
    <w:rsid w:val="00893A4F"/>
    <w:rsid w:val="00893E6C"/>
    <w:rsid w:val="0089522A"/>
    <w:rsid w:val="008D2BDE"/>
    <w:rsid w:val="008D7BC7"/>
    <w:rsid w:val="0090104C"/>
    <w:rsid w:val="00925AD9"/>
    <w:rsid w:val="009449D3"/>
    <w:rsid w:val="00953C07"/>
    <w:rsid w:val="00956803"/>
    <w:rsid w:val="009658F5"/>
    <w:rsid w:val="009808BD"/>
    <w:rsid w:val="00981814"/>
    <w:rsid w:val="00982B10"/>
    <w:rsid w:val="009948F4"/>
    <w:rsid w:val="009A4C8B"/>
    <w:rsid w:val="009B091B"/>
    <w:rsid w:val="009B1741"/>
    <w:rsid w:val="009C0267"/>
    <w:rsid w:val="009E5354"/>
    <w:rsid w:val="00A04317"/>
    <w:rsid w:val="00A04333"/>
    <w:rsid w:val="00A05881"/>
    <w:rsid w:val="00A10F1E"/>
    <w:rsid w:val="00A12A0C"/>
    <w:rsid w:val="00A17796"/>
    <w:rsid w:val="00A365D5"/>
    <w:rsid w:val="00A41DB8"/>
    <w:rsid w:val="00A43094"/>
    <w:rsid w:val="00A5006A"/>
    <w:rsid w:val="00A53361"/>
    <w:rsid w:val="00A5786D"/>
    <w:rsid w:val="00A60191"/>
    <w:rsid w:val="00A6511B"/>
    <w:rsid w:val="00A8132E"/>
    <w:rsid w:val="00A81609"/>
    <w:rsid w:val="00A85237"/>
    <w:rsid w:val="00AB07C5"/>
    <w:rsid w:val="00AE1FDF"/>
    <w:rsid w:val="00AE3042"/>
    <w:rsid w:val="00AF5E4E"/>
    <w:rsid w:val="00B01135"/>
    <w:rsid w:val="00B0369B"/>
    <w:rsid w:val="00B03B29"/>
    <w:rsid w:val="00B16C8F"/>
    <w:rsid w:val="00B2219C"/>
    <w:rsid w:val="00B234E7"/>
    <w:rsid w:val="00B25FE6"/>
    <w:rsid w:val="00B32FA4"/>
    <w:rsid w:val="00B36F46"/>
    <w:rsid w:val="00B47B13"/>
    <w:rsid w:val="00B53BE4"/>
    <w:rsid w:val="00B6063F"/>
    <w:rsid w:val="00B9042A"/>
    <w:rsid w:val="00BA0855"/>
    <w:rsid w:val="00BA65AD"/>
    <w:rsid w:val="00BC1956"/>
    <w:rsid w:val="00BC7696"/>
    <w:rsid w:val="00BD0412"/>
    <w:rsid w:val="00BD10EC"/>
    <w:rsid w:val="00C00B30"/>
    <w:rsid w:val="00C06B4F"/>
    <w:rsid w:val="00C15ABC"/>
    <w:rsid w:val="00C258A4"/>
    <w:rsid w:val="00C2671D"/>
    <w:rsid w:val="00C563AA"/>
    <w:rsid w:val="00C6162F"/>
    <w:rsid w:val="00C71FF0"/>
    <w:rsid w:val="00C77259"/>
    <w:rsid w:val="00C8456B"/>
    <w:rsid w:val="00C91A8B"/>
    <w:rsid w:val="00C97E2D"/>
    <w:rsid w:val="00CA6616"/>
    <w:rsid w:val="00CE0A97"/>
    <w:rsid w:val="00CF1302"/>
    <w:rsid w:val="00CF4F1B"/>
    <w:rsid w:val="00D0211B"/>
    <w:rsid w:val="00D043D7"/>
    <w:rsid w:val="00D117FB"/>
    <w:rsid w:val="00D15336"/>
    <w:rsid w:val="00D23C2E"/>
    <w:rsid w:val="00D263EE"/>
    <w:rsid w:val="00D61C69"/>
    <w:rsid w:val="00D61EC8"/>
    <w:rsid w:val="00D62534"/>
    <w:rsid w:val="00D66BD7"/>
    <w:rsid w:val="00D80E9E"/>
    <w:rsid w:val="00D93516"/>
    <w:rsid w:val="00D960D0"/>
    <w:rsid w:val="00DA7F4C"/>
    <w:rsid w:val="00DC5F94"/>
    <w:rsid w:val="00DD1FB2"/>
    <w:rsid w:val="00DE152F"/>
    <w:rsid w:val="00DE293B"/>
    <w:rsid w:val="00E01186"/>
    <w:rsid w:val="00E05626"/>
    <w:rsid w:val="00E25B2F"/>
    <w:rsid w:val="00E373A5"/>
    <w:rsid w:val="00E47802"/>
    <w:rsid w:val="00E6190C"/>
    <w:rsid w:val="00E66A4D"/>
    <w:rsid w:val="00E72B1C"/>
    <w:rsid w:val="00E96169"/>
    <w:rsid w:val="00EB539F"/>
    <w:rsid w:val="00F0780F"/>
    <w:rsid w:val="00F0782D"/>
    <w:rsid w:val="00F16D54"/>
    <w:rsid w:val="00F1781A"/>
    <w:rsid w:val="00F31BCC"/>
    <w:rsid w:val="00F36766"/>
    <w:rsid w:val="00F42073"/>
    <w:rsid w:val="00F45369"/>
    <w:rsid w:val="00F6015C"/>
    <w:rsid w:val="00F75715"/>
    <w:rsid w:val="00F83A6B"/>
    <w:rsid w:val="00F91F6C"/>
    <w:rsid w:val="00FA16B1"/>
    <w:rsid w:val="00FB2E2F"/>
    <w:rsid w:val="00FC2F73"/>
    <w:rsid w:val="00FD300A"/>
    <w:rsid w:val="00FD62C0"/>
    <w:rsid w:val="00FE3867"/>
    <w:rsid w:val="00FF137F"/>
    <w:rsid w:val="00FF33BA"/>
    <w:rsid w:val="00FF6959"/>
    <w:rsid w:val="00FF6C14"/>
    <w:rsid w:val="01BE6316"/>
    <w:rsid w:val="07AE4845"/>
    <w:rsid w:val="09176339"/>
    <w:rsid w:val="13E1314C"/>
    <w:rsid w:val="1D6C53A5"/>
    <w:rsid w:val="217F35A7"/>
    <w:rsid w:val="24E73B1F"/>
    <w:rsid w:val="24F912B2"/>
    <w:rsid w:val="26F03C06"/>
    <w:rsid w:val="2A547683"/>
    <w:rsid w:val="306A4501"/>
    <w:rsid w:val="31C366C0"/>
    <w:rsid w:val="322E082D"/>
    <w:rsid w:val="33CA34B6"/>
    <w:rsid w:val="357177DF"/>
    <w:rsid w:val="424C1825"/>
    <w:rsid w:val="46C16BC4"/>
    <w:rsid w:val="509F44DE"/>
    <w:rsid w:val="55945462"/>
    <w:rsid w:val="57964064"/>
    <w:rsid w:val="5A2A5283"/>
    <w:rsid w:val="5A781A20"/>
    <w:rsid w:val="5F4E41A5"/>
    <w:rsid w:val="667765BF"/>
    <w:rsid w:val="68AC0EA3"/>
    <w:rsid w:val="7775238E"/>
    <w:rsid w:val="79034E89"/>
    <w:rsid w:val="7A8638D9"/>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3"/>
    <w:semiHidden/>
    <w:unhideWhenUsed/>
    <w:qFormat/>
    <w:uiPriority w:val="99"/>
    <w:rPr>
      <w:sz w:val="18"/>
      <w:szCs w:val="18"/>
    </w:rPr>
  </w:style>
  <w:style w:type="paragraph" w:styleId="8">
    <w:name w:val="footer"/>
    <w:basedOn w:val="1"/>
    <w:link w:val="22"/>
    <w:unhideWhenUsed/>
    <w:qFormat/>
    <w:uiPriority w:val="99"/>
    <w:pPr>
      <w:tabs>
        <w:tab w:val="center" w:pos="4153"/>
        <w:tab w:val="right" w:pos="8306"/>
      </w:tabs>
      <w:snapToGrid w:val="0"/>
      <w:jc w:val="left"/>
    </w:pPr>
    <w:rPr>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qFormat/>
    <w:uiPriority w:val="0"/>
    <w:rPr>
      <w:b/>
      <w:bCs/>
    </w:rPr>
  </w:style>
  <w:style w:type="character" w:styleId="17">
    <w:name w:val="Hyperlink"/>
    <w:basedOn w:val="15"/>
    <w:unhideWhenUsed/>
    <w:qFormat/>
    <w:uiPriority w:val="99"/>
    <w:rPr>
      <w:color w:val="0563C1" w:themeColor="hyperlink"/>
      <w:u w:val="single"/>
    </w:rPr>
  </w:style>
  <w:style w:type="character" w:styleId="18">
    <w:name w:val="annotation reference"/>
    <w:basedOn w:val="15"/>
    <w:semiHidden/>
    <w:unhideWhenUsed/>
    <w:qFormat/>
    <w:uiPriority w:val="99"/>
    <w:rPr>
      <w:sz w:val="21"/>
      <w:szCs w:val="21"/>
    </w:rPr>
  </w:style>
  <w:style w:type="character" w:customStyle="1" w:styleId="19">
    <w:name w:val="标题 1 Char"/>
    <w:basedOn w:val="15"/>
    <w:link w:val="2"/>
    <w:qFormat/>
    <w:uiPriority w:val="9"/>
    <w:rPr>
      <w:rFonts w:ascii="Times New Roman" w:hAnsi="Times New Roman" w:eastAsia="黑体" w:cs="Arial"/>
      <w:b/>
      <w:bCs/>
      <w:kern w:val="44"/>
      <w:sz w:val="28"/>
      <w:szCs w:val="44"/>
    </w:rPr>
  </w:style>
  <w:style w:type="paragraph" w:styleId="20">
    <w:name w:val="List Paragraph"/>
    <w:basedOn w:val="1"/>
    <w:qFormat/>
    <w:uiPriority w:val="34"/>
    <w:pPr>
      <w:ind w:firstLine="420" w:firstLineChars="200"/>
    </w:pPr>
  </w:style>
  <w:style w:type="character" w:customStyle="1" w:styleId="21">
    <w:name w:val="页眉 Char"/>
    <w:basedOn w:val="15"/>
    <w:link w:val="9"/>
    <w:qFormat/>
    <w:uiPriority w:val="99"/>
    <w:rPr>
      <w:sz w:val="18"/>
      <w:szCs w:val="18"/>
    </w:rPr>
  </w:style>
  <w:style w:type="character" w:customStyle="1" w:styleId="22">
    <w:name w:val="页脚 Char"/>
    <w:basedOn w:val="15"/>
    <w:link w:val="8"/>
    <w:qFormat/>
    <w:uiPriority w:val="99"/>
    <w:rPr>
      <w:sz w:val="18"/>
      <w:szCs w:val="18"/>
    </w:rPr>
  </w:style>
  <w:style w:type="character" w:customStyle="1" w:styleId="23">
    <w:name w:val="批注框文本 Char"/>
    <w:basedOn w:val="15"/>
    <w:link w:val="7"/>
    <w:semiHidden/>
    <w:qFormat/>
    <w:uiPriority w:val="99"/>
    <w:rPr>
      <w:sz w:val="18"/>
      <w:szCs w:val="18"/>
    </w:rPr>
  </w:style>
  <w:style w:type="paragraph" w:customStyle="1" w:styleId="24">
    <w:name w:val="标题1"/>
    <w:basedOn w:val="2"/>
    <w:qFormat/>
    <w:uiPriority w:val="0"/>
    <w:pPr>
      <w:spacing w:before="120" w:after="120" w:line="500" w:lineRule="exact"/>
      <w:ind w:firstLine="200" w:firstLineChars="200"/>
    </w:pPr>
    <w:rPr>
      <w:rFonts w:cs="Times New Roman"/>
      <w:sz w:val="32"/>
      <w:szCs w:val="32"/>
    </w:rPr>
  </w:style>
  <w:style w:type="character" w:customStyle="1" w:styleId="25">
    <w:name w:val="标题 2 Char"/>
    <w:basedOn w:val="15"/>
    <w:link w:val="3"/>
    <w:qFormat/>
    <w:uiPriority w:val="9"/>
    <w:rPr>
      <w:rFonts w:asciiTheme="majorHAnsi" w:hAnsiTheme="majorHAnsi" w:eastAsiaTheme="majorEastAsia" w:cstheme="majorBidi"/>
      <w:b/>
      <w:bCs/>
      <w:sz w:val="32"/>
      <w:szCs w:val="32"/>
    </w:rPr>
  </w:style>
  <w:style w:type="paragraph" w:customStyle="1" w:styleId="26">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8">
    <w:name w:val="闻政正文 Char"/>
    <w:link w:val="29"/>
    <w:qFormat/>
    <w:uiPriority w:val="0"/>
    <w:rPr>
      <w:rFonts w:ascii="Times New Roman" w:hAnsi="Times New Roman" w:eastAsia="仿宋_GB2312" w:cs="Times New Roman"/>
      <w:sz w:val="28"/>
      <w:szCs w:val="28"/>
    </w:rPr>
  </w:style>
  <w:style w:type="paragraph" w:customStyle="1" w:styleId="29">
    <w:name w:val="闻政正文"/>
    <w:basedOn w:val="1"/>
    <w:link w:val="28"/>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30">
    <w:name w:val="闻政表 Char"/>
    <w:link w:val="31"/>
    <w:qFormat/>
    <w:uiPriority w:val="0"/>
    <w:rPr>
      <w:rFonts w:ascii="Times New Roman" w:hAnsi="Times New Roman" w:eastAsia="仿宋_GB2312" w:cs="Times New Roman"/>
      <w:b/>
      <w:sz w:val="24"/>
      <w:szCs w:val="28"/>
    </w:rPr>
  </w:style>
  <w:style w:type="paragraph" w:customStyle="1" w:styleId="31">
    <w:name w:val="闻政表"/>
    <w:basedOn w:val="1"/>
    <w:link w:val="30"/>
    <w:qFormat/>
    <w:uiPriority w:val="0"/>
    <w:pPr>
      <w:spacing w:before="60" w:after="60"/>
      <w:jc w:val="center"/>
    </w:pPr>
    <w:rPr>
      <w:rFonts w:ascii="Times New Roman" w:hAnsi="Times New Roman" w:eastAsia="仿宋_GB2312" w:cs="Times New Roman"/>
      <w:b/>
      <w:sz w:val="24"/>
      <w:szCs w:val="28"/>
    </w:rPr>
  </w:style>
  <w:style w:type="paragraph" w:customStyle="1" w:styleId="32">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3">
    <w:name w:val="闻政标题3 Char"/>
    <w:link w:val="34"/>
    <w:qFormat/>
    <w:uiPriority w:val="0"/>
    <w:rPr>
      <w:rFonts w:ascii="黑体" w:hAnsi="黑体" w:eastAsia="黑体" w:cs="Times New Roman"/>
      <w:bCs/>
      <w:sz w:val="32"/>
      <w:szCs w:val="32"/>
    </w:rPr>
  </w:style>
  <w:style w:type="paragraph" w:customStyle="1" w:styleId="34">
    <w:name w:val="闻政标题3"/>
    <w:basedOn w:val="4"/>
    <w:link w:val="33"/>
    <w:qFormat/>
    <w:uiPriority w:val="99"/>
    <w:pPr>
      <w:spacing w:before="120" w:after="60" w:line="500" w:lineRule="exact"/>
      <w:jc w:val="left"/>
      <w:outlineLvl w:val="0"/>
    </w:pPr>
    <w:rPr>
      <w:rFonts w:ascii="黑体" w:hAnsi="黑体" w:eastAsia="黑体" w:cs="Times New Roman"/>
      <w:b w:val="0"/>
    </w:rPr>
  </w:style>
  <w:style w:type="character" w:customStyle="1" w:styleId="35">
    <w:name w:val="标题 3 Char"/>
    <w:basedOn w:val="15"/>
    <w:link w:val="4"/>
    <w:semiHidden/>
    <w:qFormat/>
    <w:uiPriority w:val="9"/>
    <w:rPr>
      <w:b/>
      <w:bCs/>
      <w:sz w:val="32"/>
      <w:szCs w:val="32"/>
    </w:rPr>
  </w:style>
  <w:style w:type="paragraph" w:customStyle="1" w:styleId="36">
    <w:name w:val="Body text|1"/>
    <w:basedOn w:val="1"/>
    <w:link w:val="37"/>
    <w:qFormat/>
    <w:uiPriority w:val="0"/>
    <w:pPr>
      <w:spacing w:after="40" w:line="334" w:lineRule="auto"/>
    </w:pPr>
    <w:rPr>
      <w:rFonts w:ascii="MingLiU" w:hAnsi="MingLiU" w:eastAsia="MingLiU" w:cs="MingLiU"/>
      <w:sz w:val="20"/>
      <w:szCs w:val="20"/>
      <w:lang w:val="zh-TW" w:eastAsia="zh-TW" w:bidi="zh-TW"/>
    </w:rPr>
  </w:style>
  <w:style w:type="character" w:customStyle="1" w:styleId="37">
    <w:name w:val="Body text|1_"/>
    <w:basedOn w:val="15"/>
    <w:link w:val="36"/>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B7F78D-7DF7-4A4C-AE14-924B7B96D4E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819</Words>
  <Characters>4674</Characters>
  <Lines>38</Lines>
  <Paragraphs>10</Paragraphs>
  <TotalTime>1</TotalTime>
  <ScaleCrop>false</ScaleCrop>
  <LinksUpToDate>false</LinksUpToDate>
  <CharactersWithSpaces>5483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2025-02-11T10:25:50Z</dcterms:modified>
  <dc:title>新疆普天鹏华商务信息咨询有限公司</dc:title>
  <cp:revision>466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