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喀什地区叶城县科技局科技馆免费开放经费项目支出绩效评价报告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项目名称：科技馆免费开放经费</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实施单位：叶城县科学技术局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评价部门：叶城县科学技术局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20" w:beforeLines="50" w:line="0" w:lineRule="atLeast"/>
        <w:jc w:val="left"/>
        <w:rPr>
          <w:sz w:val="28"/>
          <w:szCs w:val="28"/>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pStyle w:val="28"/>
        <w:numPr>
          <w:ilvl w:val="0"/>
          <w:numId w:val="2"/>
        </w:numPr>
        <w:ind w:firstLineChars="0"/>
        <w:rPr>
          <w:lang w:bidi="ar"/>
        </w:rPr>
      </w:pPr>
      <w:r>
        <w:rPr>
          <w:rFonts w:hint="eastAsia"/>
          <w:lang w:bidi="ar"/>
        </w:rPr>
        <w:t>基本情况</w:t>
      </w:r>
    </w:p>
    <w:p>
      <w:pPr>
        <w:pStyle w:val="30"/>
        <w:ind w:left="0" w:firstLine="643" w:firstLineChars="200"/>
        <w:rPr>
          <w:rFonts w:ascii="楷体" w:hAnsi="楷体" w:eastAsia="楷体" w:cs="楷体"/>
          <w:lang w:bidi="ar"/>
        </w:rPr>
      </w:pPr>
      <w:bookmarkStart w:id="0" w:name="_Toc26401549"/>
      <w:r>
        <w:rPr>
          <w:rFonts w:hint="eastAsia" w:ascii="楷体" w:hAnsi="楷体" w:eastAsia="楷体" w:cs="楷体"/>
          <w:lang w:bidi="ar"/>
        </w:rPr>
        <w:t>项目单位概况</w:t>
      </w:r>
      <w:bookmarkEnd w:id="0"/>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叶城县科学技术局为行政单位，主要职能：</w:t>
      </w:r>
    </w:p>
    <w:p>
      <w:pPr>
        <w:numPr>
          <w:ilvl w:val="0"/>
          <w:numId w:val="3"/>
        </w:numPr>
        <w:spacing w:line="560" w:lineRule="exact"/>
        <w:ind w:firstLine="640" w:firstLineChars="200"/>
        <w:jc w:val="left"/>
        <w:rPr>
          <w:rFonts w:ascii="仿宋_GB2312" w:eastAsia="仿宋_GB2312"/>
          <w:sz w:val="32"/>
        </w:rPr>
      </w:pPr>
      <w:r>
        <w:rPr>
          <w:rStyle w:val="42"/>
          <w:rFonts w:hint="eastAsia" w:ascii="仿宋_GB2312" w:hAnsi="仿宋_GB2312" w:eastAsia="仿宋_GB2312" w:cs="仿宋_GB2312"/>
          <w:color w:val="000000"/>
          <w:sz w:val="32"/>
          <w:szCs w:val="32"/>
        </w:rPr>
        <w:t>叶</w:t>
      </w:r>
      <w:r>
        <w:rPr>
          <w:rFonts w:hint="eastAsia" w:ascii="仿宋_GB2312" w:hAnsi="仿宋" w:eastAsia="仿宋_GB2312" w:cs="宋体"/>
          <w:sz w:val="32"/>
          <w:szCs w:val="32"/>
          <w:lang w:bidi="ar"/>
        </w:rPr>
        <w:t>城县组织研究制定全县科技发展中长期规划和年度工作计划，并组织实施各类科技计划项目；编制并组织实施旨在解决经济建设中重大关键性技术难题的科技攻关计划。</w:t>
      </w:r>
    </w:p>
    <w:p>
      <w:pPr>
        <w:numPr>
          <w:ilvl w:val="0"/>
          <w:numId w:val="3"/>
        </w:num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研究提出全县科技体制改革的政策、措施和总体规划并组织实施，推动建立适应社会主义</w:t>
      </w:r>
      <w:r>
        <w:rPr>
          <w:rFonts w:hint="eastAsia" w:ascii="仿宋_GB2312" w:hAnsi="仿宋" w:eastAsia="仿宋_GB2312" w:cs="宋体"/>
          <w:sz w:val="32"/>
          <w:szCs w:val="32"/>
          <w:lang w:eastAsia="zh-CN" w:bidi="ar"/>
        </w:rPr>
        <w:t>市</w:t>
      </w:r>
      <w:bookmarkStart w:id="8" w:name="_GoBack"/>
      <w:bookmarkEnd w:id="8"/>
      <w:r>
        <w:rPr>
          <w:rFonts w:hint="eastAsia" w:ascii="仿宋_GB2312" w:hAnsi="仿宋" w:eastAsia="仿宋_GB2312" w:cs="宋体"/>
          <w:sz w:val="32"/>
          <w:szCs w:val="32"/>
          <w:lang w:bidi="ar"/>
        </w:rPr>
        <w:t>场经济和科技自身发展规律的科技创新体制和科技创新机制；指导全县科研单位运行机制、人事制度等方面进行改革：推动科技创新体系建设，提高全县科技创新能力。</w:t>
      </w:r>
      <w:r>
        <w:rPr>
          <w:rFonts w:hint="eastAsia" w:ascii="仿宋_GB2312" w:hAnsi="仿宋" w:eastAsia="仿宋_GB2312" w:cs="宋体"/>
          <w:sz w:val="32"/>
          <w:szCs w:val="32"/>
          <w:lang w:bidi="ar"/>
        </w:rPr>
        <w:br w:type="textWrapping"/>
      </w:r>
      <w:r>
        <w:rPr>
          <w:rFonts w:hint="eastAsia" w:ascii="仿宋_GB2312" w:hAnsi="仿宋" w:eastAsia="仿宋_GB2312" w:cs="宋体"/>
          <w:sz w:val="32"/>
          <w:szCs w:val="32"/>
          <w:lang w:bidi="ar"/>
        </w:rPr>
        <w:t xml:space="preserve">  </w:t>
      </w:r>
      <w:r>
        <w:rPr>
          <w:rFonts w:hint="eastAsia" w:ascii="楷体" w:hAnsi="楷体" w:eastAsia="楷体" w:cs="楷体"/>
          <w:b/>
          <w:bCs/>
          <w:sz w:val="32"/>
          <w:szCs w:val="32"/>
          <w:lang w:bidi="ar"/>
        </w:rPr>
        <w:t>（二）项目背景及立项依据</w:t>
      </w:r>
    </w:p>
    <w:p>
      <w:pPr>
        <w:pStyle w:val="24"/>
        <w:numPr>
          <w:ilvl w:val="0"/>
          <w:numId w:val="4"/>
        </w:numPr>
        <w:spacing w:line="560" w:lineRule="exact"/>
        <w:ind w:left="0" w:firstLine="640"/>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根据中央新财教【2018】282号，喀地财教【2018】145号文件“2019年科技馆免费开放补助资金”，下发资金预算金额为21万，年度设定的预期目标是通过运转科技馆，参观人数达到6万人，加大科普宣传力度，打下良好的思想基础和理论基础，提高科学素质。</w:t>
      </w:r>
    </w:p>
    <w:p>
      <w:pPr>
        <w:pStyle w:val="24"/>
        <w:numPr>
          <w:ilvl w:val="0"/>
          <w:numId w:val="4"/>
        </w:numPr>
        <w:spacing w:line="560" w:lineRule="exact"/>
        <w:ind w:left="0" w:firstLine="640"/>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1）、本项目的主管部门为叶城县科协</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实施单位为叶城县科技馆。主要内容：叶城县科技馆为免费开放的科普场馆，主要面向全县普及科学知识、加强科技、营造良好的科技氛围，不断加大科普宣传的力度，发挥科技作用，加大科技扶贫的效果。运行经费主要用于保障叶城县科技馆全年对外开放，在开放中产生的电费、取暖费、设备维护费、人员经费及日常科技馆开放所需要的经费，确保科技馆的正常运行，确保科普宣传工作取得成效。</w:t>
      </w:r>
    </w:p>
    <w:p>
      <w:pPr>
        <w:adjustRightInd w:val="0"/>
        <w:snapToGrid w:val="0"/>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2）、项目的实施情况：本项目自2019年1月1日经【2018】282号，喀地财教【2018】145文件“2019年科技馆免费开放补助资金”的批复，确定了项目领导小组，叶城科技馆免费开放补助经费项目用途主要用于科技馆日常运行主要用于人员工资保障6万元，展品维修4万元、印刷费用1万元、水费1万元、电费4万元、办公费2万、暖气费3万，保障科技馆正常运行。对于继续推进《科学素质刚要》，充分发挥大科普服务优势，在农村、社区、学校、企业，开展各类丰富多彩的科普宣传活动，保障科技馆正常的运行，科技馆展品更新、维护和管理；在科技馆开展以展品为基础的科学技术知识展示和展教活动；开展临时性、专题性的科普知识或科技成果展览；组织安排全县科学术交流、科普讲座；对科教辅导人员进行知识更新、技术培训和对外交流；组织开展青少年创新大赛等青少年课外科普活动；对科技馆展项进行必要的维护保养，以及个别展项的更新和研发。为叶城经济社会发展提供坚强有力的技术服务和保障。</w:t>
      </w:r>
    </w:p>
    <w:p>
      <w:pPr>
        <w:adjustRightInd w:val="0"/>
        <w:snapToGrid w:val="0"/>
        <w:spacing w:line="560" w:lineRule="exact"/>
        <w:ind w:firstLine="640" w:firstLineChars="200"/>
        <w:rPr>
          <w:rFonts w:ascii="仿宋" w:hAnsi="仿宋" w:eastAsia="仿宋"/>
          <w:bCs/>
          <w:spacing w:val="-4"/>
          <w:sz w:val="32"/>
          <w:szCs w:val="32"/>
        </w:rPr>
      </w:pPr>
      <w:r>
        <w:rPr>
          <w:rFonts w:hint="eastAsia" w:ascii="仿宋_GB2312" w:hAnsi="仿宋" w:eastAsia="仿宋_GB2312" w:cs="宋体"/>
          <w:sz w:val="32"/>
          <w:szCs w:val="32"/>
          <w:lang w:bidi="ar"/>
        </w:rPr>
        <w:t>3、</w:t>
      </w:r>
      <w:r>
        <w:rPr>
          <w:rFonts w:hint="eastAsia" w:ascii="仿宋" w:hAnsi="仿宋" w:eastAsia="仿宋"/>
          <w:bCs/>
          <w:spacing w:val="-4"/>
          <w:sz w:val="32"/>
          <w:szCs w:val="32"/>
        </w:rPr>
        <w:t>对以上资金使用支出专门成立了专项资金使用管理领导小组：</w:t>
      </w:r>
    </w:p>
    <w:p>
      <w:pPr>
        <w:adjustRightInd w:val="0"/>
        <w:snapToGrid w:val="0"/>
        <w:spacing w:line="560" w:lineRule="exact"/>
        <w:ind w:firstLine="624" w:firstLineChars="200"/>
        <w:jc w:val="left"/>
        <w:rPr>
          <w:rFonts w:ascii="仿宋" w:hAnsi="仿宋" w:eastAsia="仿宋"/>
          <w:bCs/>
          <w:spacing w:val="-4"/>
          <w:sz w:val="32"/>
          <w:szCs w:val="32"/>
        </w:rPr>
      </w:pPr>
      <w:r>
        <w:rPr>
          <w:rFonts w:hint="eastAsia" w:ascii="仿宋" w:hAnsi="仿宋" w:eastAsia="仿宋"/>
          <w:bCs/>
          <w:spacing w:val="-4"/>
          <w:sz w:val="32"/>
          <w:szCs w:val="32"/>
        </w:rPr>
        <w:t>组长：王仲虎      科学技术协会主席</w:t>
      </w:r>
    </w:p>
    <w:p>
      <w:pPr>
        <w:adjustRightInd w:val="0"/>
        <w:snapToGrid w:val="0"/>
        <w:spacing w:line="560" w:lineRule="exact"/>
        <w:ind w:left="3446" w:leftChars="304" w:hanging="2808" w:hangingChars="900"/>
        <w:jc w:val="left"/>
        <w:rPr>
          <w:rFonts w:ascii="仿宋" w:hAnsi="仿宋" w:eastAsia="仿宋"/>
          <w:bCs/>
          <w:spacing w:val="-4"/>
          <w:sz w:val="32"/>
          <w:szCs w:val="32"/>
        </w:rPr>
      </w:pPr>
      <w:r>
        <w:rPr>
          <w:rFonts w:hint="eastAsia" w:ascii="仿宋" w:hAnsi="仿宋" w:eastAsia="仿宋"/>
          <w:bCs/>
          <w:spacing w:val="-4"/>
          <w:sz w:val="32"/>
          <w:szCs w:val="32"/>
        </w:rPr>
        <w:t>副组长：马翼虎    科学技术局副局长，党组成员、分管领导</w:t>
      </w:r>
    </w:p>
    <w:p>
      <w:pPr>
        <w:adjustRightInd w:val="0"/>
        <w:snapToGrid w:val="0"/>
        <w:spacing w:line="560" w:lineRule="exact"/>
        <w:ind w:firstLine="624" w:firstLineChars="200"/>
        <w:jc w:val="left"/>
        <w:rPr>
          <w:rFonts w:ascii="仿宋" w:hAnsi="仿宋" w:eastAsia="仿宋"/>
          <w:bCs/>
          <w:spacing w:val="-4"/>
          <w:sz w:val="32"/>
          <w:szCs w:val="32"/>
        </w:rPr>
      </w:pPr>
      <w:r>
        <w:rPr>
          <w:rFonts w:hint="eastAsia" w:ascii="仿宋" w:hAnsi="仿宋" w:eastAsia="仿宋"/>
          <w:bCs/>
          <w:spacing w:val="-4"/>
          <w:sz w:val="32"/>
          <w:szCs w:val="32"/>
        </w:rPr>
        <w:t>香辉              科协副主任科员</w:t>
      </w:r>
    </w:p>
    <w:p>
      <w:pPr>
        <w:adjustRightInd w:val="0"/>
        <w:snapToGrid w:val="0"/>
        <w:spacing w:line="560" w:lineRule="exact"/>
        <w:ind w:firstLine="624" w:firstLineChars="200"/>
        <w:jc w:val="left"/>
        <w:rPr>
          <w:rFonts w:ascii="仿宋" w:hAnsi="仿宋" w:eastAsia="仿宋"/>
          <w:bCs/>
          <w:spacing w:val="-4"/>
          <w:sz w:val="32"/>
          <w:szCs w:val="32"/>
        </w:rPr>
      </w:pPr>
      <w:r>
        <w:rPr>
          <w:rFonts w:hint="eastAsia" w:ascii="仿宋" w:hAnsi="仿宋" w:eastAsia="仿宋"/>
          <w:bCs/>
          <w:spacing w:val="-4"/>
          <w:sz w:val="32"/>
          <w:szCs w:val="32"/>
        </w:rPr>
        <w:t>成员：吐尔逊古丽马木提      科技局会计</w:t>
      </w:r>
    </w:p>
    <w:p>
      <w:pPr>
        <w:adjustRightInd w:val="0"/>
        <w:snapToGrid w:val="0"/>
        <w:spacing w:line="560" w:lineRule="exact"/>
        <w:ind w:firstLine="624" w:firstLineChars="200"/>
        <w:jc w:val="left"/>
        <w:rPr>
          <w:rFonts w:ascii="仿宋" w:hAnsi="仿宋" w:eastAsia="仿宋"/>
          <w:bCs/>
          <w:spacing w:val="-4"/>
          <w:sz w:val="32"/>
          <w:szCs w:val="32"/>
        </w:rPr>
      </w:pPr>
      <w:r>
        <w:rPr>
          <w:rFonts w:hint="eastAsia" w:ascii="仿宋" w:hAnsi="仿宋" w:eastAsia="仿宋"/>
          <w:bCs/>
          <w:spacing w:val="-4"/>
          <w:sz w:val="32"/>
          <w:szCs w:val="32"/>
        </w:rPr>
        <w:t>迪丽拜尔阿布都拉            科技局出纳</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专项资金办公室主要负责研究确定项目资金重大事项：协调解决资金执行过程中遇到的重大问题；指导项目政府采购，监督项目资金的使用与支出；资金严格执行财务规章制度和项目资金审批制度，确保项目资金使用规范，支付及时和安全运行。</w:t>
      </w:r>
    </w:p>
    <w:p>
      <w:pPr>
        <w:pStyle w:val="30"/>
        <w:spacing w:before="0" w:after="0" w:line="560" w:lineRule="exact"/>
        <w:ind w:left="0" w:firstLine="643" w:firstLineChars="200"/>
        <w:rPr>
          <w:lang w:bidi="ar"/>
        </w:rPr>
      </w:pPr>
      <w:bookmarkStart w:id="1" w:name="_Toc26401550"/>
      <w:r>
        <w:rPr>
          <w:rFonts w:hint="eastAsia"/>
          <w:lang w:bidi="ar"/>
        </w:rPr>
        <w:t>资金</w:t>
      </w:r>
      <w:bookmarkEnd w:id="1"/>
      <w:r>
        <w:rPr>
          <w:rFonts w:hint="eastAsia"/>
          <w:lang w:bidi="ar"/>
        </w:rPr>
        <w:t>投入和使用情况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本项目总投资21元，根据中央新财教【2018】282号，喀地财教【2018】145号文件“2019年科技馆免费开放补助资金”，下发资金预算金额为21万，资金来源为中央专项资金。</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科技馆免费开放补助项资金的使用范围：叶城科技馆免费开放补助经费项目用途主要用于科技馆日常运行主要用于人员工资保障6万元，展品维修4万元、印刷费用1万元、水费1万元、电费4万元、办公费2万、暖气费3万，保障科技馆正常运行。</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叶城县科学技术局单位制定了《资金管理办法》，按照管理办法进行使用。</w:t>
      </w:r>
    </w:p>
    <w:p>
      <w:pPr>
        <w:pStyle w:val="30"/>
        <w:spacing w:before="0" w:after="0" w:line="560" w:lineRule="exact"/>
        <w:ind w:left="0" w:firstLine="643" w:firstLineChars="200"/>
        <w:rPr>
          <w:lang w:bidi="ar"/>
        </w:rPr>
      </w:pPr>
      <w:bookmarkStart w:id="2" w:name="_Toc26401551"/>
      <w:r>
        <w:rPr>
          <w:rFonts w:hint="eastAsia"/>
          <w:lang w:bidi="ar"/>
        </w:rPr>
        <w:t>绩效目标</w:t>
      </w:r>
      <w:bookmarkEnd w:id="2"/>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总体目标为：保障科技馆正常运行，不断加强科普宣传力度，发挥科技扶贫扶志的作用，在全社会形成良好的科技氛围，全年开放天数超过200天，参观人数超过6万人次，充分发挥出科技馆应有的作用。</w:t>
      </w:r>
    </w:p>
    <w:p>
      <w:pPr>
        <w:pStyle w:val="28"/>
        <w:numPr>
          <w:ilvl w:val="0"/>
          <w:numId w:val="2"/>
        </w:numPr>
        <w:spacing w:before="0" w:after="0" w:line="560" w:lineRule="exact"/>
        <w:ind w:left="0" w:firstLine="643"/>
        <w:rPr>
          <w:lang w:bidi="ar"/>
        </w:rPr>
      </w:pPr>
      <w:bookmarkStart w:id="3" w:name="_Toc26401552"/>
      <w:r>
        <w:rPr>
          <w:rFonts w:hint="eastAsia"/>
          <w:lang w:bidi="ar"/>
        </w:rPr>
        <w:t>评价工作简述</w:t>
      </w:r>
      <w:bookmarkEnd w:id="3"/>
    </w:p>
    <w:p>
      <w:pPr>
        <w:pStyle w:val="30"/>
        <w:numPr>
          <w:ilvl w:val="0"/>
          <w:numId w:val="5"/>
        </w:numPr>
        <w:spacing w:before="0" w:after="0" w:line="560" w:lineRule="exact"/>
        <w:ind w:left="0" w:firstLine="643" w:firstLineChars="200"/>
        <w:rPr>
          <w:lang w:bidi="ar"/>
        </w:rPr>
      </w:pPr>
      <w:bookmarkStart w:id="4" w:name="_Toc26401553"/>
      <w:r>
        <w:rPr>
          <w:rFonts w:hint="eastAsia"/>
          <w:lang w:bidi="ar"/>
        </w:rPr>
        <w:t>评价目的</w:t>
      </w:r>
      <w:bookmarkEnd w:id="4"/>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 w:eastAsia="仿宋_GB2312" w:cs="宋体"/>
          <w:sz w:val="32"/>
          <w:szCs w:val="32"/>
          <w:lang w:bidi="ar"/>
        </w:rPr>
        <w:t>《自治区财政支出绩效评价管理暂行办法》（新财预〔</w:t>
      </w:r>
      <w:r>
        <w:rPr>
          <w:rFonts w:ascii="仿宋_GB2312" w:hAnsi="仿宋" w:eastAsia="仿宋_GB2312" w:cs="宋体"/>
          <w:sz w:val="32"/>
          <w:szCs w:val="32"/>
          <w:lang w:bidi="ar"/>
        </w:rPr>
        <w:t>2018〕189号</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等相关政策文件与规定，</w:t>
      </w:r>
      <w:r>
        <w:rPr>
          <w:rFonts w:hint="eastAsia" w:ascii="仿宋_GB2312" w:hAnsi="仿宋" w:eastAsia="仿宋_GB2312" w:cs="宋体"/>
          <w:sz w:val="32"/>
          <w:szCs w:val="32"/>
          <w:lang w:bidi="ar"/>
        </w:rPr>
        <w:t>旨在评价叶城县科技馆免费开放补助资金项目实施前期、过程及效果，评价财政预算资金使用的效率及效益。</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次评价从叶城县科技馆免费开放补助资金项目产生的效果角度出发,力求从绩效的角度发现2019年度城县科技馆免费开放补助资金项目中取得的成绩和产生的问题,优化财政支出管理改革,为下一步实施绩效预算奠定基础。</w:t>
      </w:r>
    </w:p>
    <w:p>
      <w:pPr>
        <w:pStyle w:val="30"/>
        <w:numPr>
          <w:ilvl w:val="0"/>
          <w:numId w:val="5"/>
        </w:numPr>
        <w:spacing w:before="0" w:after="0" w:line="560" w:lineRule="exact"/>
        <w:ind w:left="0" w:firstLine="643" w:firstLineChars="200"/>
        <w:rPr>
          <w:lang w:bidi="ar"/>
        </w:rPr>
      </w:pPr>
      <w:r>
        <w:rPr>
          <w:rFonts w:hint="eastAsia"/>
          <w:lang w:bidi="ar"/>
        </w:rPr>
        <w:t>本次绩效评价的对象及范围</w:t>
      </w:r>
      <w:bookmarkStart w:id="5" w:name="_Toc26401554"/>
    </w:p>
    <w:p>
      <w:pPr>
        <w:spacing w:line="56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本次评价对象为</w:t>
      </w:r>
      <w:r>
        <w:rPr>
          <w:rFonts w:hint="eastAsia" w:ascii="仿宋_GB2312" w:hAnsi="仿宋" w:eastAsia="仿宋_GB2312" w:cs="宋体"/>
          <w:sz w:val="32"/>
          <w:szCs w:val="32"/>
          <w:lang w:bidi="ar"/>
        </w:rPr>
        <w:t>叶城县科技馆免费开放补助资金</w:t>
      </w:r>
      <w:r>
        <w:rPr>
          <w:rFonts w:ascii="仿宋_GB2312" w:hAnsi="仿宋" w:eastAsia="仿宋_GB2312" w:cs="宋体"/>
          <w:sz w:val="32"/>
          <w:szCs w:val="32"/>
          <w:lang w:bidi="ar"/>
        </w:rPr>
        <w:t>项目资金，评价范围包括</w:t>
      </w:r>
      <w:r>
        <w:rPr>
          <w:rFonts w:hint="eastAsia" w:ascii="仿宋_GB2312" w:hAnsi="仿宋" w:eastAsia="仿宋_GB2312" w:cs="宋体"/>
          <w:sz w:val="32"/>
          <w:szCs w:val="32"/>
          <w:lang w:bidi="ar"/>
        </w:rPr>
        <w:t>科技馆免费开放</w:t>
      </w:r>
      <w:r>
        <w:rPr>
          <w:rFonts w:ascii="仿宋_GB2312" w:hAnsi="仿宋" w:eastAsia="仿宋_GB2312" w:cs="宋体"/>
          <w:sz w:val="32"/>
          <w:szCs w:val="32"/>
          <w:lang w:bidi="ar"/>
        </w:rPr>
        <w:t>专项资</w:t>
      </w:r>
      <w:r>
        <w:rPr>
          <w:rFonts w:hint="eastAsia" w:ascii="仿宋_GB2312" w:hAnsi="仿宋" w:eastAsia="仿宋_GB2312" w:cs="宋体"/>
          <w:sz w:val="32"/>
          <w:szCs w:val="32"/>
          <w:lang w:bidi="ar"/>
        </w:rPr>
        <w:t>金的安排、组织及使用效益。</w:t>
      </w:r>
    </w:p>
    <w:p>
      <w:pPr>
        <w:pStyle w:val="30"/>
        <w:numPr>
          <w:ilvl w:val="0"/>
          <w:numId w:val="5"/>
        </w:numPr>
        <w:spacing w:before="0" w:after="0" w:line="560" w:lineRule="exact"/>
        <w:ind w:left="0" w:firstLine="643" w:firstLineChars="200"/>
        <w:rPr>
          <w:lang w:bidi="ar"/>
        </w:rPr>
      </w:pPr>
      <w:r>
        <w:rPr>
          <w:rFonts w:hint="eastAsia"/>
          <w:lang w:bidi="ar"/>
        </w:rPr>
        <w:t>绩效评价原则</w:t>
      </w:r>
      <w:bookmarkEnd w:id="5"/>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30"/>
        <w:keepNext w:val="0"/>
        <w:keepLines w:val="0"/>
        <w:numPr>
          <w:ilvl w:val="1"/>
          <w:numId w:val="6"/>
        </w:numPr>
        <w:spacing w:before="0" w:after="0" w:line="560" w:lineRule="exact"/>
        <w:ind w:left="0" w:firstLine="640" w:firstLineChars="200"/>
        <w:rPr>
          <w:rFonts w:hAnsi="仿宋" w:cs="宋体"/>
          <w:b w:val="0"/>
          <w:lang w:bidi="ar"/>
        </w:rPr>
      </w:pPr>
      <w:r>
        <w:rPr>
          <w:rFonts w:hint="eastAsia" w:hAnsi="仿宋" w:cs="宋体"/>
          <w:b w:val="0"/>
          <w:lang w:bidi="ar"/>
        </w:rPr>
        <w:t>科学公正。绩效评价应当运用科学合理的方法，按照规范的程序，对项目绩效进行客观、公正的反映。</w:t>
      </w:r>
    </w:p>
    <w:p>
      <w:pPr>
        <w:pStyle w:val="30"/>
        <w:keepNext w:val="0"/>
        <w:keepLines w:val="0"/>
        <w:numPr>
          <w:ilvl w:val="1"/>
          <w:numId w:val="6"/>
        </w:numPr>
        <w:spacing w:before="0" w:after="0" w:line="560" w:lineRule="exact"/>
        <w:ind w:left="0" w:firstLine="640" w:firstLineChars="200"/>
        <w:rPr>
          <w:rFonts w:hAnsi="仿宋" w:cs="宋体"/>
          <w:b w:val="0"/>
          <w:lang w:bidi="ar"/>
        </w:rPr>
      </w:pPr>
      <w:r>
        <w:rPr>
          <w:rFonts w:hint="eastAsia" w:hAnsi="仿宋" w:cs="宋体"/>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30"/>
        <w:keepNext w:val="0"/>
        <w:keepLines w:val="0"/>
        <w:numPr>
          <w:ilvl w:val="1"/>
          <w:numId w:val="6"/>
        </w:numPr>
        <w:spacing w:before="0" w:after="0" w:line="560" w:lineRule="exact"/>
        <w:ind w:left="0" w:firstLine="640" w:firstLineChars="200"/>
        <w:rPr>
          <w:rFonts w:hAnsi="仿宋" w:cs="宋体"/>
          <w:b w:val="0"/>
          <w:lang w:bidi="ar"/>
        </w:rPr>
      </w:pPr>
      <w:r>
        <w:rPr>
          <w:rFonts w:hint="eastAsia" w:hAnsi="仿宋" w:cs="宋体"/>
          <w:b w:val="0"/>
          <w:lang w:bidi="ar"/>
        </w:rPr>
        <w:t>激励约束。绩效评价结果应与预算安排、政策调整、改进管理实质性挂钩，体现奖优罚劣和激励相容导向，有效要安排、低效要压减、无效要问责。</w:t>
      </w:r>
    </w:p>
    <w:p>
      <w:pPr>
        <w:pStyle w:val="30"/>
        <w:keepNext w:val="0"/>
        <w:keepLines w:val="0"/>
        <w:numPr>
          <w:ilvl w:val="1"/>
          <w:numId w:val="6"/>
        </w:numPr>
        <w:spacing w:before="0" w:after="0" w:line="560" w:lineRule="exact"/>
        <w:ind w:left="0" w:firstLine="640" w:firstLineChars="200"/>
        <w:rPr>
          <w:b w:val="0"/>
          <w:lang w:bidi="ar"/>
        </w:rPr>
      </w:pPr>
      <w:r>
        <w:rPr>
          <w:rFonts w:hint="eastAsia" w:hAnsi="仿宋" w:cs="宋体"/>
          <w:b w:val="0"/>
          <w:lang w:bidi="ar"/>
        </w:rPr>
        <w:t>公开透明。绩效评价结果应依法依规公开，并自觉接受社会监督。</w:t>
      </w:r>
      <w:r>
        <w:rPr>
          <w:rFonts w:hint="eastAsia"/>
          <w:b w:val="0"/>
          <w:lang w:bidi="ar"/>
        </w:rPr>
        <w:t>绩效评价体系</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根据以上原则,绩效评价应遵循如下要求:</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（1）在数据采集时,采取客观数据,主管部门审查、社会中介组织复查,与问卷调查相结合的形式,以保证各项指标的真实性。</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(2)保证评价结果的真实性、公正性,提高评价报告的公信力。</w:t>
      </w:r>
    </w:p>
    <w:p>
      <w:pPr>
        <w:spacing w:line="560" w:lineRule="exact"/>
        <w:ind w:firstLine="640" w:firstLineChars="200"/>
        <w:rPr>
          <w:rFonts w:ascii="仿宋_GB2312" w:hAnsi="仿宋" w:eastAsia="仿宋_GB2312" w:cs="宋体"/>
          <w:b/>
          <w:bCs/>
          <w:color w:val="C00000"/>
          <w:sz w:val="32"/>
          <w:szCs w:val="32"/>
          <w:lang w:bidi="ar"/>
        </w:rPr>
      </w:pPr>
      <w:r>
        <w:rPr>
          <w:rFonts w:hint="eastAsia" w:ascii="仿宋_GB2312" w:hAnsi="仿宋" w:eastAsia="仿宋_GB2312" w:cs="宋体"/>
          <w:sz w:val="32"/>
          <w:szCs w:val="32"/>
          <w:lang w:bidi="ar"/>
        </w:rPr>
        <w:t>(3)绩教评价报告应当简明扼要,除了对绩效评价的过程、结果描述外,还应总结经验,指出问题,并就共性问题提出可操作性改进建议。</w:t>
      </w:r>
    </w:p>
    <w:p>
      <w:pPr>
        <w:spacing w:line="560" w:lineRule="exact"/>
        <w:ind w:firstLine="643" w:firstLineChars="200"/>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（四）本项目绩效评价体系</w:t>
      </w:r>
    </w:p>
    <w:p>
      <w:pPr>
        <w:pStyle w:val="30"/>
        <w:keepNext w:val="0"/>
        <w:keepLines w:val="0"/>
        <w:numPr>
          <w:ilvl w:val="0"/>
          <w:numId w:val="0"/>
        </w:numPr>
        <w:spacing w:before="0" w:after="0" w:line="560" w:lineRule="exact"/>
        <w:ind w:firstLine="640" w:firstLineChars="200"/>
        <w:rPr>
          <w:b w:val="0"/>
        </w:rPr>
      </w:pPr>
      <w:r>
        <w:rPr>
          <w:rFonts w:hint="eastAsia"/>
          <w:b w:val="0"/>
        </w:rPr>
        <w:t>遵循“科学性、规范性、客观性和公正性”的绩效评价原则,根据财政部制定的《项目支出绩效评价共性指标体系框架》,结合叶城县科技馆免费开放补助资金项目特性、科学技术局单位实际情况,本项目按照财预﹝2020﹞10号文件制定评价指标体系。</w:t>
      </w:r>
    </w:p>
    <w:p>
      <w:pPr>
        <w:pStyle w:val="30"/>
        <w:keepNext w:val="0"/>
        <w:keepLines w:val="0"/>
        <w:numPr>
          <w:ilvl w:val="0"/>
          <w:numId w:val="0"/>
        </w:numPr>
        <w:spacing w:before="0" w:after="0" w:line="560" w:lineRule="exact"/>
        <w:ind w:firstLine="640" w:firstLineChars="200"/>
        <w:rPr>
          <w:b w:val="0"/>
        </w:rPr>
      </w:pPr>
      <w:r>
        <w:rPr>
          <w:rFonts w:hint="eastAsia"/>
          <w:b w:val="0"/>
        </w:rPr>
        <w:t>我单位选取共性指标：决策中一级指标1个，二级指标3个，三级指标3个，分别是立项程序规范性、绩效目标合理性、预算编制科学性。</w:t>
      </w:r>
    </w:p>
    <w:p>
      <w:pPr>
        <w:pStyle w:val="30"/>
        <w:keepNext w:val="0"/>
        <w:keepLines w:val="0"/>
        <w:numPr>
          <w:ilvl w:val="0"/>
          <w:numId w:val="0"/>
        </w:numPr>
        <w:spacing w:before="0" w:after="0" w:line="560" w:lineRule="exact"/>
        <w:ind w:firstLine="640" w:firstLineChars="200"/>
        <w:rPr>
          <w:b w:val="0"/>
        </w:rPr>
      </w:pPr>
      <w:r>
        <w:rPr>
          <w:rFonts w:hint="eastAsia"/>
          <w:b w:val="0"/>
        </w:rPr>
        <w:t>过程中：一级指标1个，二级指标3个，三级指标3个，分别是资金使用合规性、管理制度健全性、制度执行有效性。</w:t>
      </w:r>
    </w:p>
    <w:p>
      <w:pPr>
        <w:pStyle w:val="30"/>
        <w:keepNext w:val="0"/>
        <w:keepLines w:val="0"/>
        <w:numPr>
          <w:ilvl w:val="0"/>
          <w:numId w:val="0"/>
        </w:numPr>
        <w:spacing w:before="0" w:after="0" w:line="560" w:lineRule="exact"/>
        <w:ind w:firstLine="643" w:firstLineChars="200"/>
        <w:rPr>
          <w:rFonts w:hAnsi="仿宋" w:cs="宋体"/>
          <w:lang w:bidi="ar"/>
        </w:rPr>
      </w:pPr>
      <w:bookmarkStart w:id="6" w:name="_Toc26401555"/>
      <w:r>
        <w:rPr>
          <w:rFonts w:hint="eastAsia"/>
          <w:lang w:bidi="ar"/>
        </w:rPr>
        <w:t>（五）绩效评价方法</w:t>
      </w:r>
      <w:bookmarkEnd w:id="6"/>
    </w:p>
    <w:p>
      <w:pPr>
        <w:pStyle w:val="30"/>
        <w:keepNext w:val="0"/>
        <w:keepLines w:val="0"/>
        <w:numPr>
          <w:ilvl w:val="0"/>
          <w:numId w:val="0"/>
        </w:numPr>
        <w:spacing w:before="0" w:after="0" w:line="560" w:lineRule="exact"/>
        <w:ind w:firstLine="640" w:firstLineChars="200"/>
        <w:rPr>
          <w:b w:val="0"/>
        </w:rPr>
      </w:pPr>
      <w:r>
        <w:rPr>
          <w:rFonts w:hint="eastAsia"/>
          <w:b w:val="0"/>
        </w:rPr>
        <w:t>（1）成本效益法:叶城县科技馆根据科技馆免费开放资金的支付进度，对照科技馆免费参观群体数量、参观效果等方面开展评价，按照支出与参观人数及参观效果的比例，来对比分析产生的效果，确保及时分析资金使用情况是否合理。</w:t>
      </w:r>
    </w:p>
    <w:p>
      <w:pPr>
        <w:pStyle w:val="30"/>
        <w:keepNext w:val="0"/>
        <w:keepLines w:val="0"/>
        <w:numPr>
          <w:ilvl w:val="0"/>
          <w:numId w:val="0"/>
        </w:numPr>
        <w:spacing w:before="0" w:after="0" w:line="560" w:lineRule="exact"/>
        <w:ind w:firstLine="640" w:firstLineChars="200"/>
        <w:rPr>
          <w:b w:val="0"/>
        </w:rPr>
      </w:pPr>
      <w:r>
        <w:rPr>
          <w:rFonts w:hint="eastAsia"/>
          <w:b w:val="0"/>
        </w:rPr>
        <w:t>（2）</w:t>
      </w:r>
      <w:r>
        <w:rPr>
          <w:b w:val="0"/>
        </w:rPr>
        <w:t>问卷调查法:</w:t>
      </w:r>
      <w:r>
        <w:rPr>
          <w:rFonts w:hint="eastAsia"/>
          <w:b w:val="0"/>
        </w:rPr>
        <w:t>叶城县科技馆在免费对外开放时，始终采用问卷调查的方式，通过参观科技馆的各个群体，询问大家对科技馆建设和免费开放情况进行问卷调查，根据问卷调查，结合科技馆免费开放资金的使用情况，对资金使用的合理性做问卷调查，并在免费开放资金支出的领域进行问卷调查，评价资金支出是否合理有效</w:t>
      </w:r>
      <w:r>
        <w:rPr>
          <w:b w:val="0"/>
        </w:rPr>
        <w:t>。</w:t>
      </w:r>
    </w:p>
    <w:p>
      <w:pPr>
        <w:pStyle w:val="30"/>
        <w:keepNext w:val="0"/>
        <w:keepLines w:val="0"/>
        <w:numPr>
          <w:ilvl w:val="0"/>
          <w:numId w:val="0"/>
        </w:numPr>
        <w:spacing w:before="0" w:after="0" w:line="560" w:lineRule="exact"/>
        <w:ind w:firstLine="640" w:firstLineChars="200"/>
        <w:rPr>
          <w:b w:val="0"/>
        </w:rPr>
      </w:pPr>
      <w:r>
        <w:rPr>
          <w:rFonts w:hint="eastAsia"/>
          <w:b w:val="0"/>
        </w:rPr>
        <w:t>（3）撰写报告情况</w:t>
      </w:r>
    </w:p>
    <w:p>
      <w:pPr>
        <w:pStyle w:val="30"/>
        <w:keepNext w:val="0"/>
        <w:keepLines w:val="0"/>
        <w:numPr>
          <w:ilvl w:val="0"/>
          <w:numId w:val="0"/>
        </w:numPr>
        <w:spacing w:before="0" w:after="0" w:line="560" w:lineRule="exact"/>
        <w:ind w:firstLine="640" w:firstLineChars="200"/>
        <w:rPr>
          <w:b w:val="0"/>
        </w:rPr>
      </w:pPr>
      <w:r>
        <w:rPr>
          <w:rFonts w:hint="eastAsia"/>
          <w:b w:val="0"/>
        </w:rPr>
        <w:t>项目评价组根据绩效评价的原理，对收集的数据汇总和分析，撰写绩效评价报告。</w:t>
      </w:r>
    </w:p>
    <w:p>
      <w:pPr>
        <w:pStyle w:val="30"/>
        <w:keepNext w:val="0"/>
        <w:keepLines w:val="0"/>
        <w:numPr>
          <w:ilvl w:val="0"/>
          <w:numId w:val="0"/>
        </w:numPr>
        <w:spacing w:before="0" w:after="0" w:line="560" w:lineRule="exact"/>
        <w:ind w:firstLine="643" w:firstLineChars="200"/>
        <w:rPr>
          <w:lang w:bidi="ar"/>
        </w:rPr>
      </w:pPr>
      <w:r>
        <w:rPr>
          <w:rFonts w:hint="eastAsia"/>
          <w:lang w:bidi="ar"/>
        </w:rPr>
        <w:t>（六）评价标准</w:t>
      </w:r>
    </w:p>
    <w:p>
      <w:pPr>
        <w:pStyle w:val="30"/>
        <w:keepNext w:val="0"/>
        <w:keepLines w:val="0"/>
        <w:numPr>
          <w:ilvl w:val="0"/>
          <w:numId w:val="0"/>
        </w:numPr>
        <w:spacing w:before="0" w:after="0" w:line="560" w:lineRule="exact"/>
        <w:ind w:firstLine="640" w:firstLineChars="200"/>
        <w:rPr>
          <w:b w:val="0"/>
        </w:rPr>
      </w:pPr>
      <w:r>
        <w:rPr>
          <w:rFonts w:hint="eastAsia"/>
          <w:b w:val="0"/>
        </w:rPr>
        <w:t>1.计划标准:叶城县科技馆合理制定年初计划并做好年底总结，在计划安排中是以事先制定的目标、计划、预算、定额等预计数据作为评价财政支出绩效的标准。科技馆免费开放天数达到60%以上，全年人数达到6万人，青少年占比80%。</w:t>
      </w:r>
    </w:p>
    <w:p>
      <w:pPr>
        <w:pStyle w:val="30"/>
        <w:keepNext w:val="0"/>
        <w:keepLines w:val="0"/>
        <w:numPr>
          <w:ilvl w:val="0"/>
          <w:numId w:val="0"/>
        </w:numPr>
        <w:spacing w:before="0" w:after="0" w:line="560" w:lineRule="exact"/>
        <w:ind w:firstLine="640" w:firstLineChars="200"/>
        <w:rPr>
          <w:b w:val="0"/>
        </w:rPr>
      </w:pPr>
      <w:r>
        <w:rPr>
          <w:rFonts w:hint="eastAsia"/>
          <w:b w:val="0"/>
        </w:rPr>
        <w:t>2.</w:t>
      </w:r>
      <w:r>
        <w:rPr>
          <w:b w:val="0"/>
        </w:rPr>
        <w:t>历史标准:</w:t>
      </w:r>
      <w:r>
        <w:rPr>
          <w:rFonts w:hint="eastAsia"/>
          <w:b w:val="0"/>
        </w:rPr>
        <w:t>科技馆根据历年科技馆免费开放资金使用情况以及科技馆免费开放接待人次的比例，衡量本年度免费开放经费使用情况及接待人次的情况，分析今年的目标任务。</w:t>
      </w:r>
    </w:p>
    <w:p>
      <w:pPr>
        <w:pStyle w:val="30"/>
        <w:keepNext w:val="0"/>
        <w:keepLines w:val="0"/>
        <w:numPr>
          <w:ilvl w:val="0"/>
          <w:numId w:val="0"/>
        </w:numPr>
        <w:spacing w:before="0" w:after="0" w:line="560" w:lineRule="exact"/>
        <w:ind w:firstLine="643" w:firstLineChars="200"/>
        <w:rPr>
          <w:lang w:bidi="ar"/>
        </w:rPr>
      </w:pPr>
      <w:r>
        <w:rPr>
          <w:rFonts w:hint="eastAsia"/>
          <w:lang w:bidi="ar"/>
        </w:rPr>
        <w:t>（七）绩效评价工作过程</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1.本次评价成立了评价工作组，成员如下：</w:t>
      </w:r>
    </w:p>
    <w:tbl>
      <w:tblPr>
        <w:tblStyle w:val="14"/>
        <w:tblW w:w="8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1"/>
        <w:gridCol w:w="2842"/>
        <w:gridCol w:w="2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pPr>
              <w:pStyle w:val="30"/>
              <w:keepNext w:val="0"/>
              <w:keepLines w:val="0"/>
              <w:numPr>
                <w:ilvl w:val="0"/>
                <w:numId w:val="0"/>
              </w:numPr>
              <w:spacing w:line="240" w:lineRule="atLeast"/>
              <w:jc w:val="center"/>
              <w:rPr>
                <w:b w:val="0"/>
                <w:bCs w:val="0"/>
                <w:lang w:bidi="ar"/>
              </w:rPr>
            </w:pPr>
            <w:r>
              <w:rPr>
                <w:rFonts w:hint="eastAsia"/>
                <w:b w:val="0"/>
                <w:bCs w:val="0"/>
                <w:lang w:bidi="ar"/>
              </w:rPr>
              <w:t>评价人</w:t>
            </w:r>
          </w:p>
        </w:tc>
        <w:tc>
          <w:tcPr>
            <w:tcW w:w="2842" w:type="dxa"/>
            <w:vAlign w:val="center"/>
          </w:tcPr>
          <w:p>
            <w:pPr>
              <w:pStyle w:val="30"/>
              <w:keepNext w:val="0"/>
              <w:keepLines w:val="0"/>
              <w:numPr>
                <w:ilvl w:val="0"/>
                <w:numId w:val="0"/>
              </w:numPr>
              <w:spacing w:line="240" w:lineRule="atLeast"/>
              <w:jc w:val="center"/>
              <w:rPr>
                <w:b w:val="0"/>
                <w:bCs w:val="0"/>
                <w:lang w:bidi="ar"/>
              </w:rPr>
            </w:pPr>
            <w:r>
              <w:rPr>
                <w:rFonts w:hint="eastAsia"/>
                <w:b w:val="0"/>
                <w:bCs w:val="0"/>
                <w:lang w:bidi="ar"/>
              </w:rPr>
              <w:t>职责</w:t>
            </w:r>
          </w:p>
        </w:tc>
        <w:tc>
          <w:tcPr>
            <w:tcW w:w="2843" w:type="dxa"/>
            <w:vAlign w:val="center"/>
          </w:tcPr>
          <w:p>
            <w:pPr>
              <w:pStyle w:val="30"/>
              <w:keepNext w:val="0"/>
              <w:keepLines w:val="0"/>
              <w:numPr>
                <w:ilvl w:val="0"/>
                <w:numId w:val="0"/>
              </w:numPr>
              <w:spacing w:line="240" w:lineRule="atLeast"/>
              <w:jc w:val="center"/>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pPr>
              <w:pStyle w:val="30"/>
              <w:keepNext w:val="0"/>
              <w:keepLines w:val="0"/>
              <w:numPr>
                <w:ilvl w:val="0"/>
                <w:numId w:val="0"/>
              </w:numPr>
              <w:spacing w:line="240" w:lineRule="atLeast"/>
              <w:jc w:val="center"/>
              <w:rPr>
                <w:b w:val="0"/>
                <w:bCs w:val="0"/>
                <w:lang w:bidi="ar"/>
              </w:rPr>
            </w:pPr>
            <w:r>
              <w:rPr>
                <w:rFonts w:hint="eastAsia"/>
                <w:b w:val="0"/>
                <w:bCs w:val="0"/>
                <w:lang w:bidi="ar"/>
              </w:rPr>
              <w:t>王仲虎</w:t>
            </w:r>
          </w:p>
        </w:tc>
        <w:tc>
          <w:tcPr>
            <w:tcW w:w="2842" w:type="dxa"/>
            <w:vAlign w:val="center"/>
          </w:tcPr>
          <w:p>
            <w:pPr>
              <w:pStyle w:val="30"/>
              <w:keepNext w:val="0"/>
              <w:keepLines w:val="0"/>
              <w:numPr>
                <w:ilvl w:val="0"/>
                <w:numId w:val="0"/>
              </w:numPr>
              <w:spacing w:line="240" w:lineRule="atLeast"/>
              <w:jc w:val="center"/>
              <w:rPr>
                <w:b w:val="0"/>
                <w:bCs w:val="0"/>
                <w:lang w:bidi="ar"/>
              </w:rPr>
            </w:pPr>
            <w:r>
              <w:rPr>
                <w:rFonts w:hint="eastAsia"/>
                <w:b w:val="0"/>
                <w:bCs w:val="0"/>
                <w:lang w:bidi="ar"/>
              </w:rPr>
              <w:t>评价组组长</w:t>
            </w:r>
          </w:p>
        </w:tc>
        <w:tc>
          <w:tcPr>
            <w:tcW w:w="2843" w:type="dxa"/>
            <w:vAlign w:val="center"/>
          </w:tcPr>
          <w:p>
            <w:pPr>
              <w:pStyle w:val="30"/>
              <w:keepNext w:val="0"/>
              <w:keepLines w:val="0"/>
              <w:numPr>
                <w:ilvl w:val="0"/>
                <w:numId w:val="0"/>
              </w:numPr>
              <w:spacing w:line="240" w:lineRule="atLeast"/>
              <w:jc w:val="center"/>
              <w:rPr>
                <w:b w:val="0"/>
                <w:bCs w:val="0"/>
                <w:lang w:bidi="ar"/>
              </w:rPr>
            </w:pPr>
            <w:r>
              <w:rPr>
                <w:rFonts w:hint="eastAsia"/>
                <w:b w:val="0"/>
                <w:bCs w:val="0"/>
                <w:lang w:bidi="ar"/>
              </w:rPr>
              <w:t>科协主席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pPr>
              <w:pStyle w:val="30"/>
              <w:keepNext w:val="0"/>
              <w:keepLines w:val="0"/>
              <w:numPr>
                <w:ilvl w:val="0"/>
                <w:numId w:val="0"/>
              </w:numPr>
              <w:spacing w:line="240" w:lineRule="atLeast"/>
              <w:jc w:val="center"/>
              <w:rPr>
                <w:b w:val="0"/>
                <w:bCs w:val="0"/>
                <w:lang w:bidi="ar"/>
              </w:rPr>
            </w:pPr>
            <w:r>
              <w:rPr>
                <w:rFonts w:hint="eastAsia"/>
                <w:b w:val="0"/>
                <w:bCs w:val="0"/>
                <w:lang w:bidi="ar"/>
              </w:rPr>
              <w:t>马翼虎</w:t>
            </w:r>
          </w:p>
        </w:tc>
        <w:tc>
          <w:tcPr>
            <w:tcW w:w="2842" w:type="dxa"/>
            <w:vAlign w:val="center"/>
          </w:tcPr>
          <w:p>
            <w:pPr>
              <w:pStyle w:val="30"/>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843" w:type="dxa"/>
            <w:vAlign w:val="center"/>
          </w:tcPr>
          <w:p>
            <w:pPr>
              <w:pStyle w:val="30"/>
              <w:keepNext w:val="0"/>
              <w:keepLines w:val="0"/>
              <w:numPr>
                <w:ilvl w:val="0"/>
                <w:numId w:val="0"/>
              </w:numPr>
              <w:spacing w:line="240" w:lineRule="atLeast"/>
              <w:jc w:val="center"/>
              <w:rPr>
                <w:b w:val="0"/>
                <w:bCs w:val="0"/>
                <w:lang w:bidi="ar"/>
              </w:rPr>
            </w:pPr>
            <w:r>
              <w:rPr>
                <w:rFonts w:hint="eastAsia"/>
                <w:b w:val="0"/>
                <w:bCs w:val="0"/>
                <w:lang w:bidi="ar"/>
              </w:rPr>
              <w:t>财务领导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pPr>
              <w:pStyle w:val="30"/>
              <w:keepNext w:val="0"/>
              <w:keepLines w:val="0"/>
              <w:numPr>
                <w:ilvl w:val="0"/>
                <w:numId w:val="0"/>
              </w:numPr>
              <w:spacing w:line="240" w:lineRule="atLeast"/>
              <w:jc w:val="center"/>
              <w:rPr>
                <w:b w:val="0"/>
                <w:bCs w:val="0"/>
                <w:lang w:bidi="ar"/>
              </w:rPr>
            </w:pPr>
            <w:r>
              <w:rPr>
                <w:rFonts w:hint="eastAsia"/>
                <w:b w:val="0"/>
                <w:bCs w:val="0"/>
                <w:lang w:bidi="ar"/>
              </w:rPr>
              <w:t>封利</w:t>
            </w:r>
          </w:p>
        </w:tc>
        <w:tc>
          <w:tcPr>
            <w:tcW w:w="2842" w:type="dxa"/>
            <w:vAlign w:val="center"/>
          </w:tcPr>
          <w:p>
            <w:pPr>
              <w:pStyle w:val="30"/>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843" w:type="dxa"/>
            <w:vAlign w:val="center"/>
          </w:tcPr>
          <w:p>
            <w:pPr>
              <w:pStyle w:val="30"/>
              <w:keepNext w:val="0"/>
              <w:keepLines w:val="0"/>
              <w:numPr>
                <w:ilvl w:val="0"/>
                <w:numId w:val="0"/>
              </w:numPr>
              <w:spacing w:line="240" w:lineRule="atLeast"/>
              <w:jc w:val="center"/>
              <w:rPr>
                <w:b w:val="0"/>
                <w:bCs w:val="0"/>
                <w:lang w:bidi="ar"/>
              </w:rPr>
            </w:pPr>
            <w:r>
              <w:rPr>
                <w:rFonts w:hint="eastAsia"/>
                <w:b w:val="0"/>
                <w:bCs w:val="0"/>
                <w:lang w:bidi="ar"/>
              </w:rPr>
              <w:t>科技局党组书记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pPr>
              <w:pStyle w:val="30"/>
              <w:keepNext w:val="0"/>
              <w:keepLines w:val="0"/>
              <w:numPr>
                <w:ilvl w:val="0"/>
                <w:numId w:val="0"/>
              </w:numPr>
              <w:spacing w:line="240" w:lineRule="atLeast"/>
              <w:jc w:val="center"/>
              <w:rPr>
                <w:b w:val="0"/>
                <w:bCs w:val="0"/>
                <w:lang w:bidi="ar"/>
              </w:rPr>
            </w:pPr>
            <w:r>
              <w:rPr>
                <w:rFonts w:hint="eastAsia"/>
                <w:b w:val="0"/>
                <w:bCs w:val="0"/>
                <w:lang w:bidi="ar"/>
              </w:rPr>
              <w:t>凯沙尔·玉苏甫</w:t>
            </w:r>
          </w:p>
        </w:tc>
        <w:tc>
          <w:tcPr>
            <w:tcW w:w="2842" w:type="dxa"/>
            <w:vAlign w:val="center"/>
          </w:tcPr>
          <w:p>
            <w:pPr>
              <w:pStyle w:val="30"/>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843" w:type="dxa"/>
            <w:vAlign w:val="center"/>
          </w:tcPr>
          <w:p>
            <w:pPr>
              <w:pStyle w:val="30"/>
              <w:keepNext w:val="0"/>
              <w:keepLines w:val="0"/>
              <w:numPr>
                <w:ilvl w:val="0"/>
                <w:numId w:val="0"/>
              </w:numPr>
              <w:spacing w:line="240" w:lineRule="atLeast"/>
              <w:jc w:val="center"/>
              <w:rPr>
                <w:b w:val="0"/>
                <w:bCs w:val="0"/>
                <w:lang w:bidi="ar"/>
              </w:rPr>
            </w:pPr>
            <w:r>
              <w:rPr>
                <w:rFonts w:hint="eastAsia"/>
                <w:b w:val="0"/>
                <w:bCs w:val="0"/>
                <w:lang w:bidi="ar"/>
              </w:rPr>
              <w:t>科技局局长</w:t>
            </w:r>
          </w:p>
        </w:tc>
      </w:tr>
    </w:tbl>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本次评价设计了评价方案、评价指标体系，通过资料分析、调研、访谈满意度调查等方式形成评价结论，在与项目单位沟通后确定评价意见，并出具评价报告。　</w:t>
      </w:r>
    </w:p>
    <w:p>
      <w:pPr>
        <w:spacing w:line="560" w:lineRule="exact"/>
        <w:ind w:firstLine="643" w:firstLineChars="200"/>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2.数据采集方法及过程</w:t>
      </w:r>
    </w:p>
    <w:p>
      <w:pPr>
        <w:spacing w:line="56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本次绩效评价数据包括定性和定量两种数据,定性数据主要通过实地考察、面对面访谈,问卷调研等社会调查的方式来采集。</w:t>
      </w:r>
    </w:p>
    <w:p>
      <w:pPr>
        <w:spacing w:line="56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spacing w:line="560" w:lineRule="exact"/>
        <w:ind w:left="420" w:leftChars="200"/>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3.绩效评价实施过程</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组在前期调研的基础上,完成了项目绩效评价工作方案,明确了评价的目的、方法、指标体系、评价标准、合规性检查方案、访谈方案等。在此之后,项目组严格按照工作方案,经过了数据采集、问卷调查和报告撰写等环节,顺利完成了绩效评价工作。</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（1）问卷调查</w:t>
      </w:r>
    </w:p>
    <w:p>
      <w:pPr>
        <w:spacing w:line="56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201</w:t>
      </w:r>
      <w:r>
        <w:rPr>
          <w:rFonts w:hint="eastAsia" w:ascii="仿宋_GB2312" w:hAnsi="仿宋" w:eastAsia="仿宋_GB2312" w:cs="宋体"/>
          <w:sz w:val="32"/>
          <w:szCs w:val="32"/>
          <w:lang w:bidi="ar"/>
        </w:rPr>
        <w:t>9</w:t>
      </w:r>
      <w:r>
        <w:rPr>
          <w:rFonts w:ascii="仿宋_GB2312" w:hAnsi="仿宋" w:eastAsia="仿宋_GB2312" w:cs="宋体"/>
          <w:sz w:val="32"/>
          <w:szCs w:val="32"/>
          <w:lang w:bidi="ar"/>
        </w:rPr>
        <w:t>年</w:t>
      </w:r>
      <w:r>
        <w:rPr>
          <w:rFonts w:hint="eastAsia" w:ascii="仿宋_GB2312" w:hAnsi="仿宋" w:eastAsia="仿宋_GB2312" w:cs="宋体"/>
          <w:sz w:val="32"/>
          <w:szCs w:val="32"/>
          <w:lang w:bidi="ar"/>
        </w:rPr>
        <w:t>11</w:t>
      </w:r>
      <w:r>
        <w:rPr>
          <w:rFonts w:ascii="仿宋_GB2312" w:hAnsi="仿宋" w:eastAsia="仿宋_GB2312" w:cs="宋体"/>
          <w:sz w:val="32"/>
          <w:szCs w:val="32"/>
          <w:lang w:bidi="ar"/>
        </w:rPr>
        <w:t>月</w:t>
      </w:r>
      <w:r>
        <w:rPr>
          <w:rFonts w:hint="eastAsia" w:ascii="仿宋_GB2312" w:hAnsi="仿宋" w:eastAsia="仿宋_GB2312" w:cs="宋体"/>
          <w:sz w:val="32"/>
          <w:szCs w:val="32"/>
          <w:lang w:bidi="ar"/>
        </w:rPr>
        <w:t>1</w:t>
      </w:r>
      <w:r>
        <w:rPr>
          <w:rFonts w:ascii="仿宋_GB2312" w:hAnsi="仿宋" w:eastAsia="仿宋_GB2312" w:cs="宋体"/>
          <w:sz w:val="32"/>
          <w:szCs w:val="32"/>
          <w:lang w:bidi="ar"/>
        </w:rPr>
        <w:t>日-201</w:t>
      </w:r>
      <w:r>
        <w:rPr>
          <w:rFonts w:hint="eastAsia" w:ascii="仿宋_GB2312" w:hAnsi="仿宋" w:eastAsia="仿宋_GB2312" w:cs="宋体"/>
          <w:sz w:val="32"/>
          <w:szCs w:val="32"/>
          <w:lang w:bidi="ar"/>
        </w:rPr>
        <w:t>9</w:t>
      </w:r>
      <w:r>
        <w:rPr>
          <w:rFonts w:ascii="仿宋_GB2312" w:hAnsi="仿宋" w:eastAsia="仿宋_GB2312" w:cs="宋体"/>
          <w:sz w:val="32"/>
          <w:szCs w:val="32"/>
          <w:lang w:bidi="ar"/>
        </w:rPr>
        <w:t>年</w:t>
      </w:r>
      <w:r>
        <w:rPr>
          <w:rFonts w:hint="eastAsia" w:ascii="仿宋_GB2312" w:hAnsi="仿宋" w:eastAsia="仿宋_GB2312" w:cs="宋体"/>
          <w:sz w:val="32"/>
          <w:szCs w:val="32"/>
          <w:lang w:bidi="ar"/>
        </w:rPr>
        <w:t>12</w:t>
      </w:r>
      <w:r>
        <w:rPr>
          <w:rFonts w:ascii="仿宋_GB2312" w:hAnsi="仿宋" w:eastAsia="仿宋_GB2312" w:cs="宋体"/>
          <w:sz w:val="32"/>
          <w:szCs w:val="32"/>
          <w:lang w:bidi="ar"/>
        </w:rPr>
        <w:t>月</w:t>
      </w:r>
      <w:r>
        <w:rPr>
          <w:rFonts w:hint="eastAsia" w:ascii="仿宋_GB2312" w:hAnsi="仿宋" w:eastAsia="仿宋_GB2312" w:cs="宋体"/>
          <w:sz w:val="32"/>
          <w:szCs w:val="32"/>
          <w:lang w:bidi="ar"/>
        </w:rPr>
        <w:t>1</w:t>
      </w:r>
      <w:r>
        <w:rPr>
          <w:rFonts w:ascii="仿宋_GB2312" w:hAnsi="仿宋" w:eastAsia="仿宋_GB2312" w:cs="宋体"/>
          <w:sz w:val="32"/>
          <w:szCs w:val="32"/>
          <w:lang w:bidi="ar"/>
        </w:rPr>
        <w:t>日,项目组对</w:t>
      </w:r>
      <w:r>
        <w:rPr>
          <w:rFonts w:hint="eastAsia" w:ascii="仿宋_GB2312" w:hAnsi="仿宋" w:eastAsia="仿宋_GB2312" w:cs="宋体"/>
          <w:sz w:val="32"/>
          <w:szCs w:val="32"/>
          <w:lang w:bidi="ar"/>
        </w:rPr>
        <w:t>科技馆免费开放经费</w:t>
      </w:r>
      <w:r>
        <w:rPr>
          <w:rFonts w:ascii="仿宋_GB2312" w:hAnsi="仿宋" w:eastAsia="仿宋_GB2312" w:cs="宋体"/>
          <w:sz w:val="32"/>
          <w:szCs w:val="32"/>
          <w:lang w:bidi="ar"/>
        </w:rPr>
        <w:t>项目涉及受益</w:t>
      </w:r>
      <w:r>
        <w:rPr>
          <w:rFonts w:hint="eastAsia" w:ascii="仿宋_GB2312" w:hAnsi="仿宋" w:eastAsia="仿宋_GB2312" w:cs="宋体"/>
          <w:sz w:val="32"/>
          <w:szCs w:val="32"/>
          <w:lang w:bidi="ar"/>
        </w:rPr>
        <w:t>群体</w:t>
      </w:r>
      <w:r>
        <w:rPr>
          <w:rFonts w:ascii="仿宋_GB2312" w:hAnsi="仿宋" w:eastAsia="仿宋_GB2312" w:cs="宋体"/>
          <w:sz w:val="32"/>
          <w:szCs w:val="32"/>
          <w:lang w:bidi="ar"/>
        </w:rPr>
        <w:t>进行问卷调查。向</w:t>
      </w:r>
      <w:r>
        <w:rPr>
          <w:rFonts w:hint="eastAsia" w:ascii="仿宋_GB2312" w:hAnsi="仿宋" w:eastAsia="仿宋_GB2312" w:cs="宋体"/>
          <w:sz w:val="32"/>
          <w:szCs w:val="32"/>
          <w:lang w:bidi="ar"/>
        </w:rPr>
        <w:t>参观群体</w:t>
      </w:r>
      <w:r>
        <w:rPr>
          <w:rFonts w:ascii="仿宋_GB2312" w:hAnsi="仿宋" w:eastAsia="仿宋_GB2312" w:cs="宋体"/>
          <w:sz w:val="32"/>
          <w:szCs w:val="32"/>
          <w:lang w:bidi="ar"/>
        </w:rPr>
        <w:t>共发放</w:t>
      </w:r>
      <w:r>
        <w:rPr>
          <w:rFonts w:hint="eastAsia" w:ascii="仿宋_GB2312" w:hAnsi="仿宋" w:eastAsia="仿宋_GB2312" w:cs="宋体"/>
          <w:sz w:val="32"/>
          <w:szCs w:val="32"/>
          <w:lang w:bidi="ar"/>
        </w:rPr>
        <w:t>200</w:t>
      </w:r>
      <w:r>
        <w:rPr>
          <w:rFonts w:ascii="仿宋_GB2312" w:hAnsi="仿宋" w:eastAsia="仿宋_GB2312" w:cs="宋体"/>
          <w:sz w:val="32"/>
          <w:szCs w:val="32"/>
          <w:lang w:bidi="ar"/>
        </w:rPr>
        <w:t>份问卷,回收</w:t>
      </w:r>
      <w:r>
        <w:rPr>
          <w:rFonts w:hint="eastAsia" w:ascii="仿宋_GB2312" w:hAnsi="仿宋" w:eastAsia="仿宋_GB2312" w:cs="宋体"/>
          <w:sz w:val="32"/>
          <w:szCs w:val="32"/>
          <w:lang w:bidi="ar"/>
        </w:rPr>
        <w:t>200</w:t>
      </w:r>
      <w:r>
        <w:rPr>
          <w:rFonts w:ascii="仿宋_GB2312" w:hAnsi="仿宋" w:eastAsia="仿宋_GB2312" w:cs="宋体"/>
          <w:sz w:val="32"/>
          <w:szCs w:val="32"/>
          <w:lang w:bidi="ar"/>
        </w:rPr>
        <w:t>份问卷,其中有效问卷为</w:t>
      </w:r>
      <w:r>
        <w:rPr>
          <w:rFonts w:hint="eastAsia" w:ascii="仿宋_GB2312" w:hAnsi="仿宋" w:eastAsia="仿宋_GB2312" w:cs="宋体"/>
          <w:sz w:val="32"/>
          <w:szCs w:val="32"/>
          <w:lang w:bidi="ar"/>
        </w:rPr>
        <w:t>200</w:t>
      </w:r>
      <w:r>
        <w:rPr>
          <w:rFonts w:ascii="仿宋_GB2312" w:hAnsi="仿宋" w:eastAsia="仿宋_GB2312" w:cs="宋体"/>
          <w:sz w:val="32"/>
          <w:szCs w:val="32"/>
          <w:lang w:bidi="ar"/>
        </w:rPr>
        <w:t>份,有效问卷为</w:t>
      </w:r>
      <w:r>
        <w:rPr>
          <w:rFonts w:hint="eastAsia" w:ascii="仿宋_GB2312" w:hAnsi="仿宋" w:eastAsia="仿宋_GB2312" w:cs="宋体"/>
          <w:sz w:val="32"/>
          <w:szCs w:val="32"/>
          <w:lang w:bidi="ar"/>
        </w:rPr>
        <w:t>100</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，再</w:t>
      </w:r>
      <w:r>
        <w:rPr>
          <w:rFonts w:ascii="仿宋_GB2312" w:hAnsi="仿宋" w:eastAsia="仿宋_GB2312" w:cs="宋体"/>
          <w:sz w:val="32"/>
          <w:szCs w:val="32"/>
          <w:lang w:bidi="ar"/>
        </w:rPr>
        <w:t>通过问卷录入、分析、整理后,形成社会调查满意度报告</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（2）数据分析及撰写报告</w:t>
      </w:r>
    </w:p>
    <w:p>
      <w:pPr>
        <w:spacing w:line="56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201</w:t>
      </w:r>
      <w:r>
        <w:rPr>
          <w:rFonts w:hint="eastAsia" w:ascii="仿宋_GB2312" w:hAnsi="仿宋" w:eastAsia="仿宋_GB2312" w:cs="宋体"/>
          <w:sz w:val="32"/>
          <w:szCs w:val="32"/>
          <w:lang w:bidi="ar"/>
        </w:rPr>
        <w:t>9</w:t>
      </w:r>
      <w:r>
        <w:rPr>
          <w:rFonts w:ascii="仿宋_GB2312" w:hAnsi="仿宋" w:eastAsia="仿宋_GB2312" w:cs="宋体"/>
          <w:sz w:val="32"/>
          <w:szCs w:val="32"/>
          <w:lang w:bidi="ar"/>
        </w:rPr>
        <w:t>年</w:t>
      </w:r>
      <w:r>
        <w:rPr>
          <w:rFonts w:hint="eastAsia" w:ascii="仿宋_GB2312" w:hAnsi="仿宋" w:eastAsia="仿宋_GB2312" w:cs="宋体"/>
          <w:sz w:val="32"/>
          <w:szCs w:val="32"/>
          <w:lang w:bidi="ar"/>
        </w:rPr>
        <w:t>12</w:t>
      </w:r>
      <w:r>
        <w:rPr>
          <w:rFonts w:ascii="仿宋_GB2312" w:hAnsi="仿宋" w:eastAsia="仿宋_GB2312" w:cs="宋体"/>
          <w:sz w:val="32"/>
          <w:szCs w:val="32"/>
          <w:lang w:bidi="ar"/>
        </w:rPr>
        <w:t>月</w:t>
      </w:r>
      <w:r>
        <w:rPr>
          <w:rFonts w:hint="eastAsia" w:ascii="仿宋_GB2312" w:hAnsi="仿宋" w:eastAsia="仿宋_GB2312" w:cs="宋体"/>
          <w:sz w:val="32"/>
          <w:szCs w:val="32"/>
          <w:lang w:bidi="ar"/>
        </w:rPr>
        <w:t>1</w:t>
      </w:r>
      <w:r>
        <w:rPr>
          <w:rFonts w:ascii="仿宋_GB2312" w:hAnsi="仿宋" w:eastAsia="仿宋_GB2312" w:cs="宋体"/>
          <w:sz w:val="32"/>
          <w:szCs w:val="32"/>
          <w:lang w:bidi="ar"/>
        </w:rPr>
        <w:t>日-201</w:t>
      </w:r>
      <w:r>
        <w:rPr>
          <w:rFonts w:hint="eastAsia" w:ascii="仿宋_GB2312" w:hAnsi="仿宋" w:eastAsia="仿宋_GB2312" w:cs="宋体"/>
          <w:sz w:val="32"/>
          <w:szCs w:val="32"/>
          <w:lang w:bidi="ar"/>
        </w:rPr>
        <w:t>9</w:t>
      </w:r>
      <w:r>
        <w:rPr>
          <w:rFonts w:ascii="仿宋_GB2312" w:hAnsi="仿宋" w:eastAsia="仿宋_GB2312" w:cs="宋体"/>
          <w:sz w:val="32"/>
          <w:szCs w:val="32"/>
          <w:lang w:bidi="ar"/>
        </w:rPr>
        <w:t>年</w:t>
      </w:r>
      <w:r>
        <w:rPr>
          <w:rFonts w:hint="eastAsia" w:ascii="仿宋_GB2312" w:hAnsi="仿宋" w:eastAsia="仿宋_GB2312" w:cs="宋体"/>
          <w:sz w:val="32"/>
          <w:szCs w:val="32"/>
          <w:lang w:bidi="ar"/>
        </w:rPr>
        <w:t>12</w:t>
      </w:r>
      <w:r>
        <w:rPr>
          <w:rFonts w:ascii="仿宋_GB2312" w:hAnsi="仿宋" w:eastAsia="仿宋_GB2312" w:cs="宋体"/>
          <w:sz w:val="32"/>
          <w:szCs w:val="32"/>
          <w:lang w:bidi="ar"/>
        </w:rPr>
        <w:t>月</w:t>
      </w:r>
      <w:r>
        <w:rPr>
          <w:rFonts w:hint="eastAsia" w:ascii="仿宋_GB2312" w:hAnsi="仿宋" w:eastAsia="仿宋_GB2312" w:cs="宋体"/>
          <w:sz w:val="32"/>
          <w:szCs w:val="32"/>
          <w:lang w:bidi="ar"/>
        </w:rPr>
        <w:t>15</w:t>
      </w:r>
      <w:r>
        <w:rPr>
          <w:rFonts w:ascii="仿宋_GB2312" w:hAnsi="仿宋" w:eastAsia="仿宋_GB2312" w:cs="宋体"/>
          <w:sz w:val="32"/>
          <w:szCs w:val="32"/>
          <w:lang w:bidi="ar"/>
        </w:rPr>
        <w:t>日,项目组根据绩效评价的原理和规范,对采集的数据进行甄别、分析和评分,并提炼结论撰写报告,在规定时间内上报委托方,由委托方组织相关专家对报告进行评审。</w:t>
      </w:r>
    </w:p>
    <w:p>
      <w:pPr>
        <w:pStyle w:val="28"/>
        <w:numPr>
          <w:ilvl w:val="0"/>
          <w:numId w:val="2"/>
        </w:numPr>
        <w:spacing w:before="0" w:after="0" w:line="560" w:lineRule="exact"/>
        <w:ind w:left="0" w:firstLine="643"/>
        <w:rPr>
          <w:lang w:bidi="ar"/>
        </w:rPr>
      </w:pPr>
      <w:bookmarkStart w:id="7" w:name="_Toc26401558"/>
      <w:r>
        <w:rPr>
          <w:rFonts w:hint="eastAsia" w:ascii="黑体" w:hAnsi="黑体"/>
        </w:rPr>
        <w:t>综合评价情况及评价结论</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评价通过文件研读、实地调研、数据分析等方式，全面了解了项目资金的使用效率和效果，项目管理过程规范，按照实施方案完成了预期绩效目标。通过开展预算绩效管理和绩效自评工作，以强化单位职能为核心，通过建立科学合理的绩效机制，客观准确的评价我单位项目支出绩效，不断完善绩效评价体系，加强监督检查和考核工作。同时，通过开展自我评价来总结经验,为今后同类项目的执行与实施提供了参考依据。</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经综合评价，此项目得分为96分，今后我单位会进一步加强注重结果导向、强调成本效益、硬化责任约束，不断加强绩效管理队伍建设，提升业务素质，提高预算管理水平和政策实施效果，实现预算和绩效管理，着力提高财政资源配置效率和使用效益，全面提升我单位公共服务水平。</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评价结果为优，详见附件4。</w:t>
      </w:r>
    </w:p>
    <w:p>
      <w:pPr>
        <w:pStyle w:val="28"/>
        <w:numPr>
          <w:ilvl w:val="0"/>
          <w:numId w:val="2"/>
        </w:numPr>
        <w:spacing w:before="0" w:after="0" w:line="560" w:lineRule="exact"/>
        <w:ind w:left="0" w:firstLine="643"/>
        <w:rPr>
          <w:lang w:bidi="ar"/>
        </w:rPr>
      </w:pPr>
      <w:r>
        <w:rPr>
          <w:rFonts w:hint="eastAsia"/>
          <w:lang w:bidi="ar"/>
        </w:rPr>
        <w:t>绩效评价指标分析</w:t>
      </w:r>
      <w:bookmarkEnd w:id="7"/>
    </w:p>
    <w:p>
      <w:pPr>
        <w:pStyle w:val="24"/>
        <w:numPr>
          <w:ilvl w:val="0"/>
          <w:numId w:val="7"/>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33"/>
        <w:numPr>
          <w:ilvl w:val="0"/>
          <w:numId w:val="8"/>
        </w:numPr>
        <w:spacing w:line="560" w:lineRule="exact"/>
        <w:ind w:firstLine="640"/>
        <w:rPr>
          <w:rFonts w:ascii="仿宋_GB2312" w:hAnsi="仿宋" w:cs="宋体"/>
          <w:sz w:val="32"/>
          <w:szCs w:val="32"/>
          <w:lang w:bidi="ar"/>
        </w:rPr>
      </w:pPr>
      <w:r>
        <w:rPr>
          <w:rFonts w:hint="eastAsia" w:ascii="仿宋_GB2312" w:hAnsi="仿宋" w:cs="宋体"/>
          <w:sz w:val="32"/>
          <w:szCs w:val="32"/>
          <w:lang w:bidi="ar"/>
        </w:rPr>
        <w:t>决策依据</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本项目根据《叶城县科技局资金拨付制度》、《叶城县科技局财务监督管理制度》、《叶城县科技馆专项资金管理使用办法》等有关规定立项</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促进科技馆免费开放力度，拓宽科普宣传效果充分发挥科技馆的宣传效果。</w:t>
      </w:r>
      <w:r>
        <w:rPr>
          <w:rFonts w:ascii="仿宋_GB2312" w:hAnsi="仿宋" w:eastAsia="仿宋_GB2312" w:cs="宋体"/>
          <w:sz w:val="32"/>
          <w:szCs w:val="32"/>
          <w:lang w:bidi="ar"/>
        </w:rPr>
        <w:t>项目设立与国家政策和部门职能相符。</w:t>
      </w:r>
    </w:p>
    <w:p>
      <w:pPr>
        <w:numPr>
          <w:ilvl w:val="0"/>
          <w:numId w:val="8"/>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决策程序</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最后由叶城县科技局申请，叶城县科技局党组经过多次讨论，确定工作人员名单，并按要求将相关算申请材料报送县政府、财政局对申报项目进行研讨、分析。故该项目预算前期编制进行了实地调查论证及充分研究，预算编制谨慎。</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2019年 2月经县政府、财政局审核批准逐级下达预算批复后，项目开始实施。该项目决策程序合规合法。</w:t>
      </w:r>
    </w:p>
    <w:p>
      <w:pPr>
        <w:numPr>
          <w:ilvl w:val="0"/>
          <w:numId w:val="8"/>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目标设置</w:t>
      </w:r>
    </w:p>
    <w:p>
      <w:pPr>
        <w:spacing w:line="56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该项目前期项目单位已设置了明确、量化的绩效目标，但其部分绩效指标的设置过于笼统不够细化，经评价小组与</w:t>
      </w:r>
      <w:r>
        <w:rPr>
          <w:rFonts w:hint="eastAsia" w:ascii="仿宋_GB2312" w:hAnsi="仿宋" w:eastAsia="仿宋_GB2312" w:cs="宋体"/>
          <w:sz w:val="32"/>
          <w:szCs w:val="32"/>
          <w:lang w:bidi="ar"/>
        </w:rPr>
        <w:t>叶城县绩效第三方进行咨询商议</w:t>
      </w:r>
      <w:r>
        <w:rPr>
          <w:rFonts w:ascii="仿宋_GB2312" w:hAnsi="仿宋" w:eastAsia="仿宋_GB2312" w:cs="宋体"/>
          <w:sz w:val="32"/>
          <w:szCs w:val="32"/>
          <w:lang w:bidi="ar"/>
        </w:rPr>
        <w:t>，将原有的绩效目标和绩效指标根据项目实际开展情况进一步细化，将绩效目标细分，精准设置绩效指标及准确指标值的表述，因此该项目绩效评价指标体系可明确反映项目目标，项目绩效评价指标体系分为 2 类指标，其中：共性指标数量为</w:t>
      </w:r>
      <w:r>
        <w:rPr>
          <w:rFonts w:hint="eastAsia" w:ascii="仿宋_GB2312" w:hAnsi="仿宋" w:eastAsia="仿宋_GB2312" w:cs="宋体"/>
          <w:sz w:val="32"/>
          <w:szCs w:val="32"/>
          <w:lang w:bidi="ar"/>
        </w:rPr>
        <w:t>6</w:t>
      </w:r>
      <w:r>
        <w:rPr>
          <w:rFonts w:ascii="仿宋_GB2312" w:hAnsi="仿宋" w:eastAsia="仿宋_GB2312" w:cs="宋体"/>
          <w:sz w:val="32"/>
          <w:szCs w:val="32"/>
          <w:lang w:bidi="ar"/>
        </w:rPr>
        <w:t xml:space="preserve"> 个，项目共性指标包括目标内容、决策依据、决策程序、预算管理、资金到位、财务管理、组织机构、制度建设、过程控制；个性指标包括该项目的数量指标、质量指标、时效指标、成本指标、社会效益指标、可持续影响指标以及满意度指标等</w:t>
      </w:r>
      <w:r>
        <w:rPr>
          <w:rFonts w:hint="eastAsia" w:ascii="仿宋_GB2312" w:hAnsi="仿宋" w:eastAsia="仿宋_GB2312" w:cs="宋体"/>
          <w:sz w:val="32"/>
          <w:szCs w:val="32"/>
          <w:lang w:bidi="ar"/>
        </w:rPr>
        <w:t>，共计8个</w:t>
      </w:r>
      <w:r>
        <w:rPr>
          <w:rFonts w:ascii="仿宋_GB2312" w:hAnsi="仿宋" w:eastAsia="仿宋_GB2312" w:cs="宋体"/>
          <w:sz w:val="32"/>
          <w:szCs w:val="32"/>
          <w:lang w:bidi="ar"/>
        </w:rPr>
        <w:t>。</w:t>
      </w:r>
    </w:p>
    <w:p>
      <w:pPr>
        <w:pStyle w:val="24"/>
        <w:numPr>
          <w:ilvl w:val="0"/>
          <w:numId w:val="7"/>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numPr>
          <w:ilvl w:val="0"/>
          <w:numId w:val="9"/>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资金管理</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叶城县科技局根据《叶城县科技局财务管理制度》《叶城县科技局专项资金管理制度》进行支付，项目支出严格按照支付程序，并由科技局党组讨论研究决定，坚持实行实施一个项目，支付一笔资金、报账一笔资金，资金跟着项目走，项目跟着需求走。资金按时到位，到位率100%。项目资金到位保证足额及时，及时支付，并制定相应的资金管理制度《叶城县科技局资金管理制度》符合国家法规和财务管理制度；坚决保证资金拨付流程合理合规，有完整的审批程序和手续，不存在截留、挤占、挪用、虚列支出等情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（2）组织实施</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仿宋" w:eastAsia="仿宋_GB2312"/>
          <w:sz w:val="32"/>
          <w:szCs w:val="32"/>
          <w:lang w:bidi="ar"/>
        </w:rPr>
        <w:t>1.叶</w:t>
      </w:r>
      <w:r>
        <w:rPr>
          <w:rFonts w:hint="eastAsia" w:ascii="仿宋_GB2312" w:hAnsi="Times New Roman" w:eastAsia="仿宋_GB2312"/>
          <w:kern w:val="2"/>
          <w:sz w:val="32"/>
          <w:szCs w:val="32"/>
        </w:rPr>
        <w:t>城县科技局在项目管理上总体情况较好。该项目预算资金安排21万元，项目实际使用资金21万元，资金按照规定制度及时支付到位。为保证资金的高效、合规使用，叶城县科技局制定并依据项目实施方案，充分发挥科技馆免费开放的效果，加大科普宣传力度。</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2.从制度建设看：制定了相应的管理制度。</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3.从过程控制部分看：严格按照资金支出的管理办法，对审批过程和流程进行了统一和规范，确保项目高质量完成。</w:t>
      </w:r>
    </w:p>
    <w:p>
      <w:pPr>
        <w:pStyle w:val="24"/>
        <w:numPr>
          <w:ilvl w:val="0"/>
          <w:numId w:val="7"/>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项目产出情况</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按照我单位年初制定的工作计划，以及资金预算情况，不断加大科普宣传力度，全年科技馆免费参观人数6万人次，参观群体包含青少年、基层干部、等各类社会群体，其中，青少年参观人数达5万人；项目全年实施，保障科技馆全年免费开放超过230天，有效发挥了科技馆的免费开放力度，加大科普宣传；在参观群体中，按照每人3.5元的标准，节约免费开放成本，有效发挥免费开放经费的最大成效。</w:t>
      </w:r>
    </w:p>
    <w:tbl>
      <w:tblPr>
        <w:tblStyle w:val="13"/>
        <w:tblW w:w="8342" w:type="dxa"/>
        <w:tblInd w:w="0" w:type="dxa"/>
        <w:tblLayout w:type="fixed"/>
        <w:tblCellMar>
          <w:top w:w="0" w:type="dxa"/>
          <w:left w:w="0" w:type="dxa"/>
          <w:bottom w:w="0" w:type="dxa"/>
          <w:right w:w="0" w:type="dxa"/>
        </w:tblCellMar>
      </w:tblPr>
      <w:tblGrid>
        <w:gridCol w:w="1267"/>
        <w:gridCol w:w="1267"/>
        <w:gridCol w:w="3332"/>
        <w:gridCol w:w="1356"/>
        <w:gridCol w:w="1120"/>
      </w:tblGrid>
      <w:tr>
        <w:tblPrEx>
          <w:tblCellMar>
            <w:top w:w="0" w:type="dxa"/>
            <w:left w:w="0" w:type="dxa"/>
            <w:bottom w:w="0" w:type="dxa"/>
            <w:right w:w="0" w:type="dxa"/>
          </w:tblCellMar>
        </w:tblPrEx>
        <w:trPr>
          <w:trHeight w:val="500" w:hRule="atLeast"/>
        </w:trPr>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一级指标</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二级指标</w:t>
            </w:r>
          </w:p>
        </w:tc>
        <w:tc>
          <w:tcPr>
            <w:tcW w:w="3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三级指标</w:t>
            </w:r>
          </w:p>
        </w:tc>
        <w:tc>
          <w:tcPr>
            <w:tcW w:w="13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年度指标值</w:t>
            </w: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2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产出指标</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数量指标</w:t>
            </w:r>
          </w:p>
        </w:tc>
        <w:tc>
          <w:tcPr>
            <w:tcW w:w="3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科技馆免费参观（人次）</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60000</w:t>
            </w: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60000</w:t>
            </w:r>
          </w:p>
        </w:tc>
      </w:tr>
      <w:tr>
        <w:tblPrEx>
          <w:tblCellMar>
            <w:top w:w="0" w:type="dxa"/>
            <w:left w:w="0" w:type="dxa"/>
            <w:bottom w:w="0" w:type="dxa"/>
            <w:right w:w="0" w:type="dxa"/>
          </w:tblCellMar>
        </w:tblPrEx>
        <w:trPr>
          <w:trHeight w:val="500" w:hRule="atLeast"/>
        </w:trPr>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质量指标</w:t>
            </w:r>
          </w:p>
        </w:tc>
        <w:tc>
          <w:tcPr>
            <w:tcW w:w="3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资金到位保障率（%）</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时效指标</w:t>
            </w:r>
          </w:p>
        </w:tc>
        <w:tc>
          <w:tcPr>
            <w:tcW w:w="3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当年开工率（%）</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当年完工率（%）</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成本指标</w:t>
            </w:r>
          </w:p>
        </w:tc>
        <w:tc>
          <w:tcPr>
            <w:tcW w:w="3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科技馆免费参观人员成本单价（元/人）</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3.5</w:t>
            </w: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3.5</w:t>
            </w:r>
          </w:p>
        </w:tc>
      </w:tr>
    </w:tbl>
    <w:p>
      <w:pPr>
        <w:pStyle w:val="24"/>
        <w:numPr>
          <w:ilvl w:val="0"/>
          <w:numId w:val="7"/>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项目效益情况</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科技馆免费开放中，科普宣传作用明显加强，青少年、等在互动体验中，对科技产生了浓厚的兴趣，对农业科技有了新认识，不断开拓视野；青少年群体不断增强创新意识，增强对科技探索与想象，形成了良好的科技氛围。</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叶城县科技馆全年免费开放，不断扩大科技馆参观人数和社会覆盖面，全年结合实际情况，开展主题参观，不断增强科技在各个领域的广泛应用，进一步提高各群体对科技的重视程度。按照对科技馆参观受益群众的问卷调查，充分感受到群众的浓厚兴趣，问卷调查满意度100%。</w:t>
      </w:r>
    </w:p>
    <w:tbl>
      <w:tblPr>
        <w:tblStyle w:val="13"/>
        <w:tblW w:w="8342" w:type="dxa"/>
        <w:tblInd w:w="0" w:type="dxa"/>
        <w:tblLayout w:type="fixed"/>
        <w:tblCellMar>
          <w:top w:w="0" w:type="dxa"/>
          <w:left w:w="0" w:type="dxa"/>
          <w:bottom w:w="0" w:type="dxa"/>
          <w:right w:w="0" w:type="dxa"/>
        </w:tblCellMar>
      </w:tblPr>
      <w:tblGrid>
        <w:gridCol w:w="1266"/>
        <w:gridCol w:w="1267"/>
        <w:gridCol w:w="3333"/>
        <w:gridCol w:w="1356"/>
        <w:gridCol w:w="1120"/>
      </w:tblGrid>
      <w:tr>
        <w:tblPrEx>
          <w:tblCellMar>
            <w:top w:w="0" w:type="dxa"/>
            <w:left w:w="0" w:type="dxa"/>
            <w:bottom w:w="0" w:type="dxa"/>
            <w:right w:w="0" w:type="dxa"/>
          </w:tblCellMar>
        </w:tblPrEx>
        <w:trPr>
          <w:trHeight w:val="500" w:hRule="atLeast"/>
        </w:trPr>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一级指标</w:t>
            </w:r>
          </w:p>
        </w:tc>
        <w:tc>
          <w:tcPr>
            <w:tcW w:w="126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二级指标</w:t>
            </w:r>
          </w:p>
        </w:tc>
        <w:tc>
          <w:tcPr>
            <w:tcW w:w="3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三级指标</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年度指标值</w:t>
            </w: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26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效益指标</w:t>
            </w:r>
          </w:p>
        </w:tc>
        <w:tc>
          <w:tcPr>
            <w:tcW w:w="126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经济效益指标</w:t>
            </w:r>
          </w:p>
        </w:tc>
        <w:tc>
          <w:tcPr>
            <w:tcW w:w="3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8"/>
                <w:szCs w:val="18"/>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r>
      <w:tr>
        <w:tblPrEx>
          <w:tblCellMar>
            <w:top w:w="0" w:type="dxa"/>
            <w:left w:w="0" w:type="dxa"/>
            <w:bottom w:w="0" w:type="dxa"/>
            <w:right w:w="0" w:type="dxa"/>
          </w:tblCellMar>
        </w:tblPrEx>
        <w:trPr>
          <w:trHeight w:val="500" w:hRule="atLeast"/>
        </w:trPr>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6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社会效益指标</w:t>
            </w:r>
          </w:p>
        </w:tc>
        <w:tc>
          <w:tcPr>
            <w:tcW w:w="3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提高青少年科学知识普及率</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r>
      <w:tr>
        <w:tblPrEx>
          <w:tblCellMar>
            <w:top w:w="0" w:type="dxa"/>
            <w:left w:w="0" w:type="dxa"/>
            <w:bottom w:w="0" w:type="dxa"/>
            <w:right w:w="0" w:type="dxa"/>
          </w:tblCellMar>
        </w:tblPrEx>
        <w:trPr>
          <w:trHeight w:val="500" w:hRule="atLeast"/>
        </w:trPr>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6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生态效益指标</w:t>
            </w:r>
          </w:p>
        </w:tc>
        <w:tc>
          <w:tcPr>
            <w:tcW w:w="3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8"/>
                <w:szCs w:val="18"/>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FF0000"/>
                <w:sz w:val="18"/>
                <w:szCs w:val="18"/>
              </w:rPr>
            </w:pPr>
          </w:p>
        </w:tc>
      </w:tr>
      <w:tr>
        <w:tblPrEx>
          <w:tblCellMar>
            <w:top w:w="0" w:type="dxa"/>
            <w:left w:w="0" w:type="dxa"/>
            <w:bottom w:w="0" w:type="dxa"/>
            <w:right w:w="0" w:type="dxa"/>
          </w:tblCellMar>
        </w:tblPrEx>
        <w:trPr>
          <w:trHeight w:val="500" w:hRule="atLeast"/>
        </w:trPr>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可持续影响指标</w:t>
            </w:r>
          </w:p>
        </w:tc>
        <w:tc>
          <w:tcPr>
            <w:tcW w:w="3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项目持续年限（年）</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r>
      <w:tr>
        <w:tblPrEx>
          <w:tblCellMar>
            <w:top w:w="0" w:type="dxa"/>
            <w:left w:w="0" w:type="dxa"/>
            <w:bottom w:w="0" w:type="dxa"/>
            <w:right w:w="0" w:type="dxa"/>
          </w:tblCellMar>
        </w:tblPrEx>
        <w:trPr>
          <w:trHeight w:val="500" w:hRule="atLeast"/>
        </w:trPr>
        <w:tc>
          <w:tcPr>
            <w:tcW w:w="126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满意度指标</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服务对象满意度指标</w:t>
            </w:r>
          </w:p>
        </w:tc>
        <w:tc>
          <w:tcPr>
            <w:tcW w:w="3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项目受益者满意度（%）</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94%</w:t>
            </w:r>
          </w:p>
        </w:tc>
      </w:tr>
    </w:tbl>
    <w:p>
      <w:pPr>
        <w:pStyle w:val="28"/>
        <w:numPr>
          <w:ilvl w:val="0"/>
          <w:numId w:val="2"/>
        </w:numPr>
        <w:spacing w:before="0" w:after="0" w:line="560" w:lineRule="exact"/>
        <w:ind w:left="0" w:firstLine="643"/>
        <w:rPr>
          <w:lang w:bidi="ar"/>
        </w:rPr>
      </w:pPr>
      <w:r>
        <w:rPr>
          <w:rFonts w:hint="eastAsia" w:ascii="黑体" w:hAnsi="黑体"/>
        </w:rPr>
        <w:t>主要经验及做法、存在的问题及原因分析</w:t>
      </w:r>
    </w:p>
    <w:p>
      <w:pPr>
        <w:pStyle w:val="30"/>
        <w:numPr>
          <w:ilvl w:val="0"/>
          <w:numId w:val="10"/>
        </w:numPr>
        <w:spacing w:before="0" w:after="0" w:line="560" w:lineRule="exact"/>
        <w:ind w:left="0" w:firstLine="643" w:firstLineChars="200"/>
        <w:rPr>
          <w:lang w:bidi="ar"/>
        </w:rPr>
      </w:pPr>
      <w:r>
        <w:rPr>
          <w:rFonts w:hint="eastAsia"/>
          <w:lang w:bidi="ar"/>
        </w:rPr>
        <w:t>主要经验及做法</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主要开展学术交流和学术研究;组织开展科普活动;牵头实施《科学素质纲要》，提升全市科学素质;反映科技工作者的意见和要求，维护科技工作者的合法权益;宣传、表彰、举荐优秀科技工作者;开展经济、科技、社会事业等方面的软科学研究，参与科学论证、决策咨询;接受委托承担项目评估、成果鉴定、专业技术职务资格评审等任务;开展国际间科技合作与交流活动;对全市各类科技团体进行管理和业务指导;开展继续宣讲和培训等。</w:t>
      </w:r>
    </w:p>
    <w:p>
      <w:pPr>
        <w:pStyle w:val="30"/>
        <w:numPr>
          <w:ilvl w:val="0"/>
          <w:numId w:val="10"/>
        </w:numPr>
        <w:spacing w:before="0" w:after="0" w:line="560" w:lineRule="exact"/>
        <w:ind w:left="0" w:firstLine="643" w:firstLineChars="200"/>
        <w:rPr>
          <w:lang w:bidi="ar"/>
        </w:rPr>
      </w:pPr>
      <w:r>
        <w:rPr>
          <w:rFonts w:hint="eastAsia"/>
          <w:lang w:bidi="ar"/>
        </w:rPr>
        <w:t>存在的问题及原因分析</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 xml:space="preserve">  1.项目建设的程序进一步规范。</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项目前期做好可行性研究报告，更加细化实施方案，严格执行资金管理办法和财政资金管理制度，严格按照项目实施方案、招投标管理办法等稳步推进工作，</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2.项目资料有待进一步完善。</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项目启动时同步做好档案的归档与整理，及时整理、收集、汇总，健全档案资料。</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3.项目后续管理有待进一步加强。</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通过绩效管理，发现项目实施中存在漏洞，减少采购成本。以后加强管理，及时掌握与之相关的各类信息，减少成本，使资金效益最大化。</w:t>
      </w:r>
    </w:p>
    <w:p>
      <w:pPr>
        <w:pStyle w:val="28"/>
        <w:numPr>
          <w:ilvl w:val="0"/>
          <w:numId w:val="2"/>
        </w:numPr>
        <w:spacing w:before="0" w:after="0" w:line="560" w:lineRule="exact"/>
        <w:ind w:left="0" w:firstLine="643"/>
        <w:rPr>
          <w:rFonts w:ascii="黑体" w:hAnsi="黑体"/>
        </w:rPr>
      </w:pPr>
      <w:r>
        <w:rPr>
          <w:rFonts w:hint="eastAsia" w:ascii="黑体" w:hAnsi="黑体"/>
        </w:rPr>
        <w:t>有关建议</w:t>
      </w:r>
    </w:p>
    <w:p>
      <w:pPr>
        <w:pStyle w:val="12"/>
        <w:spacing w:before="0" w:beforeAutospacing="0" w:after="0" w:afterAutospacing="0" w:line="560" w:lineRule="exact"/>
        <w:ind w:firstLine="480" w:firstLineChars="200"/>
        <w:rPr>
          <w:rFonts w:ascii="仿宋_GB2312" w:hAnsi="Times New Roman" w:eastAsia="仿宋_GB2312"/>
          <w:kern w:val="2"/>
          <w:sz w:val="32"/>
          <w:szCs w:val="32"/>
        </w:rPr>
      </w:pPr>
      <w:r>
        <w:rPr>
          <w:rFonts w:ascii="黑体" w:hAnsi="黑体"/>
        </w:rPr>
        <w:t xml:space="preserve"> </w:t>
      </w:r>
      <w:r>
        <w:rPr>
          <w:rFonts w:hint="eastAsia" w:ascii="仿宋" w:hAnsi="仿宋" w:eastAsia="仿宋" w:cs="仿宋"/>
          <w:sz w:val="32"/>
          <w:szCs w:val="32"/>
        </w:rPr>
        <w:t xml:space="preserve"> 一、</w:t>
      </w:r>
      <w:r>
        <w:rPr>
          <w:rFonts w:hint="eastAsia" w:ascii="仿宋_GB2312" w:hAnsi="Times New Roman" w:eastAsia="仿宋_GB2312"/>
          <w:kern w:val="2"/>
          <w:sz w:val="32"/>
          <w:szCs w:val="32"/>
        </w:rPr>
        <w:t>加大项目建设程序的规范化，在项目报批之前有单位党组研究决定，并经过专家做出可行性分析，确保项目程序规范化、标准化，使得项目取得最大效益。</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二、完善项目资料的管理，在项目实施中，完善项目各个阶段的档案管理，由专人负责项目档案，确保项目档案完整有序。</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三、强化项目绩效管理，进一步加强项目绩效分析，在项目实施中，通过绩效分析，做好下一阶段的项目申报工作，及时与项目对比，确保项目实施有序开展。</w:t>
      </w:r>
    </w:p>
    <w:p>
      <w:pPr>
        <w:pStyle w:val="28"/>
        <w:numPr>
          <w:ilvl w:val="0"/>
          <w:numId w:val="2"/>
        </w:numPr>
        <w:spacing w:before="0" w:after="0" w:line="560" w:lineRule="exact"/>
        <w:ind w:left="0" w:firstLine="643"/>
        <w:rPr>
          <w:rFonts w:ascii="黑体" w:hAnsi="黑体"/>
        </w:rPr>
      </w:pPr>
      <w:r>
        <w:rPr>
          <w:rFonts w:hint="eastAsia" w:ascii="黑体" w:hAnsi="黑体"/>
        </w:rPr>
        <w:t>其他需要说明的问题</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1.以科技馆为依托，不断加强青少年科技选举，鼓励青少年开展创新创业活动，提升青少年对科技的兴趣。以科技创新大赛为引领，营造浓厚的科技氛围，不断提高青少年的认识;</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2.深入开展全国科普示范县(市、区)、科普宣讲基地、自治区青少年科普宣讲示范基地等创建活动，不断提升科技馆知名度，提高科普宣传作用。</w:t>
      </w:r>
    </w:p>
    <w:p>
      <w:pPr>
        <w:pStyle w:val="12"/>
        <w:spacing w:before="0" w:beforeAutospacing="0" w:after="0" w:afterAutospacing="0" w:line="560" w:lineRule="exact"/>
        <w:ind w:firstLine="640" w:firstLineChars="200"/>
        <w:rPr>
          <w:rFonts w:ascii="仿宋_GB2312" w:hAnsi="Times New Roman" w:eastAsia="仿宋_GB2312"/>
          <w:kern w:val="2"/>
          <w:sz w:val="32"/>
          <w:szCs w:val="32"/>
        </w:rPr>
      </w:pPr>
      <w:r>
        <w:rPr>
          <w:rFonts w:hint="eastAsia" w:ascii="仿宋_GB2312" w:hAnsi="Times New Roman" w:eastAsia="仿宋_GB2312"/>
          <w:kern w:val="2"/>
          <w:sz w:val="32"/>
          <w:szCs w:val="32"/>
        </w:rPr>
        <w:t>3.发挥科技馆的互动性和趣味性，不断提高大家对科技的兴趣，在互动娱乐中感受到现代科技之美。同时加大科技馆开放力度，邀请全县群众参观科技馆，亲身体会科技日新月异的变化，不断在全社会形成良好的科学氛围。</w:t>
      </w:r>
    </w:p>
    <w:p>
      <w:pPr>
        <w:spacing w:line="560" w:lineRule="exact"/>
        <w:ind w:firstLine="640" w:firstLineChars="200"/>
        <w:rPr>
          <w:rFonts w:ascii="仿宋_GB2312" w:hAnsi="仿宋" w:eastAsia="仿宋_GB2312" w:cs="宋体"/>
          <w:sz w:val="32"/>
          <w:szCs w:val="32"/>
          <w:lang w:bidi="ar"/>
        </w:rPr>
      </w:pPr>
    </w:p>
    <w:p>
      <w:pPr>
        <w:spacing w:line="560" w:lineRule="exact"/>
        <w:ind w:firstLine="640" w:firstLineChars="200"/>
        <w:rPr>
          <w:rFonts w:ascii="仿宋_GB2312" w:hAnsi="仿宋" w:eastAsia="仿宋_GB2312" w:cs="宋体"/>
          <w:sz w:val="32"/>
          <w:szCs w:val="32"/>
          <w:lang w:bidi="ar"/>
        </w:rPr>
      </w:pP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附件1：喀什地区叶城县科技局科技馆免费开放项目支出绩效目标申报表</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附件2：喀什地区叶城县科技局科技馆免费开放项目支出绩效自评表</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附件3：喀什地区叶城县科技局科技馆免费开放项目支出绩效评价指标体系</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F5D7B307"/>
    <w:multiLevelType w:val="singleLevel"/>
    <w:tmpl w:val="F5D7B307"/>
    <w:lvl w:ilvl="0" w:tentative="0">
      <w:start w:val="1"/>
      <w:numFmt w:val="decimal"/>
      <w:suff w:val="nothing"/>
      <w:lvlText w:val="（%1）"/>
      <w:lvlJc w:val="left"/>
    </w:lvl>
  </w:abstractNum>
  <w:abstractNum w:abstractNumId="2">
    <w:nsid w:val="0000000A"/>
    <w:multiLevelType w:val="singleLevel"/>
    <w:tmpl w:val="0000000A"/>
    <w:lvl w:ilvl="0" w:tentative="0">
      <w:start w:val="1"/>
      <w:numFmt w:val="decimal"/>
      <w:suff w:val="nothing"/>
      <w:lvlText w:val="%1、"/>
      <w:lvlJc w:val="left"/>
      <w:rPr>
        <w:rFonts w:cs="Times New Roman"/>
      </w:rPr>
    </w:lvl>
  </w:abstractNum>
  <w:abstractNum w:abstractNumId="3">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4">
    <w:nsid w:val="3A7260C0"/>
    <w:multiLevelType w:val="multilevel"/>
    <w:tmpl w:val="3A7260C0"/>
    <w:lvl w:ilvl="0" w:tentative="0">
      <w:start w:val="1"/>
      <w:numFmt w:val="chineseCountingThousand"/>
      <w:pStyle w:val="3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7">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8">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4"/>
  </w:num>
  <w:num w:numId="2">
    <w:abstractNumId w:val="8"/>
  </w:num>
  <w:num w:numId="3">
    <w:abstractNumId w:val="2"/>
  </w:num>
  <w:num w:numId="4">
    <w:abstractNumId w:val="6"/>
  </w:num>
  <w:num w:numId="5">
    <w:abstractNumId w:val="5"/>
  </w:num>
  <w:num w:numId="6">
    <w:abstractNumId w:val="3"/>
  </w:num>
  <w:num w:numId="7">
    <w:abstractNumId w:val="7"/>
  </w:num>
  <w:num w:numId="8">
    <w:abstractNumId w:val="0"/>
  </w:num>
  <w:num w:numId="9">
    <w:abstractNumId w:val="1"/>
  </w:num>
  <w:num w:numId="10">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0"/>
  <w:drawingGridHorizontalSpacing w:val="21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04894"/>
    <w:rsid w:val="00233ECE"/>
    <w:rsid w:val="002A1BF4"/>
    <w:rsid w:val="002B3A72"/>
    <w:rsid w:val="002C6231"/>
    <w:rsid w:val="002F7CDC"/>
    <w:rsid w:val="00324E56"/>
    <w:rsid w:val="00331AF1"/>
    <w:rsid w:val="00337D95"/>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4865"/>
    <w:rsid w:val="0071759F"/>
    <w:rsid w:val="007253B3"/>
    <w:rsid w:val="00731D46"/>
    <w:rsid w:val="00734BAD"/>
    <w:rsid w:val="00752C57"/>
    <w:rsid w:val="00781733"/>
    <w:rsid w:val="007C5CF9"/>
    <w:rsid w:val="007D1AE4"/>
    <w:rsid w:val="007D340B"/>
    <w:rsid w:val="007E6392"/>
    <w:rsid w:val="007F3C25"/>
    <w:rsid w:val="00811F2D"/>
    <w:rsid w:val="00815938"/>
    <w:rsid w:val="008226BA"/>
    <w:rsid w:val="00827DA6"/>
    <w:rsid w:val="00835103"/>
    <w:rsid w:val="00854416"/>
    <w:rsid w:val="00866F54"/>
    <w:rsid w:val="00883FF2"/>
    <w:rsid w:val="0089293E"/>
    <w:rsid w:val="00893E6C"/>
    <w:rsid w:val="008B6ED1"/>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54D645C"/>
    <w:rsid w:val="07AE4845"/>
    <w:rsid w:val="09763279"/>
    <w:rsid w:val="0BAF644A"/>
    <w:rsid w:val="0CE10A5E"/>
    <w:rsid w:val="179C6205"/>
    <w:rsid w:val="217F35A7"/>
    <w:rsid w:val="2439140C"/>
    <w:rsid w:val="24E73B1F"/>
    <w:rsid w:val="26F03C06"/>
    <w:rsid w:val="2A547683"/>
    <w:rsid w:val="306A4501"/>
    <w:rsid w:val="3115139C"/>
    <w:rsid w:val="31C366C0"/>
    <w:rsid w:val="3394145F"/>
    <w:rsid w:val="33CA34B6"/>
    <w:rsid w:val="3BC01B4C"/>
    <w:rsid w:val="3C6D0F49"/>
    <w:rsid w:val="3E1801E5"/>
    <w:rsid w:val="3FF55879"/>
    <w:rsid w:val="46C16BC4"/>
    <w:rsid w:val="485538D7"/>
    <w:rsid w:val="49B42EF0"/>
    <w:rsid w:val="4C5D328E"/>
    <w:rsid w:val="508F415E"/>
    <w:rsid w:val="509F44DE"/>
    <w:rsid w:val="55945462"/>
    <w:rsid w:val="57964064"/>
    <w:rsid w:val="5A5549EF"/>
    <w:rsid w:val="5A781A20"/>
    <w:rsid w:val="667765BF"/>
    <w:rsid w:val="68AC0EA3"/>
    <w:rsid w:val="6A0E6A25"/>
    <w:rsid w:val="6B08556F"/>
    <w:rsid w:val="7775238E"/>
    <w:rsid w:val="7A8638D9"/>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23"/>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9"/>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7"/>
    <w:semiHidden/>
    <w:unhideWhenUsed/>
    <w:qFormat/>
    <w:uiPriority w:val="99"/>
    <w:rPr>
      <w:sz w:val="18"/>
      <w:szCs w:val="18"/>
    </w:rPr>
  </w:style>
  <w:style w:type="paragraph" w:styleId="8">
    <w:name w:val="footer"/>
    <w:basedOn w:val="1"/>
    <w:link w:val="26"/>
    <w:unhideWhenUsed/>
    <w:qFormat/>
    <w:uiPriority w:val="99"/>
    <w:pPr>
      <w:tabs>
        <w:tab w:val="center" w:pos="4153"/>
        <w:tab w:val="right" w:pos="8306"/>
      </w:tabs>
      <w:snapToGrid w:val="0"/>
      <w:jc w:val="left"/>
    </w:pPr>
    <w:rPr>
      <w:sz w:val="18"/>
      <w:szCs w:val="18"/>
    </w:rPr>
  </w:style>
  <w:style w:type="paragraph" w:styleId="9">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rFonts w:cs="Times New Roman"/>
      <w:b/>
      <w:bCs/>
    </w:rPr>
  </w:style>
  <w:style w:type="character" w:styleId="17">
    <w:name w:val="FollowedHyperlink"/>
    <w:basedOn w:val="15"/>
    <w:semiHidden/>
    <w:unhideWhenUsed/>
    <w:qFormat/>
    <w:uiPriority w:val="99"/>
    <w:rPr>
      <w:color w:val="551A8B"/>
      <w:u w:val="single"/>
    </w:rPr>
  </w:style>
  <w:style w:type="character" w:styleId="18">
    <w:name w:val="HTML Definition"/>
    <w:basedOn w:val="15"/>
    <w:semiHidden/>
    <w:unhideWhenUsed/>
    <w:qFormat/>
    <w:uiPriority w:val="99"/>
    <w:rPr>
      <w:i/>
    </w:rPr>
  </w:style>
  <w:style w:type="character" w:styleId="19">
    <w:name w:val="Hyperlink"/>
    <w:basedOn w:val="15"/>
    <w:unhideWhenUsed/>
    <w:qFormat/>
    <w:uiPriority w:val="99"/>
    <w:rPr>
      <w:color w:val="0563C1" w:themeColor="hyperlink"/>
      <w:u w:val="single"/>
      <w14:textFill>
        <w14:solidFill>
          <w14:schemeClr w14:val="hlink"/>
        </w14:solidFill>
      </w14:textFill>
    </w:rPr>
  </w:style>
  <w:style w:type="character" w:styleId="20">
    <w:name w:val="HTML Code"/>
    <w:basedOn w:val="15"/>
    <w:semiHidden/>
    <w:unhideWhenUsed/>
    <w:qFormat/>
    <w:uiPriority w:val="99"/>
    <w:rPr>
      <w:rFonts w:ascii="Helvetica" w:hAnsi="Helvetica" w:eastAsia="Helvetica" w:cs="Helvetica"/>
      <w:sz w:val="21"/>
      <w:szCs w:val="21"/>
    </w:rPr>
  </w:style>
  <w:style w:type="character" w:styleId="21">
    <w:name w:val="HTML Keyboard"/>
    <w:basedOn w:val="15"/>
    <w:semiHidden/>
    <w:unhideWhenUsed/>
    <w:qFormat/>
    <w:uiPriority w:val="99"/>
    <w:rPr>
      <w:rFonts w:hint="default" w:ascii="Helvetica" w:hAnsi="Helvetica" w:eastAsia="Helvetica" w:cs="Helvetica"/>
      <w:sz w:val="21"/>
      <w:szCs w:val="21"/>
    </w:rPr>
  </w:style>
  <w:style w:type="character" w:styleId="22">
    <w:name w:val="HTML Sample"/>
    <w:basedOn w:val="15"/>
    <w:semiHidden/>
    <w:unhideWhenUsed/>
    <w:qFormat/>
    <w:uiPriority w:val="99"/>
    <w:rPr>
      <w:rFonts w:hint="default" w:ascii="Helvetica" w:hAnsi="Helvetica" w:eastAsia="Helvetica" w:cs="Helvetica"/>
      <w:sz w:val="21"/>
      <w:szCs w:val="21"/>
    </w:rPr>
  </w:style>
  <w:style w:type="character" w:customStyle="1" w:styleId="23">
    <w:name w:val="标题 1 Char"/>
    <w:basedOn w:val="15"/>
    <w:link w:val="2"/>
    <w:qFormat/>
    <w:uiPriority w:val="9"/>
    <w:rPr>
      <w:rFonts w:ascii="Times New Roman" w:hAnsi="Times New Roman" w:eastAsia="黑体" w:cs="Arial"/>
      <w:b/>
      <w:bCs/>
      <w:kern w:val="44"/>
      <w:sz w:val="28"/>
      <w:szCs w:val="44"/>
    </w:rPr>
  </w:style>
  <w:style w:type="paragraph" w:styleId="24">
    <w:name w:val="List Paragraph"/>
    <w:basedOn w:val="1"/>
    <w:qFormat/>
    <w:uiPriority w:val="34"/>
    <w:pPr>
      <w:ind w:firstLine="420" w:firstLineChars="200"/>
    </w:pPr>
  </w:style>
  <w:style w:type="character" w:customStyle="1" w:styleId="25">
    <w:name w:val="页眉 Char"/>
    <w:basedOn w:val="15"/>
    <w:link w:val="9"/>
    <w:qFormat/>
    <w:uiPriority w:val="99"/>
    <w:rPr>
      <w:sz w:val="18"/>
      <w:szCs w:val="18"/>
    </w:rPr>
  </w:style>
  <w:style w:type="character" w:customStyle="1" w:styleId="26">
    <w:name w:val="页脚 Char"/>
    <w:basedOn w:val="15"/>
    <w:link w:val="8"/>
    <w:qFormat/>
    <w:uiPriority w:val="99"/>
    <w:rPr>
      <w:sz w:val="18"/>
      <w:szCs w:val="18"/>
    </w:rPr>
  </w:style>
  <w:style w:type="character" w:customStyle="1" w:styleId="27">
    <w:name w:val="批注框文本 Char"/>
    <w:basedOn w:val="15"/>
    <w:link w:val="7"/>
    <w:semiHidden/>
    <w:qFormat/>
    <w:uiPriority w:val="99"/>
    <w:rPr>
      <w:sz w:val="18"/>
      <w:szCs w:val="18"/>
    </w:rPr>
  </w:style>
  <w:style w:type="paragraph" w:customStyle="1" w:styleId="28">
    <w:name w:val="标题1"/>
    <w:basedOn w:val="2"/>
    <w:qFormat/>
    <w:uiPriority w:val="0"/>
    <w:pPr>
      <w:spacing w:before="120" w:after="120" w:line="500" w:lineRule="exact"/>
      <w:ind w:firstLine="200" w:firstLineChars="200"/>
    </w:pPr>
    <w:rPr>
      <w:rFonts w:cs="Times New Roman"/>
      <w:sz w:val="32"/>
      <w:szCs w:val="32"/>
    </w:rPr>
  </w:style>
  <w:style w:type="character" w:customStyle="1" w:styleId="29">
    <w:name w:val="标题 2 Char"/>
    <w:basedOn w:val="15"/>
    <w:link w:val="3"/>
    <w:qFormat/>
    <w:uiPriority w:val="9"/>
    <w:rPr>
      <w:rFonts w:asciiTheme="majorHAnsi" w:hAnsiTheme="majorHAnsi" w:eastAsiaTheme="majorEastAsia" w:cstheme="majorBidi"/>
      <w:b/>
      <w:bCs/>
      <w:sz w:val="32"/>
      <w:szCs w:val="32"/>
    </w:rPr>
  </w:style>
  <w:style w:type="paragraph" w:customStyle="1" w:styleId="30">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31">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2">
    <w:name w:val="闻政正文 Char"/>
    <w:link w:val="33"/>
    <w:qFormat/>
    <w:uiPriority w:val="0"/>
    <w:rPr>
      <w:rFonts w:ascii="Times New Roman" w:hAnsi="Times New Roman" w:eastAsia="仿宋_GB2312" w:cs="Times New Roman"/>
      <w:sz w:val="28"/>
      <w:szCs w:val="28"/>
    </w:rPr>
  </w:style>
  <w:style w:type="paragraph" w:customStyle="1" w:styleId="33">
    <w:name w:val="闻政正文"/>
    <w:basedOn w:val="1"/>
    <w:link w:val="32"/>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34">
    <w:name w:val="闻政表 Char"/>
    <w:link w:val="35"/>
    <w:qFormat/>
    <w:uiPriority w:val="0"/>
    <w:rPr>
      <w:rFonts w:ascii="Times New Roman" w:hAnsi="Times New Roman" w:eastAsia="仿宋_GB2312" w:cs="Times New Roman"/>
      <w:b/>
      <w:sz w:val="24"/>
      <w:szCs w:val="28"/>
    </w:rPr>
  </w:style>
  <w:style w:type="paragraph" w:customStyle="1" w:styleId="35">
    <w:name w:val="闻政表"/>
    <w:basedOn w:val="1"/>
    <w:link w:val="34"/>
    <w:qFormat/>
    <w:uiPriority w:val="0"/>
    <w:pPr>
      <w:spacing w:before="60" w:after="60"/>
      <w:jc w:val="center"/>
    </w:pPr>
    <w:rPr>
      <w:rFonts w:ascii="Times New Roman" w:hAnsi="Times New Roman" w:eastAsia="仿宋_GB2312" w:cs="Times New Roman"/>
      <w:b/>
      <w:sz w:val="24"/>
      <w:szCs w:val="28"/>
    </w:rPr>
  </w:style>
  <w:style w:type="paragraph" w:customStyle="1" w:styleId="36">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7">
    <w:name w:val="闻政标题3 Char"/>
    <w:link w:val="38"/>
    <w:qFormat/>
    <w:uiPriority w:val="0"/>
    <w:rPr>
      <w:rFonts w:ascii="黑体" w:hAnsi="黑体" w:eastAsia="黑体" w:cs="Times New Roman"/>
      <w:bCs/>
      <w:sz w:val="32"/>
      <w:szCs w:val="32"/>
    </w:rPr>
  </w:style>
  <w:style w:type="paragraph" w:customStyle="1" w:styleId="38">
    <w:name w:val="闻政标题3"/>
    <w:basedOn w:val="4"/>
    <w:link w:val="37"/>
    <w:qFormat/>
    <w:uiPriority w:val="99"/>
    <w:pPr>
      <w:spacing w:before="120" w:after="60" w:line="500" w:lineRule="exact"/>
      <w:jc w:val="left"/>
      <w:outlineLvl w:val="0"/>
    </w:pPr>
    <w:rPr>
      <w:rFonts w:ascii="黑体" w:hAnsi="黑体" w:eastAsia="黑体" w:cs="Times New Roman"/>
      <w:b w:val="0"/>
    </w:rPr>
  </w:style>
  <w:style w:type="character" w:customStyle="1" w:styleId="39">
    <w:name w:val="标题 3 Char"/>
    <w:basedOn w:val="15"/>
    <w:link w:val="4"/>
    <w:semiHidden/>
    <w:qFormat/>
    <w:uiPriority w:val="9"/>
    <w:rPr>
      <w:b/>
      <w:bCs/>
      <w:sz w:val="32"/>
      <w:szCs w:val="32"/>
    </w:rPr>
  </w:style>
  <w:style w:type="paragraph" w:customStyle="1" w:styleId="40">
    <w:name w:val="Body text|1"/>
    <w:basedOn w:val="1"/>
    <w:link w:val="41"/>
    <w:qFormat/>
    <w:uiPriority w:val="0"/>
    <w:pPr>
      <w:spacing w:after="40" w:line="334" w:lineRule="auto"/>
    </w:pPr>
    <w:rPr>
      <w:rFonts w:ascii="MingLiU" w:hAnsi="MingLiU" w:eastAsia="MingLiU" w:cs="MingLiU"/>
      <w:sz w:val="20"/>
      <w:szCs w:val="20"/>
      <w:lang w:val="zh-TW" w:eastAsia="zh-TW" w:bidi="zh-TW"/>
    </w:rPr>
  </w:style>
  <w:style w:type="character" w:customStyle="1" w:styleId="41">
    <w:name w:val="Body text|1_"/>
    <w:basedOn w:val="15"/>
    <w:link w:val="40"/>
    <w:unhideWhenUsed/>
    <w:qFormat/>
    <w:uiPriority w:val="0"/>
    <w:rPr>
      <w:rFonts w:ascii="MingLiU" w:hAnsi="MingLiU" w:eastAsia="MingLiU" w:cs="MingLiU"/>
      <w:sz w:val="20"/>
      <w:szCs w:val="20"/>
      <w:lang w:val="zh-TW" w:eastAsia="zh-TW" w:bidi="zh-TW"/>
    </w:rPr>
  </w:style>
  <w:style w:type="character" w:customStyle="1" w:styleId="42">
    <w:name w:val="news_content"/>
    <w:basedOn w:val="15"/>
    <w:qFormat/>
    <w:uiPriority w:val="0"/>
    <w:rPr>
      <w:rFonts w:cs="Times New Roman"/>
    </w:rPr>
  </w:style>
  <w:style w:type="character" w:customStyle="1" w:styleId="43">
    <w:name w:val="current"/>
    <w:basedOn w:val="15"/>
    <w:qFormat/>
    <w:uiPriority w:val="0"/>
    <w:rPr>
      <w:b/>
      <w:color w:val="FF0084"/>
    </w:rPr>
  </w:style>
  <w:style w:type="character" w:customStyle="1" w:styleId="44">
    <w:name w:val="disabled"/>
    <w:basedOn w:val="15"/>
    <w:qFormat/>
    <w:uiPriority w:val="0"/>
    <w:rPr>
      <w:color w:val="ADAAA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7762AC-6572-401B-903C-01CE822DFBD0}">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15</Pages>
  <Words>1072</Words>
  <Characters>6112</Characters>
  <Lines>50</Lines>
  <Paragraphs>14</Paragraphs>
  <TotalTime>13</TotalTime>
  <ScaleCrop>false</ScaleCrop>
  <LinksUpToDate>false</LinksUpToDate>
  <CharactersWithSpaces>7170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2024-07-10T04:04:44Z</dcterms:modified>
  <dc:title>新疆普天鹏华商务信息咨询有限公司</dc:title>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