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新疆喀什地区叶城县加依提勒克乡双语幼儿园2021年度部门决算公开说明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2.在政府和上级教育主管部门的领导下，争取资金，改善办学条件，为教育教学工作提供优美和谐的环境。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3.根据县级人民政府制定的教育事业发展规划，结合实际制定并组织实施本园的教育事业发展规划，在政府领导下全面开展组织教师动员适龄儿童，少年就近入园。</w:t>
      </w:r>
      <w:r>
        <w:rPr>
          <w:rFonts w:ascii="仿宋_GB2312" w:eastAsia="仿宋_GB2312"/>
          <w:sz w:val="32"/>
          <w:szCs w:val="32"/>
        </w:rPr>
        <w:br w:type="textWrapping"/>
      </w:r>
      <w:r>
        <w:rPr>
          <w:rFonts w:ascii="仿宋_GB2312" w:eastAsia="仿宋_GB2312"/>
          <w:sz w:val="32"/>
          <w:szCs w:val="32"/>
        </w:rPr>
        <w:t>　　4.组织开展教育教学科研和教育教学改革，以科学的发展和以人为本的管理理念，注重幼儿的全面发展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新疆喀什地区叶城县加依提勒克乡双语幼儿园</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91</w:t>
      </w:r>
      <w:r>
        <w:rPr>
          <w:rFonts w:hint="eastAsia" w:ascii="仿宋_GB2312" w:eastAsia="仿宋_GB2312"/>
          <w:sz w:val="32"/>
          <w:szCs w:val="32"/>
        </w:rPr>
        <w:t>人，其中：在职人员</w:t>
      </w:r>
      <w:r>
        <w:rPr>
          <w:rFonts w:ascii="仿宋_GB2312" w:eastAsia="仿宋_GB2312"/>
          <w:sz w:val="32"/>
          <w:szCs w:val="32"/>
        </w:rPr>
        <w:t>91</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从部门决算单位构成看，新疆喀什地区叶城县加依提勒克乡双语幼儿园部门决算包括：新疆喀什地区叶城县加依提勒克乡双语幼儿园决算。</w:t>
      </w:r>
      <w:r>
        <w:rPr>
          <w:rFonts w:hint="eastAsia" w:ascii="仿宋_GB2312" w:hAnsi="黑体" w:eastAsia="仿宋_GB2312" w:cs="宋体"/>
          <w:bCs/>
          <w:kern w:val="0"/>
          <w:sz w:val="32"/>
          <w:szCs w:val="32"/>
        </w:rPr>
        <w:t>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个处室，分别是：财务室、党建办、德育办、后勤办</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1,460.60</w:t>
      </w:r>
      <w:r>
        <w:rPr>
          <w:rFonts w:hint="eastAsia" w:ascii="仿宋_GB2312" w:eastAsia="仿宋_GB2312"/>
          <w:sz w:val="32"/>
          <w:szCs w:val="32"/>
        </w:rPr>
        <w:t>万元，与上年相比，增加357.74万元，</w:t>
      </w:r>
      <w:r>
        <w:rPr>
          <w:rFonts w:ascii="仿宋_GB2312" w:eastAsia="仿宋_GB2312"/>
          <w:sz w:val="32"/>
          <w:szCs w:val="32"/>
        </w:rPr>
        <w:t>增长32.44</w:t>
      </w:r>
      <w:r>
        <w:rPr>
          <w:rFonts w:hint="eastAsia" w:ascii="仿宋_GB2312" w:eastAsia="仿宋_GB2312"/>
          <w:sz w:val="32"/>
          <w:szCs w:val="32"/>
        </w:rPr>
        <w:t>%，主要原因是：教师增加，人员工资及社保经费增加</w:t>
      </w:r>
      <w:r>
        <w:rPr>
          <w:rFonts w:hint="eastAsia" w:ascii="仿宋_GB2312" w:eastAsia="仿宋_GB2312"/>
          <w:sz w:val="32"/>
          <w:szCs w:val="32"/>
          <w:lang w:eastAsia="zh-CN"/>
        </w:rPr>
        <w:t>，</w:t>
      </w:r>
      <w:r>
        <w:rPr>
          <w:rFonts w:hint="eastAsia" w:ascii="仿宋_GB2312" w:eastAsia="仿宋_GB2312"/>
          <w:sz w:val="32"/>
          <w:szCs w:val="32"/>
        </w:rPr>
        <w:t>幼儿人数增加，幼儿伙食费增加。本年支出</w:t>
      </w:r>
      <w:r>
        <w:rPr>
          <w:rFonts w:ascii="仿宋_GB2312" w:eastAsia="仿宋_GB2312"/>
          <w:sz w:val="32"/>
          <w:szCs w:val="32"/>
        </w:rPr>
        <w:t>1,460.60</w:t>
      </w:r>
      <w:r>
        <w:rPr>
          <w:rFonts w:hint="eastAsia" w:ascii="仿宋_GB2312" w:eastAsia="仿宋_GB2312"/>
          <w:sz w:val="32"/>
          <w:szCs w:val="32"/>
        </w:rPr>
        <w:t>万元，与上年相比，</w:t>
      </w:r>
      <w:r>
        <w:rPr>
          <w:rFonts w:ascii="仿宋_GB2312" w:eastAsia="仿宋_GB2312"/>
          <w:sz w:val="32"/>
          <w:szCs w:val="32"/>
        </w:rPr>
        <w:t>增加357.74</w:t>
      </w:r>
      <w:r>
        <w:rPr>
          <w:rFonts w:hint="eastAsia" w:ascii="仿宋_GB2312" w:eastAsia="仿宋_GB2312"/>
          <w:sz w:val="32"/>
          <w:szCs w:val="32"/>
        </w:rPr>
        <w:t>万元，</w:t>
      </w:r>
      <w:r>
        <w:rPr>
          <w:rFonts w:ascii="仿宋_GB2312" w:eastAsia="仿宋_GB2312"/>
          <w:sz w:val="32"/>
          <w:szCs w:val="32"/>
        </w:rPr>
        <w:t>增长32.44</w:t>
      </w:r>
      <w:r>
        <w:rPr>
          <w:rFonts w:hint="eastAsia" w:ascii="仿宋_GB2312" w:eastAsia="仿宋_GB2312"/>
          <w:sz w:val="32"/>
          <w:szCs w:val="32"/>
        </w:rPr>
        <w:t>%，主要原因是：教师增加，人员工资及社保经费增加；幼儿人数增加，幼儿伙食费增加。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1,460.60</w:t>
      </w:r>
      <w:r>
        <w:rPr>
          <w:rFonts w:hint="eastAsia" w:ascii="仿宋_GB2312" w:eastAsia="仿宋_GB2312"/>
          <w:sz w:val="32"/>
          <w:szCs w:val="32"/>
        </w:rPr>
        <w:t>万元，其中：财政拨款收入</w:t>
      </w:r>
      <w:r>
        <w:rPr>
          <w:rFonts w:ascii="仿宋_GB2312" w:eastAsia="仿宋_GB2312"/>
          <w:sz w:val="32"/>
          <w:szCs w:val="32"/>
        </w:rPr>
        <w:t>1,460.60</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年度本年支出1,460.60万元，其中：基本支出</w:t>
      </w:r>
      <w:r>
        <w:rPr>
          <w:rFonts w:ascii="仿宋_GB2312" w:eastAsia="仿宋_GB2312"/>
          <w:sz w:val="32"/>
          <w:szCs w:val="32"/>
        </w:rPr>
        <w:t>1,091.33</w:t>
      </w:r>
      <w:r>
        <w:rPr>
          <w:rFonts w:hint="eastAsia" w:ascii="仿宋_GB2312" w:eastAsia="仿宋_GB2312"/>
          <w:sz w:val="32"/>
          <w:szCs w:val="32"/>
        </w:rPr>
        <w:t>万元，占74.72%；项目支出</w:t>
      </w:r>
      <w:r>
        <w:rPr>
          <w:rFonts w:ascii="仿宋_GB2312" w:eastAsia="仿宋_GB2312"/>
          <w:sz w:val="32"/>
          <w:szCs w:val="32"/>
        </w:rPr>
        <w:t>369.27</w:t>
      </w:r>
      <w:r>
        <w:rPr>
          <w:rFonts w:hint="eastAsia" w:ascii="仿宋_GB2312" w:eastAsia="仿宋_GB2312"/>
          <w:sz w:val="32"/>
          <w:szCs w:val="32"/>
        </w:rPr>
        <w:t>万元，占25.28%；上缴上级支出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1,460.60万元，与上年相比，增加357.74万元，增长32.44%，主要原因是：教师增加，人员工资及社保经费增加；幼儿人数增加，幼儿伙食费增加。财政拨款支出1,460.60万元，与上年相比，增加357.74万元，增长32.44%，主要原因是：教师增加，人员工资及社保经费增加</w:t>
      </w:r>
      <w:r>
        <w:rPr>
          <w:rFonts w:hint="eastAsia" w:ascii="仿宋_GB2312" w:eastAsia="仿宋_GB2312"/>
          <w:sz w:val="32"/>
          <w:szCs w:val="32"/>
          <w:lang w:eastAsia="zh-CN"/>
        </w:rPr>
        <w:t>，</w:t>
      </w:r>
      <w:r>
        <w:rPr>
          <w:rFonts w:hint="eastAsia" w:ascii="仿宋_GB2312" w:eastAsia="仿宋_GB2312"/>
          <w:sz w:val="32"/>
          <w:szCs w:val="32"/>
        </w:rPr>
        <w:t>幼儿人数增加，幼儿伙食费增加。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975.44</w:t>
      </w:r>
      <w:r>
        <w:rPr>
          <w:rFonts w:hint="eastAsia" w:ascii="仿宋_GB2312" w:eastAsia="仿宋_GB2312"/>
          <w:sz w:val="32"/>
          <w:szCs w:val="32"/>
        </w:rPr>
        <w:t>万元，决算数</w:t>
      </w:r>
      <w:r>
        <w:rPr>
          <w:rFonts w:ascii="仿宋_GB2312" w:eastAsia="仿宋_GB2312"/>
          <w:sz w:val="32"/>
          <w:szCs w:val="32"/>
        </w:rPr>
        <w:t>1,460.60</w:t>
      </w:r>
      <w:r>
        <w:rPr>
          <w:rFonts w:hint="eastAsia" w:ascii="仿宋_GB2312" w:eastAsia="仿宋_GB2312"/>
          <w:sz w:val="32"/>
          <w:szCs w:val="32"/>
        </w:rPr>
        <w:t>万元，预决算差异率</w:t>
      </w:r>
      <w:r>
        <w:rPr>
          <w:rFonts w:ascii="仿宋_GB2312" w:eastAsia="仿宋_GB2312"/>
          <w:sz w:val="32"/>
          <w:szCs w:val="32"/>
        </w:rPr>
        <w:t>49.74</w:t>
      </w:r>
      <w:r>
        <w:rPr>
          <w:rFonts w:hint="eastAsia" w:ascii="仿宋_GB2312" w:eastAsia="仿宋_GB2312"/>
          <w:sz w:val="32"/>
          <w:szCs w:val="32"/>
        </w:rPr>
        <w:t>%，主要原因是：教师及幼儿人数增加，年中追加人员经费预算，导致预决算存在差异。财政拨款支出年初预算数</w:t>
      </w:r>
      <w:r>
        <w:rPr>
          <w:rFonts w:ascii="仿宋_GB2312" w:eastAsia="仿宋_GB2312"/>
          <w:sz w:val="32"/>
          <w:szCs w:val="32"/>
        </w:rPr>
        <w:t>975.44</w:t>
      </w:r>
      <w:r>
        <w:rPr>
          <w:rFonts w:hint="eastAsia" w:ascii="仿宋_GB2312" w:eastAsia="仿宋_GB2312"/>
          <w:sz w:val="32"/>
          <w:szCs w:val="32"/>
        </w:rPr>
        <w:t>万元，决算数</w:t>
      </w:r>
      <w:r>
        <w:rPr>
          <w:rFonts w:ascii="仿宋_GB2312" w:eastAsia="仿宋_GB2312"/>
          <w:sz w:val="32"/>
          <w:szCs w:val="32"/>
        </w:rPr>
        <w:t>1,460.60</w:t>
      </w:r>
      <w:r>
        <w:rPr>
          <w:rFonts w:hint="eastAsia" w:ascii="仿宋_GB2312" w:eastAsia="仿宋_GB2312"/>
          <w:sz w:val="32"/>
          <w:szCs w:val="32"/>
        </w:rPr>
        <w:t>万元，预决算差异率49.74%，主要原因是：教师及幼儿人数增加，年中追加人员经费预算，导致预决算存在差异。</w:t>
      </w:r>
      <w:bookmarkStart w:id="54" w:name="_GoBack"/>
      <w:bookmarkEnd w:id="54"/>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年度一般公共预算财政拨款支出1,460.60万元。按功能分类科目项级科目公开，其中：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2050201学前教育1,352.45万元；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2080505机关事业单位基本养老保险缴费支出108.14万元。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1,091.33</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1,091.33</w:t>
      </w:r>
      <w:r>
        <w:rPr>
          <w:rFonts w:hint="eastAsia" w:ascii="仿宋_GB2312" w:eastAsia="仿宋_GB2312"/>
          <w:sz w:val="32"/>
          <w:szCs w:val="32"/>
        </w:rPr>
        <w:t>万元，包括：基本工资、津贴补贴、奖金、绩效工资、机关事业单位基本养老保险缴费、职工基本医疗保险缴费、其他社会保障缴费、住房公积金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2021年度新疆喀什地区叶城县加依提勒克乡双语幼儿园（事业单位）公用经费0.00万元，比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元，增长0.00%，主要原因是：财政预算未安排公用经费支出。</w:t>
      </w:r>
    </w:p>
    <w:p>
      <w:pPr>
        <w:ind w:firstLine="640" w:firstLineChars="200"/>
        <w:outlineLvl w:val="2"/>
        <w:rPr>
          <w:rFonts w:hint="eastAsia"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11,501.22</w:t>
      </w:r>
      <w:r>
        <w:rPr>
          <w:rFonts w:hint="eastAsia" w:ascii="仿宋_GB2312" w:eastAsia="仿宋_GB2312"/>
          <w:sz w:val="32"/>
          <w:szCs w:val="32"/>
        </w:rPr>
        <w:t>（平方米），价值</w:t>
      </w:r>
      <w:r>
        <w:rPr>
          <w:rFonts w:ascii="仿宋_GB2312" w:eastAsia="仿宋_GB2312"/>
          <w:sz w:val="32"/>
          <w:szCs w:val="32"/>
        </w:rPr>
        <w:t>1,509.37</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8903"/>
      <w:bookmarkStart w:id="37"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6F5AC6"/>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AA937F6"/>
    <w:rsid w:val="6B311CD9"/>
    <w:rsid w:val="6B68175F"/>
    <w:rsid w:val="6B8500AE"/>
    <w:rsid w:val="6C81696B"/>
    <w:rsid w:val="6D587ECB"/>
    <w:rsid w:val="6D5A0B6C"/>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4192</Words>
  <Characters>4668</Characters>
  <Lines>59</Lines>
  <Paragraphs>16</Paragraphs>
  <TotalTime>4</TotalTime>
  <ScaleCrop>false</ScaleCrop>
  <LinksUpToDate>false</LinksUpToDate>
  <CharactersWithSpaces>4686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2023-08-10T09:33:26Z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DD397850F8054239820A8707B6B91D95_13</vt:lpwstr>
  </property>
</Properties>
</file>