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新疆喀什地区叶城县巴仁乡双语幼儿园2021年度部门决算公开说明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在政府和上级教育主管部门的领导下，争取资金改善办学条件，为教师和幼儿的学习和工作提供优美和谐的环境。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根据县级人民政府制定的教育事业发展规划，结合实际制定并组织实施本园的教育事业发展规划。在政府的领导下，全面开展普及学前教育，组织教师动员适龄儿童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新疆喀什地区叶城县巴仁乡双语幼儿园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45</w:t>
      </w:r>
      <w:r>
        <w:rPr>
          <w:rFonts w:hint="eastAsia" w:ascii="仿宋_GB2312" w:eastAsia="仿宋_GB2312"/>
          <w:sz w:val="32"/>
          <w:szCs w:val="32"/>
        </w:rPr>
        <w:t>人，其中：在职人员</w:t>
      </w:r>
      <w:r>
        <w:rPr>
          <w:rFonts w:ascii="仿宋_GB2312" w:eastAsia="仿宋_GB2312"/>
          <w:sz w:val="32"/>
          <w:szCs w:val="32"/>
        </w:rPr>
        <w:t>45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从部门决算单位构成看，新疆喀什地区叶城县巴仁乡双语幼儿园部门决算包括：新疆喀什地区叶城县巴仁乡双语幼儿园决算。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个处室，分别是：党建办、办公室、德育办、教务办、财务室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747.81</w:t>
      </w:r>
      <w:r>
        <w:rPr>
          <w:rFonts w:hint="eastAsia" w:ascii="仿宋_GB2312" w:eastAsia="仿宋_GB2312"/>
          <w:sz w:val="32"/>
          <w:szCs w:val="32"/>
        </w:rPr>
        <w:t>万元，与上年相比，增加191.83万元，</w:t>
      </w:r>
      <w:r>
        <w:rPr>
          <w:rFonts w:ascii="仿宋_GB2312" w:eastAsia="仿宋_GB2312"/>
          <w:sz w:val="32"/>
          <w:szCs w:val="32"/>
        </w:rPr>
        <w:t>增长34.50</w:t>
      </w:r>
      <w:r>
        <w:rPr>
          <w:rFonts w:hint="eastAsia" w:ascii="仿宋_GB2312" w:eastAsia="仿宋_GB2312"/>
          <w:sz w:val="32"/>
          <w:szCs w:val="32"/>
        </w:rPr>
        <w:t>%，主要原因是：2021年在职人员增加，在职人员职务职级晋升，基本工资调整，人员工资增加，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747.81</w:t>
      </w:r>
      <w:r>
        <w:rPr>
          <w:rFonts w:hint="eastAsia" w:ascii="仿宋_GB2312" w:eastAsia="仿宋_GB2312"/>
          <w:sz w:val="32"/>
          <w:szCs w:val="32"/>
        </w:rPr>
        <w:t>万元，与上年相比，</w:t>
      </w:r>
      <w:r>
        <w:rPr>
          <w:rFonts w:ascii="仿宋_GB2312" w:eastAsia="仿宋_GB2312"/>
          <w:sz w:val="32"/>
          <w:szCs w:val="32"/>
        </w:rPr>
        <w:t>增加191.83</w:t>
      </w:r>
      <w:r>
        <w:rPr>
          <w:rFonts w:hint="eastAsia" w:ascii="仿宋_GB2312" w:eastAsia="仿宋_GB2312"/>
          <w:sz w:val="32"/>
          <w:szCs w:val="32"/>
        </w:rPr>
        <w:t>万元，</w:t>
      </w:r>
      <w:r>
        <w:rPr>
          <w:rFonts w:ascii="仿宋_GB2312" w:eastAsia="仿宋_GB2312"/>
          <w:sz w:val="32"/>
          <w:szCs w:val="32"/>
        </w:rPr>
        <w:t>增长34.50</w:t>
      </w:r>
      <w:r>
        <w:rPr>
          <w:rFonts w:hint="eastAsia" w:ascii="仿宋_GB2312" w:eastAsia="仿宋_GB2312"/>
          <w:sz w:val="32"/>
          <w:szCs w:val="32"/>
        </w:rPr>
        <w:t>%，主要原因是：2021年在职人员增加，在职人员职务职级晋升，基本工资调整，人员工资增加，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747.81</w:t>
      </w:r>
      <w:r>
        <w:rPr>
          <w:rFonts w:hint="eastAsia" w:ascii="仿宋_GB2312" w:eastAsia="仿宋_GB2312"/>
          <w:sz w:val="32"/>
          <w:szCs w:val="32"/>
        </w:rPr>
        <w:t>万元，其中：财政拨款收入</w:t>
      </w:r>
      <w:r>
        <w:rPr>
          <w:rFonts w:ascii="仿宋_GB2312" w:eastAsia="仿宋_GB2312"/>
          <w:sz w:val="32"/>
          <w:szCs w:val="32"/>
        </w:rPr>
        <w:t>747.81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年度本年支出747.81万元，其中：基本支出</w:t>
      </w:r>
      <w:r>
        <w:rPr>
          <w:rFonts w:ascii="仿宋_GB2312" w:eastAsia="仿宋_GB2312"/>
          <w:sz w:val="32"/>
          <w:szCs w:val="32"/>
        </w:rPr>
        <w:t>555.98</w:t>
      </w:r>
      <w:r>
        <w:rPr>
          <w:rFonts w:hint="eastAsia" w:ascii="仿宋_GB2312" w:eastAsia="仿宋_GB2312"/>
          <w:sz w:val="32"/>
          <w:szCs w:val="32"/>
        </w:rPr>
        <w:t>万元，占74.35%；项目支出</w:t>
      </w:r>
      <w:r>
        <w:rPr>
          <w:rFonts w:ascii="仿宋_GB2312" w:eastAsia="仿宋_GB2312"/>
          <w:sz w:val="32"/>
          <w:szCs w:val="32"/>
        </w:rPr>
        <w:t>191.83</w:t>
      </w:r>
      <w:r>
        <w:rPr>
          <w:rFonts w:hint="eastAsia" w:ascii="仿宋_GB2312" w:eastAsia="仿宋_GB2312"/>
          <w:sz w:val="32"/>
          <w:szCs w:val="32"/>
        </w:rPr>
        <w:t>万元，占25.65%；上缴上级支出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年度财政拨款收入747.81万元，与上年相比，增加191.83万元，增长34.50%，主要原因是：2021年在职人员增加，在职人员职务职级晋升，基本工资调整，人员工资增加，</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相应增加。财政拨款支出747.81万元，与上年相比，增加191.83万元，增长34.50%，主要原因是：2021年在职人员增加，在职人员职务职级晋升，基本工资调整，人员工资增加，</w:t>
      </w:r>
      <w:r>
        <w:rPr>
          <w:rFonts w:hint="eastAsia" w:ascii="仿宋_GB2312" w:eastAsia="仿宋_GB2312"/>
          <w:sz w:val="32"/>
          <w:szCs w:val="32"/>
          <w:lang w:eastAsia="zh-CN"/>
        </w:rPr>
        <w:t>财政拨款支出</w:t>
      </w:r>
      <w:r>
        <w:rPr>
          <w:rFonts w:hint="eastAsia" w:ascii="仿宋_GB2312" w:eastAsia="仿宋_GB2312"/>
          <w:sz w:val="32"/>
          <w:szCs w:val="32"/>
        </w:rPr>
        <w:t>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460.96</w:t>
      </w:r>
      <w:r>
        <w:rPr>
          <w:rFonts w:hint="eastAsia" w:ascii="仿宋_GB2312" w:eastAsia="仿宋_GB2312"/>
          <w:sz w:val="32"/>
          <w:szCs w:val="32"/>
        </w:rPr>
        <w:t>万元，决算数</w:t>
      </w:r>
      <w:r>
        <w:rPr>
          <w:rFonts w:ascii="仿宋_GB2312" w:eastAsia="仿宋_GB2312"/>
          <w:sz w:val="32"/>
          <w:szCs w:val="32"/>
        </w:rPr>
        <w:t>747.81</w:t>
      </w:r>
      <w:r>
        <w:rPr>
          <w:rFonts w:hint="eastAsia" w:ascii="仿宋_GB2312" w:eastAsia="仿宋_GB2312"/>
          <w:sz w:val="32"/>
          <w:szCs w:val="32"/>
        </w:rPr>
        <w:t>万元，预决算差异率</w:t>
      </w:r>
      <w:r>
        <w:rPr>
          <w:rFonts w:ascii="仿宋_GB2312" w:eastAsia="仿宋_GB2312"/>
          <w:sz w:val="32"/>
          <w:szCs w:val="32"/>
        </w:rPr>
        <w:t>62.23</w:t>
      </w:r>
      <w:r>
        <w:rPr>
          <w:rFonts w:hint="eastAsia" w:ascii="仿宋_GB2312" w:eastAsia="仿宋_GB2312"/>
          <w:sz w:val="32"/>
          <w:szCs w:val="32"/>
        </w:rPr>
        <w:t>%，主要原因是：2021年在职人员增加，在职人员职务职级晋升，基本工资调整，人员工资增加，未做到年初预算，为年末追加预算，导致预决算存在差异。财政拨款支出年初预算数</w:t>
      </w:r>
      <w:r>
        <w:rPr>
          <w:rFonts w:ascii="仿宋_GB2312" w:eastAsia="仿宋_GB2312"/>
          <w:sz w:val="32"/>
          <w:szCs w:val="32"/>
        </w:rPr>
        <w:t>460.96</w:t>
      </w:r>
      <w:r>
        <w:rPr>
          <w:rFonts w:hint="eastAsia" w:ascii="仿宋_GB2312" w:eastAsia="仿宋_GB2312"/>
          <w:sz w:val="32"/>
          <w:szCs w:val="32"/>
        </w:rPr>
        <w:t>万元，决算数</w:t>
      </w:r>
      <w:r>
        <w:rPr>
          <w:rFonts w:ascii="仿宋_GB2312" w:eastAsia="仿宋_GB2312"/>
          <w:sz w:val="32"/>
          <w:szCs w:val="32"/>
        </w:rPr>
        <w:t>747.81</w:t>
      </w:r>
      <w:r>
        <w:rPr>
          <w:rFonts w:hint="eastAsia" w:ascii="仿宋_GB2312" w:eastAsia="仿宋_GB2312"/>
          <w:sz w:val="32"/>
          <w:szCs w:val="32"/>
        </w:rPr>
        <w:t>万元，预决算差异率62.23%，主要原因是：2021年在职人员增加，在职人员职务职级晋升，基本工资调整，人员工资增加，未做到年初预算，</w:t>
      </w:r>
      <w:r>
        <w:rPr>
          <w:rFonts w:hint="eastAsia" w:ascii="仿宋_GB2312" w:eastAsia="仿宋_GB2312"/>
          <w:sz w:val="32"/>
          <w:szCs w:val="32"/>
          <w:lang w:val="en-US" w:eastAsia="zh-CN"/>
        </w:rPr>
        <w:t>为</w:t>
      </w:r>
      <w:bookmarkStart w:id="54" w:name="_GoBack"/>
      <w:bookmarkEnd w:id="54"/>
      <w:r>
        <w:rPr>
          <w:rFonts w:hint="eastAsia" w:ascii="仿宋_GB2312" w:eastAsia="仿宋_GB2312"/>
          <w:sz w:val="32"/>
          <w:szCs w:val="32"/>
        </w:rPr>
        <w:t>年</w:t>
      </w:r>
      <w:r>
        <w:rPr>
          <w:rFonts w:hint="eastAsia" w:ascii="仿宋_GB2312" w:eastAsia="仿宋_GB2312"/>
          <w:sz w:val="32"/>
          <w:szCs w:val="32"/>
          <w:lang w:val="en-US" w:eastAsia="zh-CN"/>
        </w:rPr>
        <w:t>末</w:t>
      </w:r>
      <w:r>
        <w:rPr>
          <w:rFonts w:hint="eastAsia" w:ascii="仿宋_GB2312" w:eastAsia="仿宋_GB2312"/>
          <w:sz w:val="32"/>
          <w:szCs w:val="32"/>
        </w:rPr>
        <w:t>追加预算，导致预决算存在差异。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年度一般公共预算财政拨款支出747.81万元。按功能分类科目项级科目公开，其中：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2050201学前教育692.76万元；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2080505机关事业单位基本养老保险缴费支出55.05万元。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555.98</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555.98</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2021年度新疆喀什地区叶城县巴仁乡双语幼儿园（事业单位）公用经费0.00万元，比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元，增长0.00%，主要原因是：年初财政未安排公用经费支出。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5,925.99</w:t>
      </w:r>
      <w:r>
        <w:rPr>
          <w:rFonts w:hint="eastAsia" w:ascii="仿宋_GB2312" w:eastAsia="仿宋_GB2312"/>
          <w:sz w:val="32"/>
          <w:szCs w:val="32"/>
        </w:rPr>
        <w:t>（平方米），价值</w:t>
      </w:r>
      <w:r>
        <w:rPr>
          <w:rFonts w:ascii="仿宋_GB2312" w:eastAsia="仿宋_GB2312"/>
          <w:sz w:val="32"/>
          <w:szCs w:val="32"/>
        </w:rPr>
        <w:t>815.29</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A2212F"/>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9F1543"/>
    <w:rsid w:val="35C5793C"/>
    <w:rsid w:val="36325697"/>
    <w:rsid w:val="36E958BB"/>
    <w:rsid w:val="370D7281"/>
    <w:rsid w:val="38CB046A"/>
    <w:rsid w:val="3A3706E6"/>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4303</Words>
  <Characters>4761</Characters>
  <Lines>59</Lines>
  <Paragraphs>16</Paragraphs>
  <TotalTime>18</TotalTime>
  <ScaleCrop>false</ScaleCrop>
  <LinksUpToDate>false</LinksUpToDate>
  <CharactersWithSpaces>4779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2023-08-10T10:35:28Z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8673F79DD0DC443391190D0A95390008_13</vt:lpwstr>
  </property>
</Properties>
</file>