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新疆喀什地区叶城县恰斯米其提乡中学2021年度部门决算公开说明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738"/>
      <w:bookmarkStart w:id="4" w:name="_Toc30567"/>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1、宣传贯彻执行党和国家的教育方针、教育政策、教育法律和法规，贯彻执行上级教育行政部门的各项规章制度。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2、在政府和上级教育主管部门的领导下，争取资金改善办学条件，为师生的学习和工作提供优美和谐的环境。</w:t>
      </w:r>
      <w:r>
        <w:rPr>
          <w:rFonts w:ascii="仿宋_GB2312" w:eastAsia="仿宋_GB2312"/>
          <w:sz w:val="32"/>
          <w:szCs w:val="32"/>
        </w:rPr>
        <w:br w:type="textWrapping"/>
      </w:r>
      <w:r>
        <w:rPr>
          <w:rFonts w:ascii="仿宋_GB2312" w:eastAsia="仿宋_GB2312"/>
          <w:sz w:val="32"/>
          <w:szCs w:val="32"/>
        </w:rPr>
        <w:t>　　3、根据县级人民政府制定的教育事业发展规划，结合实际制定并组织实施本校的教育事业发展规划。在政府的领导下，全面开展普及九年义务教育，组织教师动员适龄儿童，少年就近入学。</w:t>
      </w:r>
      <w:r>
        <w:rPr>
          <w:rFonts w:ascii="仿宋_GB2312" w:eastAsia="仿宋_GB2312"/>
          <w:sz w:val="32"/>
          <w:szCs w:val="32"/>
        </w:rPr>
        <w:br w:type="textWrapping"/>
      </w:r>
      <w:r>
        <w:rPr>
          <w:rFonts w:ascii="仿宋_GB2312" w:eastAsia="仿宋_GB2312"/>
          <w:sz w:val="32"/>
          <w:szCs w:val="32"/>
        </w:rPr>
        <w:t>　　4、组织开展教育教学科研和教育教学改革，以科学的发展和以人为本的管理理念注重学生的全面发展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新疆喀什地区叶城县恰斯米其提乡中学</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353</w:t>
      </w:r>
      <w:r>
        <w:rPr>
          <w:rFonts w:hint="eastAsia" w:ascii="仿宋_GB2312" w:eastAsia="仿宋_GB2312"/>
          <w:sz w:val="32"/>
          <w:szCs w:val="32"/>
        </w:rPr>
        <w:t>人，其中：在职人员</w:t>
      </w:r>
      <w:r>
        <w:rPr>
          <w:rFonts w:ascii="仿宋_GB2312" w:eastAsia="仿宋_GB2312"/>
          <w:sz w:val="32"/>
          <w:szCs w:val="32"/>
        </w:rPr>
        <w:t>307</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46</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从部门决算单位构成看，新疆喀什地区叶城县恰斯米其提乡中学部门决算包括：新疆喀什地区叶城县恰斯米其提乡中学决算。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个处室，分别是：党建办、办公室、教务办、德育办、财务室、后勤办</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25314"/>
      <w:bookmarkStart w:id="8" w:name="_Toc12566"/>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6,458.71</w:t>
      </w:r>
      <w:r>
        <w:rPr>
          <w:rFonts w:hint="eastAsia" w:ascii="仿宋_GB2312" w:eastAsia="仿宋_GB2312"/>
          <w:sz w:val="32"/>
          <w:szCs w:val="32"/>
        </w:rPr>
        <w:t>万元，与上年相比，增加2,273.96万元，</w:t>
      </w:r>
      <w:r>
        <w:rPr>
          <w:rFonts w:ascii="仿宋_GB2312" w:eastAsia="仿宋_GB2312"/>
          <w:sz w:val="32"/>
          <w:szCs w:val="32"/>
        </w:rPr>
        <w:t>增长54.34</w:t>
      </w:r>
      <w:r>
        <w:rPr>
          <w:rFonts w:hint="eastAsia" w:ascii="仿宋_GB2312" w:eastAsia="仿宋_GB2312"/>
          <w:sz w:val="32"/>
          <w:szCs w:val="32"/>
        </w:rPr>
        <w:t>%，主要原因是：学生增加，生均公用经费增加，特岗教师工资增加，项目经费增加。本年支出</w:t>
      </w:r>
      <w:r>
        <w:rPr>
          <w:rFonts w:ascii="仿宋_GB2312" w:eastAsia="仿宋_GB2312"/>
          <w:sz w:val="32"/>
          <w:szCs w:val="32"/>
        </w:rPr>
        <w:t>6,458.71</w:t>
      </w:r>
      <w:r>
        <w:rPr>
          <w:rFonts w:hint="eastAsia" w:ascii="仿宋_GB2312" w:eastAsia="仿宋_GB2312"/>
          <w:sz w:val="32"/>
          <w:szCs w:val="32"/>
        </w:rPr>
        <w:t>万元，与上年相比，</w:t>
      </w:r>
      <w:r>
        <w:rPr>
          <w:rFonts w:ascii="仿宋_GB2312" w:eastAsia="仿宋_GB2312"/>
          <w:sz w:val="32"/>
          <w:szCs w:val="32"/>
        </w:rPr>
        <w:t>增加2,273.82</w:t>
      </w:r>
      <w:r>
        <w:rPr>
          <w:rFonts w:hint="eastAsia" w:ascii="仿宋_GB2312" w:eastAsia="仿宋_GB2312"/>
          <w:sz w:val="32"/>
          <w:szCs w:val="32"/>
        </w:rPr>
        <w:t>万元，</w:t>
      </w:r>
      <w:r>
        <w:rPr>
          <w:rFonts w:ascii="仿宋_GB2312" w:eastAsia="仿宋_GB2312"/>
          <w:sz w:val="32"/>
          <w:szCs w:val="32"/>
        </w:rPr>
        <w:t>增长54.33</w:t>
      </w:r>
      <w:r>
        <w:rPr>
          <w:rFonts w:hint="eastAsia" w:ascii="仿宋_GB2312" w:eastAsia="仿宋_GB2312"/>
          <w:sz w:val="32"/>
          <w:szCs w:val="32"/>
        </w:rPr>
        <w:t>%，主要原因是：学生增加，生均公用经费增加，特岗教师工资增加，项目经费增加。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6,458.71</w:t>
      </w:r>
      <w:r>
        <w:rPr>
          <w:rFonts w:hint="eastAsia" w:ascii="仿宋_GB2312" w:eastAsia="仿宋_GB2312"/>
          <w:sz w:val="32"/>
          <w:szCs w:val="32"/>
        </w:rPr>
        <w:t>万元，其中：财政拨款收入</w:t>
      </w:r>
      <w:r>
        <w:rPr>
          <w:rFonts w:ascii="仿宋_GB2312" w:eastAsia="仿宋_GB2312"/>
          <w:sz w:val="32"/>
          <w:szCs w:val="32"/>
        </w:rPr>
        <w:t>6,458.71</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年度本年支出6,458.71万元，其中：基本支出</w:t>
      </w:r>
      <w:r>
        <w:rPr>
          <w:rFonts w:ascii="仿宋_GB2312" w:eastAsia="仿宋_GB2312"/>
          <w:sz w:val="32"/>
          <w:szCs w:val="32"/>
        </w:rPr>
        <w:t>4,071.90</w:t>
      </w:r>
      <w:r>
        <w:rPr>
          <w:rFonts w:hint="eastAsia" w:ascii="仿宋_GB2312" w:eastAsia="仿宋_GB2312"/>
          <w:sz w:val="32"/>
          <w:szCs w:val="32"/>
        </w:rPr>
        <w:t>万元，占63.05%；项目支出</w:t>
      </w:r>
      <w:r>
        <w:rPr>
          <w:rFonts w:ascii="仿宋_GB2312" w:eastAsia="仿宋_GB2312"/>
          <w:sz w:val="32"/>
          <w:szCs w:val="32"/>
        </w:rPr>
        <w:t>2,386.81</w:t>
      </w:r>
      <w:r>
        <w:rPr>
          <w:rFonts w:hint="eastAsia" w:ascii="仿宋_GB2312" w:eastAsia="仿宋_GB2312"/>
          <w:sz w:val="32"/>
          <w:szCs w:val="32"/>
        </w:rPr>
        <w:t>万元，占36.95%；上缴上级支出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6,458.71万元，与上年相比，增加2,273.96万元，增长54.34%，主要原因是：学生增加，生均公用经费增加，特岗教师工资增加，项目经费增加。财政拨款支出6,458.71万元，与上年相比，增加2,273.82万元，增长54.33%，主要原因是：学生增加，生均公用经费增加，特岗教师工资增加，项目经费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3,616.44</w:t>
      </w:r>
      <w:r>
        <w:rPr>
          <w:rFonts w:hint="eastAsia" w:ascii="仿宋_GB2312" w:eastAsia="仿宋_GB2312"/>
          <w:sz w:val="32"/>
          <w:szCs w:val="32"/>
        </w:rPr>
        <w:t>万元，决算数</w:t>
      </w:r>
      <w:r>
        <w:rPr>
          <w:rFonts w:ascii="仿宋_GB2312" w:eastAsia="仿宋_GB2312"/>
          <w:sz w:val="32"/>
          <w:szCs w:val="32"/>
        </w:rPr>
        <w:t>6,458.71</w:t>
      </w:r>
      <w:r>
        <w:rPr>
          <w:rFonts w:hint="eastAsia" w:ascii="仿宋_GB2312" w:eastAsia="仿宋_GB2312"/>
          <w:sz w:val="32"/>
          <w:szCs w:val="32"/>
        </w:rPr>
        <w:t>万元，预决算差异率</w:t>
      </w:r>
      <w:r>
        <w:rPr>
          <w:rFonts w:ascii="仿宋_GB2312" w:eastAsia="仿宋_GB2312"/>
          <w:sz w:val="32"/>
          <w:szCs w:val="32"/>
        </w:rPr>
        <w:t>78.59</w:t>
      </w:r>
      <w:r>
        <w:rPr>
          <w:rFonts w:hint="eastAsia" w:ascii="仿宋_GB2312" w:eastAsia="仿宋_GB2312"/>
          <w:sz w:val="32"/>
          <w:szCs w:val="32"/>
        </w:rPr>
        <w:t>%，主要原因是：在职人员职务职级晋升，基本工资调整，人员工资福利增加，教职工人数及学生数增加，经费未做到年初预算，为年</w:t>
      </w:r>
      <w:r>
        <w:rPr>
          <w:rFonts w:hint="eastAsia" w:ascii="仿宋_GB2312" w:eastAsia="仿宋_GB2312"/>
          <w:sz w:val="32"/>
          <w:szCs w:val="32"/>
          <w:lang w:val="en-US" w:eastAsia="zh-CN"/>
        </w:rPr>
        <w:t>中</w:t>
      </w:r>
      <w:r>
        <w:rPr>
          <w:rFonts w:hint="eastAsia" w:ascii="仿宋_GB2312" w:eastAsia="仿宋_GB2312"/>
          <w:sz w:val="32"/>
          <w:szCs w:val="32"/>
        </w:rPr>
        <w:t>追加预算，导致预决算存在差异。财政拨款支出年初预算数</w:t>
      </w:r>
      <w:r>
        <w:rPr>
          <w:rFonts w:ascii="仿宋_GB2312" w:eastAsia="仿宋_GB2312"/>
          <w:sz w:val="32"/>
          <w:szCs w:val="32"/>
        </w:rPr>
        <w:t>3,616.44</w:t>
      </w:r>
      <w:r>
        <w:rPr>
          <w:rFonts w:hint="eastAsia" w:ascii="仿宋_GB2312" w:eastAsia="仿宋_GB2312"/>
          <w:sz w:val="32"/>
          <w:szCs w:val="32"/>
        </w:rPr>
        <w:t>万元，决算数</w:t>
      </w:r>
      <w:r>
        <w:rPr>
          <w:rFonts w:ascii="仿宋_GB2312" w:eastAsia="仿宋_GB2312"/>
          <w:sz w:val="32"/>
          <w:szCs w:val="32"/>
        </w:rPr>
        <w:t>6,458.71</w:t>
      </w:r>
      <w:r>
        <w:rPr>
          <w:rFonts w:hint="eastAsia" w:ascii="仿宋_GB2312" w:eastAsia="仿宋_GB2312"/>
          <w:sz w:val="32"/>
          <w:szCs w:val="32"/>
        </w:rPr>
        <w:t>万元，预决算差异率78.59%，主要原因是：在职人员职务职级晋升，基本工资调整，人员工资福利增加，教职工人数及学生数增加，经费未做到年初预算，为年</w:t>
      </w:r>
      <w:r>
        <w:rPr>
          <w:rFonts w:hint="eastAsia" w:ascii="仿宋_GB2312" w:eastAsia="仿宋_GB2312"/>
          <w:sz w:val="32"/>
          <w:szCs w:val="32"/>
          <w:lang w:val="en-US" w:eastAsia="zh-CN"/>
        </w:rPr>
        <w:t>中</w:t>
      </w:r>
      <w:bookmarkStart w:id="54" w:name="_GoBack"/>
      <w:bookmarkEnd w:id="54"/>
      <w:r>
        <w:rPr>
          <w:rFonts w:hint="eastAsia" w:ascii="仿宋_GB2312" w:eastAsia="仿宋_GB2312"/>
          <w:sz w:val="32"/>
          <w:szCs w:val="32"/>
        </w:rPr>
        <w:t>追加预算，导致预决算存在差异。</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年度一般公共预算财政拨款支出6,458.71万元。按功能分类科目项级科目公开，其中：</w:t>
      </w:r>
    </w:p>
    <w:p>
      <w:pPr>
        <w:jc w:val="left"/>
        <w:rPr>
          <w:rFonts w:ascii="仿宋_GB2312" w:eastAsia="仿宋_GB2312"/>
          <w:sz w:val="32"/>
          <w:szCs w:val="32"/>
        </w:rPr>
      </w:pPr>
      <w:bookmarkStart w:id="18" w:name="_Toc11146"/>
      <w:bookmarkStart w:id="19" w:name="_Toc30870"/>
      <w:r>
        <w:rPr>
          <w:rFonts w:ascii="仿宋_GB2312" w:eastAsia="仿宋_GB2312"/>
          <w:sz w:val="32"/>
          <w:szCs w:val="32"/>
        </w:rPr>
        <w:tab/>
      </w:r>
      <w:r>
        <w:rPr>
          <w:rFonts w:ascii="仿宋_GB2312" w:eastAsia="仿宋_GB2312"/>
          <w:sz w:val="32"/>
          <w:szCs w:val="32"/>
        </w:rPr>
        <w:t xml:space="preserve"> 2050202小学教育555.32万元；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2050203初中教育5,513.61万元；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2080505机关事业单位基本养老保险缴费支出389.77万元。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4,071.90</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4,071.90</w:t>
      </w:r>
      <w:r>
        <w:rPr>
          <w:rFonts w:hint="eastAsia" w:ascii="仿宋_GB2312" w:eastAsia="仿宋_GB2312"/>
          <w:sz w:val="32"/>
          <w:szCs w:val="32"/>
        </w:rPr>
        <w:t>万元，包括：基本工资、津贴补贴、奖金、绩效工资、机关事业单位基本养老保险缴费、职工基本医疗保险缴费、其他社会保障缴费、住房公积金、退休费、生活补助、奖励金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2021年度新疆喀什地区叶城县恰斯米其提乡中学（事业单位）公用经费0.00万元，比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元，增长0.00%，主要原因是：财政年初未安排公用经费支出。</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33,991.51</w:t>
      </w:r>
      <w:r>
        <w:rPr>
          <w:rFonts w:hint="eastAsia" w:ascii="仿宋_GB2312" w:eastAsia="仿宋_GB2312"/>
          <w:sz w:val="32"/>
          <w:szCs w:val="32"/>
        </w:rPr>
        <w:t>（平方米），价值</w:t>
      </w:r>
      <w:r>
        <w:rPr>
          <w:rFonts w:ascii="仿宋_GB2312" w:eastAsia="仿宋_GB2312"/>
          <w:sz w:val="32"/>
          <w:szCs w:val="32"/>
        </w:rPr>
        <w:t>5,128.51</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项目绩效。发现的问题及原因：我单位无预算项目绩效。下一步改进措施：我单位无预算项目绩效。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2784"/>
      <w:bookmarkStart w:id="37" w:name="_Toc28903"/>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0C01A6"/>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724D61"/>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4288</Words>
  <Characters>4788</Characters>
  <Lines>59</Lines>
  <Paragraphs>16</Paragraphs>
  <TotalTime>1</TotalTime>
  <ScaleCrop>false</ScaleCrop>
  <LinksUpToDate>false</LinksUpToDate>
  <CharactersWithSpaces>4808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2023-08-10T11:50:41Z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1FD6C41A39CB4513957CDCCE10ADED54_13</vt:lpwstr>
  </property>
</Properties>
</file>