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新疆喀什地区叶城县教育局2021年度部门决算公开说明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(一)全面贯彻执行党和国家有关教育工作的方针政策、法律法规，拟订叶城县落实自治区、地区教育改革与发展政策和规划的措施、方案，并组织实施。</w:t>
      </w:r>
      <w:r>
        <w:rPr>
          <w:rFonts w:ascii="仿宋_GB2312" w:eastAsia="仿宋_GB2312"/>
          <w:sz w:val="32"/>
          <w:szCs w:val="32"/>
        </w:rPr>
        <w:br w:type="textWrapping"/>
      </w:r>
      <w:r>
        <w:rPr>
          <w:rFonts w:ascii="仿宋_GB2312" w:eastAsia="仿宋_GB2312"/>
          <w:sz w:val="32"/>
          <w:szCs w:val="32"/>
        </w:rPr>
        <w:t>　　(二)负责各级各类教育的统筹规划和综合协调，制定教育事业发展规划和计划，确定教育事业发展重点、规模、速度和步骤，指导各级学校的教育教学改革；负责教育基本信息的统计、分析和发布。</w:t>
      </w:r>
      <w:r>
        <w:rPr>
          <w:rFonts w:ascii="仿宋_GB2312" w:eastAsia="仿宋_GB2312"/>
          <w:sz w:val="32"/>
          <w:szCs w:val="32"/>
        </w:rPr>
        <w:br w:type="textWrapping"/>
      </w:r>
      <w:r>
        <w:rPr>
          <w:rFonts w:ascii="仿宋_GB2312" w:eastAsia="仿宋_GB2312"/>
          <w:sz w:val="32"/>
          <w:szCs w:val="32"/>
        </w:rPr>
        <w:t>　　(三)负责国家通用语言文字宣传规划、规范推广、普及应用等工作，负责国家通用语言文字的社会学习、普及学习和再培养培训。</w:t>
      </w:r>
      <w:r>
        <w:rPr>
          <w:rFonts w:ascii="仿宋_GB2312" w:eastAsia="仿宋_GB2312"/>
          <w:sz w:val="32"/>
          <w:szCs w:val="32"/>
        </w:rPr>
        <w:br w:type="textWrapping"/>
      </w:r>
      <w:r>
        <w:rPr>
          <w:rFonts w:ascii="仿宋_GB2312" w:eastAsia="仿宋_GB2312"/>
          <w:sz w:val="32"/>
          <w:szCs w:val="32"/>
        </w:rPr>
        <w:t>　　(四)负责民族语言文字规范化、标准化、信息化工作；负责民族语言文字改革工作；负责有关民族语言文字监测、研究、科研和文化保护工作；承担民族语言文字翻译专业人才规划和培养培训工作。</w:t>
      </w:r>
      <w:r>
        <w:rPr>
          <w:rFonts w:ascii="仿宋_GB2312" w:eastAsia="仿宋_GB2312"/>
          <w:sz w:val="32"/>
          <w:szCs w:val="32"/>
        </w:rPr>
        <w:br w:type="textWrapping"/>
      </w:r>
      <w:r>
        <w:rPr>
          <w:rFonts w:ascii="仿宋_GB2312" w:eastAsia="仿宋_GB2312"/>
          <w:sz w:val="32"/>
          <w:szCs w:val="32"/>
        </w:rPr>
        <w:t>　　(五)会同相关部门编制县级教育经费和项目预算，规划实施并监督管理；落实国家、自治区、地区教育经费筹措、管理和学生资助的政策；协调指导全县各级各类学校学生资助管理工作。</w:t>
      </w:r>
      <w:r>
        <w:rPr>
          <w:rFonts w:ascii="仿宋_GB2312" w:eastAsia="仿宋_GB2312"/>
          <w:sz w:val="32"/>
          <w:szCs w:val="32"/>
        </w:rPr>
        <w:br w:type="textWrapping"/>
      </w:r>
      <w:r>
        <w:rPr>
          <w:rFonts w:ascii="仿宋_GB2312" w:eastAsia="仿宋_GB2312"/>
          <w:sz w:val="32"/>
          <w:szCs w:val="32"/>
        </w:rPr>
        <w:t>　　(六)指导各级各类学校的思想政治建设和德育工作、体育卫生艺术教育、劳动实践教育和科学教育，协助有关部门做好学校国防教育和军训工作。</w:t>
      </w:r>
      <w:r>
        <w:rPr>
          <w:rFonts w:ascii="仿宋_GB2312" w:eastAsia="仿宋_GB2312"/>
          <w:sz w:val="32"/>
          <w:szCs w:val="32"/>
        </w:rPr>
        <w:br w:type="textWrapping"/>
      </w:r>
      <w:r>
        <w:rPr>
          <w:rFonts w:ascii="仿宋_GB2312" w:eastAsia="仿宋_GB2312"/>
          <w:sz w:val="32"/>
          <w:szCs w:val="32"/>
        </w:rPr>
        <w:t>　　(七)指导教育系统单位、各级各类学校的安全稳定和政治保卫；做好应急协调和维稳措施的督促落实工作。</w:t>
      </w:r>
      <w:r>
        <w:rPr>
          <w:rFonts w:ascii="仿宋_GB2312" w:eastAsia="仿宋_GB2312"/>
          <w:sz w:val="32"/>
          <w:szCs w:val="32"/>
        </w:rPr>
        <w:br w:type="textWrapping"/>
      </w:r>
      <w:r>
        <w:rPr>
          <w:rFonts w:ascii="仿宋_GB2312" w:eastAsia="仿宋_GB2312"/>
          <w:sz w:val="32"/>
          <w:szCs w:val="32"/>
        </w:rPr>
        <w:t>　　(八)负责义务教育的宏观指导和协调，推进义务教育均衡发展，促进教</w:t>
      </w:r>
      <w:r>
        <w:rPr>
          <w:rFonts w:hint="eastAsia" w:ascii="仿宋_GB2312" w:eastAsia="仿宋_GB2312"/>
          <w:sz w:val="32"/>
          <w:szCs w:val="32"/>
          <w:lang w:eastAsia="zh-CN"/>
        </w:rPr>
        <w:t>育</w:t>
      </w:r>
      <w:r>
        <w:rPr>
          <w:rFonts w:ascii="仿宋_GB2312" w:eastAsia="仿宋_GB2312"/>
          <w:sz w:val="32"/>
          <w:szCs w:val="32"/>
        </w:rPr>
        <w:t>公平；指导普通高中教育、学前教育、特</w:t>
      </w:r>
      <w:r>
        <w:rPr>
          <w:rFonts w:hint="eastAsia" w:ascii="仿宋_GB2312" w:eastAsia="仿宋_GB2312"/>
          <w:sz w:val="32"/>
          <w:szCs w:val="32"/>
          <w:lang w:eastAsia="zh-CN"/>
        </w:rPr>
        <w:t>殊</w:t>
      </w:r>
      <w:r>
        <w:rPr>
          <w:rFonts w:ascii="仿宋_GB2312" w:eastAsia="仿宋_GB2312"/>
          <w:sz w:val="32"/>
          <w:szCs w:val="32"/>
        </w:rPr>
        <w:t>教育和民办教育工作。</w:t>
      </w:r>
      <w:r>
        <w:rPr>
          <w:rFonts w:ascii="仿宋_GB2312" w:eastAsia="仿宋_GB2312"/>
          <w:sz w:val="32"/>
          <w:szCs w:val="32"/>
        </w:rPr>
        <w:br w:type="textWrapping"/>
      </w:r>
      <w:r>
        <w:rPr>
          <w:rFonts w:ascii="仿宋_GB2312" w:eastAsia="仿宋_GB2312"/>
          <w:sz w:val="32"/>
          <w:szCs w:val="32"/>
        </w:rPr>
        <w:t>　　(九)统筹指导职业教育发展改革和职业指导工作；指导开展就业创业工作。</w:t>
      </w:r>
      <w:r>
        <w:rPr>
          <w:rFonts w:ascii="仿宋_GB2312" w:eastAsia="仿宋_GB2312"/>
          <w:sz w:val="32"/>
          <w:szCs w:val="32"/>
        </w:rPr>
        <w:br w:type="textWrapping"/>
      </w:r>
      <w:r>
        <w:rPr>
          <w:rFonts w:ascii="仿宋_GB2312" w:eastAsia="仿宋_GB2312"/>
          <w:sz w:val="32"/>
          <w:szCs w:val="32"/>
        </w:rPr>
        <w:t>　　(十)指导教育系统人才队伍建设，主管教师培养规划和组织实施工作，负</w:t>
      </w:r>
      <w:r>
        <w:rPr>
          <w:rFonts w:hint="eastAsia" w:ascii="仿宋_GB2312" w:eastAsia="仿宋_GB2312"/>
          <w:sz w:val="32"/>
          <w:szCs w:val="32"/>
          <w:lang w:eastAsia="zh-CN"/>
        </w:rPr>
        <w:t>责</w:t>
      </w:r>
      <w:r>
        <w:rPr>
          <w:rFonts w:ascii="仿宋_GB2312" w:eastAsia="仿宋_GB2312"/>
          <w:sz w:val="32"/>
          <w:szCs w:val="32"/>
        </w:rPr>
        <w:t>公费师范毕业生就业管理服务工作；负责教师资格认定和继续教育等工作。组织、指导教育系统专业技术职务评聘工作。</w:t>
      </w:r>
      <w:r>
        <w:rPr>
          <w:rFonts w:ascii="仿宋_GB2312" w:eastAsia="仿宋_GB2312"/>
          <w:sz w:val="32"/>
          <w:szCs w:val="32"/>
        </w:rPr>
        <w:br w:type="textWrapping"/>
      </w:r>
      <w:r>
        <w:rPr>
          <w:rFonts w:ascii="仿宋_GB2312" w:eastAsia="仿宋_GB2312"/>
          <w:sz w:val="32"/>
          <w:szCs w:val="32"/>
        </w:rPr>
        <w:t>　　(十一)负责管理学历教育及其考试工作，统筹各级各类招生计划并组织实施。</w:t>
      </w:r>
      <w:r>
        <w:rPr>
          <w:rFonts w:ascii="仿宋_GB2312" w:eastAsia="仿宋_GB2312"/>
          <w:sz w:val="32"/>
          <w:szCs w:val="32"/>
        </w:rPr>
        <w:br w:type="textWrapping"/>
      </w:r>
      <w:r>
        <w:rPr>
          <w:rFonts w:ascii="仿宋_GB2312" w:eastAsia="仿宋_GB2312"/>
          <w:sz w:val="32"/>
          <w:szCs w:val="32"/>
        </w:rPr>
        <w:t>　　(十二)承担县人民政府教育督导室的具体工作，制定教育督导计划和评估方案，并进行指导、监督、检查和评估。</w:t>
      </w:r>
      <w:r>
        <w:rPr>
          <w:rFonts w:ascii="仿宋_GB2312" w:eastAsia="仿宋_GB2312"/>
          <w:sz w:val="32"/>
          <w:szCs w:val="32"/>
        </w:rPr>
        <w:br w:type="textWrapping"/>
      </w:r>
      <w:r>
        <w:rPr>
          <w:rFonts w:ascii="仿宋_GB2312" w:eastAsia="仿宋_GB2312"/>
          <w:sz w:val="32"/>
          <w:szCs w:val="32"/>
        </w:rPr>
        <w:t>　　(十三)完成县委、县人民政府交办的其他任务</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新疆喀什地区叶城县教育局</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11,467</w:t>
      </w:r>
      <w:r>
        <w:rPr>
          <w:rFonts w:hint="eastAsia" w:ascii="仿宋_GB2312" w:eastAsia="仿宋_GB2312"/>
          <w:sz w:val="32"/>
          <w:szCs w:val="32"/>
        </w:rPr>
        <w:t>人，其中：在职人员</w:t>
      </w:r>
      <w:r>
        <w:rPr>
          <w:rFonts w:ascii="仿宋_GB2312" w:eastAsia="仿宋_GB2312"/>
          <w:sz w:val="32"/>
          <w:szCs w:val="32"/>
        </w:rPr>
        <w:t>10,042</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1,425</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从部门决算单位构成看，新疆喀什地区叶城县教育局部门决算包括：新疆喀什地区叶城县教育局决算。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230,684.60</w:t>
      </w:r>
      <w:r>
        <w:rPr>
          <w:rFonts w:hint="eastAsia" w:ascii="仿宋_GB2312" w:eastAsia="仿宋_GB2312"/>
          <w:sz w:val="32"/>
          <w:szCs w:val="32"/>
        </w:rPr>
        <w:t>万元，与上年相比，减少18,596.18万元，</w:t>
      </w:r>
      <w:r>
        <w:rPr>
          <w:rFonts w:ascii="仿宋_GB2312" w:eastAsia="仿宋_GB2312"/>
          <w:sz w:val="32"/>
          <w:szCs w:val="32"/>
        </w:rPr>
        <w:t>降低7.46</w:t>
      </w:r>
      <w:r>
        <w:rPr>
          <w:rFonts w:hint="eastAsia" w:ascii="仿宋_GB2312" w:eastAsia="仿宋_GB2312"/>
          <w:sz w:val="32"/>
          <w:szCs w:val="32"/>
        </w:rPr>
        <w:t>%，主要原因是：本年度建设项目资金减少，上海援疆资金减少。本年支出</w:t>
      </w:r>
      <w:r>
        <w:rPr>
          <w:rFonts w:ascii="仿宋_GB2312" w:eastAsia="仿宋_GB2312"/>
          <w:sz w:val="32"/>
          <w:szCs w:val="32"/>
        </w:rPr>
        <w:t>230,684.60</w:t>
      </w:r>
      <w:r>
        <w:rPr>
          <w:rFonts w:hint="eastAsia" w:ascii="仿宋_GB2312" w:eastAsia="仿宋_GB2312"/>
          <w:sz w:val="32"/>
          <w:szCs w:val="32"/>
        </w:rPr>
        <w:t>万元，与上年相比，</w:t>
      </w:r>
      <w:r>
        <w:rPr>
          <w:rFonts w:ascii="仿宋_GB2312" w:eastAsia="仿宋_GB2312"/>
          <w:sz w:val="32"/>
          <w:szCs w:val="32"/>
        </w:rPr>
        <w:t>减少18,657.97</w:t>
      </w:r>
      <w:r>
        <w:rPr>
          <w:rFonts w:hint="eastAsia" w:ascii="仿宋_GB2312" w:eastAsia="仿宋_GB2312"/>
          <w:sz w:val="32"/>
          <w:szCs w:val="32"/>
        </w:rPr>
        <w:t>万元，</w:t>
      </w:r>
      <w:r>
        <w:rPr>
          <w:rFonts w:ascii="仿宋_GB2312" w:eastAsia="仿宋_GB2312"/>
          <w:sz w:val="32"/>
          <w:szCs w:val="32"/>
        </w:rPr>
        <w:t>降低7.48</w:t>
      </w:r>
      <w:r>
        <w:rPr>
          <w:rFonts w:hint="eastAsia" w:ascii="仿宋_GB2312" w:eastAsia="仿宋_GB2312"/>
          <w:sz w:val="32"/>
          <w:szCs w:val="32"/>
        </w:rPr>
        <w:t>%，主要原因是：本年度建设项目资金减少，上海援疆资金减少。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230,684.60</w:t>
      </w:r>
      <w:r>
        <w:rPr>
          <w:rFonts w:hint="eastAsia" w:ascii="仿宋_GB2312" w:eastAsia="仿宋_GB2312"/>
          <w:sz w:val="32"/>
          <w:szCs w:val="32"/>
        </w:rPr>
        <w:t>万元，其中：财政拨款收入</w:t>
      </w:r>
      <w:r>
        <w:rPr>
          <w:rFonts w:ascii="仿宋_GB2312" w:eastAsia="仿宋_GB2312"/>
          <w:sz w:val="32"/>
          <w:szCs w:val="32"/>
        </w:rPr>
        <w:t>219,358.76</w:t>
      </w:r>
      <w:r>
        <w:rPr>
          <w:rFonts w:hint="eastAsia" w:ascii="仿宋_GB2312" w:eastAsia="仿宋_GB2312"/>
          <w:sz w:val="32"/>
          <w:szCs w:val="32"/>
        </w:rPr>
        <w:t>万元，占95.09%；上级补助收入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1.14</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11,324.69</w:t>
      </w:r>
      <w:r>
        <w:rPr>
          <w:rFonts w:hint="eastAsia" w:ascii="仿宋_GB2312" w:eastAsia="仿宋_GB2312"/>
          <w:sz w:val="32"/>
          <w:szCs w:val="32"/>
        </w:rPr>
        <w:t>万元，占4.91%。</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年度本年支出230,684.60万元，其中：基本支出</w:t>
      </w:r>
      <w:r>
        <w:rPr>
          <w:rFonts w:ascii="仿宋_GB2312" w:eastAsia="仿宋_GB2312"/>
          <w:sz w:val="32"/>
          <w:szCs w:val="32"/>
        </w:rPr>
        <w:t>137,640.45</w:t>
      </w:r>
      <w:r>
        <w:rPr>
          <w:rFonts w:hint="eastAsia" w:ascii="仿宋_GB2312" w:eastAsia="仿宋_GB2312"/>
          <w:sz w:val="32"/>
          <w:szCs w:val="32"/>
        </w:rPr>
        <w:t>万元，占59.67%；项目支出</w:t>
      </w:r>
      <w:r>
        <w:rPr>
          <w:rFonts w:ascii="仿宋_GB2312" w:eastAsia="仿宋_GB2312"/>
          <w:sz w:val="32"/>
          <w:szCs w:val="32"/>
        </w:rPr>
        <w:t>93,044.15</w:t>
      </w:r>
      <w:r>
        <w:rPr>
          <w:rFonts w:hint="eastAsia" w:ascii="仿宋_GB2312" w:eastAsia="仿宋_GB2312"/>
          <w:sz w:val="32"/>
          <w:szCs w:val="32"/>
        </w:rPr>
        <w:t>万元，占40.33%；上缴上级支出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年度财政拨款收入219,358.76万元，与上年相比，减少10,185.92万元，降低4.44%，主要原因是：本年度建设项目资金</w:t>
      </w:r>
      <w:r>
        <w:rPr>
          <w:rFonts w:hint="eastAsia" w:ascii="仿宋_GB2312" w:eastAsia="仿宋_GB2312"/>
          <w:sz w:val="32"/>
          <w:szCs w:val="32"/>
          <w:lang w:eastAsia="zh-CN"/>
        </w:rPr>
        <w:t>、</w:t>
      </w:r>
      <w:r>
        <w:rPr>
          <w:rFonts w:hint="eastAsia" w:ascii="仿宋_GB2312" w:eastAsia="仿宋_GB2312"/>
          <w:sz w:val="32"/>
          <w:szCs w:val="32"/>
        </w:rPr>
        <w:t>新建校舍项目工程</w:t>
      </w:r>
      <w:r>
        <w:rPr>
          <w:rFonts w:hint="eastAsia" w:ascii="仿宋_GB2312" w:eastAsia="仿宋_GB2312"/>
          <w:sz w:val="32"/>
          <w:szCs w:val="32"/>
          <w:lang w:eastAsia="zh-CN"/>
        </w:rPr>
        <w:t>、</w:t>
      </w:r>
      <w:r>
        <w:rPr>
          <w:rFonts w:hint="eastAsia" w:ascii="仿宋_GB2312" w:eastAsia="仿宋_GB2312"/>
          <w:sz w:val="32"/>
          <w:szCs w:val="32"/>
        </w:rPr>
        <w:t>项目投资资金减少。财政拨款支出219,358.76万元，与上年相比，减少10,247.71万元，降低4.46%，主要原因是：本年度建设项目资金</w:t>
      </w:r>
      <w:r>
        <w:rPr>
          <w:rFonts w:hint="eastAsia" w:ascii="仿宋_GB2312" w:eastAsia="仿宋_GB2312"/>
          <w:sz w:val="32"/>
          <w:szCs w:val="32"/>
          <w:lang w:eastAsia="zh-CN"/>
        </w:rPr>
        <w:t>、</w:t>
      </w:r>
      <w:r>
        <w:rPr>
          <w:rFonts w:hint="eastAsia" w:ascii="仿宋_GB2312" w:eastAsia="仿宋_GB2312"/>
          <w:sz w:val="32"/>
          <w:szCs w:val="32"/>
        </w:rPr>
        <w:t>新建校舍项目工程</w:t>
      </w:r>
      <w:r>
        <w:rPr>
          <w:rFonts w:hint="eastAsia" w:ascii="仿宋_GB2312" w:eastAsia="仿宋_GB2312"/>
          <w:sz w:val="32"/>
          <w:szCs w:val="32"/>
          <w:lang w:eastAsia="zh-CN"/>
        </w:rPr>
        <w:t>、</w:t>
      </w:r>
      <w:r>
        <w:rPr>
          <w:rFonts w:hint="eastAsia" w:ascii="仿宋_GB2312" w:eastAsia="仿宋_GB2312"/>
          <w:sz w:val="32"/>
          <w:szCs w:val="32"/>
        </w:rPr>
        <w:t>项目投资资金减少。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202,417.68</w:t>
      </w:r>
      <w:r>
        <w:rPr>
          <w:rFonts w:hint="eastAsia" w:ascii="仿宋_GB2312" w:eastAsia="仿宋_GB2312"/>
          <w:sz w:val="32"/>
          <w:szCs w:val="32"/>
        </w:rPr>
        <w:t>万元，决算数</w:t>
      </w:r>
      <w:r>
        <w:rPr>
          <w:rFonts w:ascii="仿宋_GB2312" w:eastAsia="仿宋_GB2312"/>
          <w:sz w:val="32"/>
          <w:szCs w:val="32"/>
        </w:rPr>
        <w:t>219,358.76</w:t>
      </w:r>
      <w:r>
        <w:rPr>
          <w:rFonts w:hint="eastAsia" w:ascii="仿宋_GB2312" w:eastAsia="仿宋_GB2312"/>
          <w:sz w:val="32"/>
          <w:szCs w:val="32"/>
        </w:rPr>
        <w:t>万元，预决算差异率</w:t>
      </w:r>
      <w:r>
        <w:rPr>
          <w:rFonts w:ascii="仿宋_GB2312" w:eastAsia="仿宋_GB2312"/>
          <w:sz w:val="32"/>
          <w:szCs w:val="32"/>
        </w:rPr>
        <w:t>8.37</w:t>
      </w:r>
      <w:r>
        <w:rPr>
          <w:rFonts w:hint="eastAsia" w:ascii="仿宋_GB2312" w:eastAsia="仿宋_GB2312"/>
          <w:sz w:val="32"/>
          <w:szCs w:val="32"/>
        </w:rPr>
        <w:t>%，主要原因是：人员工资岗位变动调资，绩效工资调标资金增加，年中追加人员经费预算。财政拨款支出年初预算数</w:t>
      </w:r>
      <w:r>
        <w:rPr>
          <w:rFonts w:ascii="仿宋_GB2312" w:eastAsia="仿宋_GB2312"/>
          <w:sz w:val="32"/>
          <w:szCs w:val="32"/>
        </w:rPr>
        <w:t>202,417.68</w:t>
      </w:r>
      <w:r>
        <w:rPr>
          <w:rFonts w:hint="eastAsia" w:ascii="仿宋_GB2312" w:eastAsia="仿宋_GB2312"/>
          <w:sz w:val="32"/>
          <w:szCs w:val="32"/>
        </w:rPr>
        <w:t>万元，决算数</w:t>
      </w:r>
      <w:r>
        <w:rPr>
          <w:rFonts w:ascii="仿宋_GB2312" w:eastAsia="仿宋_GB2312"/>
          <w:sz w:val="32"/>
          <w:szCs w:val="32"/>
        </w:rPr>
        <w:t>219,358.76</w:t>
      </w:r>
      <w:r>
        <w:rPr>
          <w:rFonts w:hint="eastAsia" w:ascii="仿宋_GB2312" w:eastAsia="仿宋_GB2312"/>
          <w:sz w:val="32"/>
          <w:szCs w:val="32"/>
        </w:rPr>
        <w:t>万元，预决算差异率8.37%，主要原因是：人员工资岗位变动调资，绩效工资调标资金增加，年中追加人员经费预算。</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年度一般公共预算财政拨款支出219,301.76万元。按功能分类科目项级科目公开，其中：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2050101行政运行207.77万元；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2050201学前教育27,088.81万元；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2050202小学教育91,217.71万元；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2050203初中教育58,907.72万元；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2050204高中教育14,397.87万元；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2050299其他普通教育支出578.05万元；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2050302中等职业教育7,014.84万元；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2050701特殊学校教育791.39万元；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2050801教师进修151.23万元；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2050902农村中小学教学设施1,074.00万元；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2050905中等职业学校教学设施62.44万元；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2050999其他教育费附加安排的支出428.00万元；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2059999其他教育支出485.87万元；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2060799其他科学技术普及支出2.94万元；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2080505机关事业单位基本养老保险缴费支出13,682.81万元；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2080506机关事业单位职业年金缴费支出618.92万元；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2130506社会发展2,591.40万元。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137,640.45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137,633.42</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公用经费7.04万元，包括：办公费、手续费、差旅费、维修（护）费、培训费、公务用车运行维护费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2021年度一般公共预算“三公”经费支出决算6.42万元，比上年减少2.72万元，降低29.76%，主要原因是</w:t>
      </w:r>
      <w:r>
        <w:rPr>
          <w:rFonts w:hint="eastAsia" w:ascii="仿宋_GB2312" w:eastAsia="仿宋_GB2312"/>
          <w:sz w:val="32"/>
          <w:szCs w:val="32"/>
          <w:lang w:eastAsia="zh-CN"/>
        </w:rPr>
        <w:t>：</w:t>
      </w:r>
      <w:r>
        <w:rPr>
          <w:rFonts w:ascii="仿宋_GB2312" w:eastAsia="仿宋_GB2312"/>
          <w:sz w:val="32"/>
          <w:szCs w:val="32"/>
        </w:rPr>
        <w:t>严格按照中央八项规定，厉行节约，压减经费。其中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6.42万元，占100.00%，比上年减少2.72万元，降低29.76%，主要原因是：严格按照中央八项规定，厉行节约，压减经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6.42</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6.42</w:t>
      </w:r>
      <w:r>
        <w:rPr>
          <w:rFonts w:hint="eastAsia" w:ascii="仿宋_GB2312" w:eastAsia="仿宋_GB2312"/>
          <w:sz w:val="32"/>
          <w:szCs w:val="32"/>
        </w:rPr>
        <w:t>万元。公务用车运行维护费开支内容包括：车辆维修、保险、监测、过路、加油费用。公务用车购置数</w:t>
      </w:r>
      <w:r>
        <w:rPr>
          <w:rFonts w:ascii="仿宋_GB2312" w:eastAsia="仿宋_GB2312"/>
          <w:sz w:val="32"/>
          <w:szCs w:val="32"/>
        </w:rPr>
        <w:t>0</w:t>
      </w:r>
      <w:r>
        <w:rPr>
          <w:rFonts w:hint="eastAsia" w:ascii="仿宋_GB2312" w:eastAsia="仿宋_GB2312"/>
          <w:sz w:val="32"/>
          <w:szCs w:val="32"/>
        </w:rPr>
        <w:t>辆，公务用车保有量6辆。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与年初预算数相比情况：一般公共预算“三公”经费支出年初预算数7.09万元，决算数</w:t>
      </w:r>
      <w:r>
        <w:rPr>
          <w:rFonts w:ascii="仿宋_GB2312" w:eastAsia="仿宋_GB2312"/>
          <w:sz w:val="32"/>
          <w:szCs w:val="32"/>
        </w:rPr>
        <w:t>6.42</w:t>
      </w:r>
      <w:r>
        <w:rPr>
          <w:rFonts w:hint="eastAsia" w:ascii="仿宋_GB2312" w:eastAsia="仿宋_GB2312"/>
          <w:sz w:val="32"/>
          <w:szCs w:val="32"/>
        </w:rPr>
        <w:t>万元，预决算差异率-9.45%，主要原因是：严格按照中央八项规定，厉行节约，压减经费。</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预算数7.09万元，决算数6.42万元，预决算差异率-9.45%，主要原因是：严格按照中央八项规定，厉行节约，压减经费；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2021年度政府性基金预算财政拨款收入57.00万元，与上年相比，减少118.10万元，降低67.45%，主要原因是：乡村少年宫项目减少，资金投入减少。政府性基金预算财政拨款支出57.00万元</w:t>
      </w:r>
      <w:r>
        <w:rPr>
          <w:rFonts w:hint="eastAsia" w:ascii="仿宋_GB2312" w:eastAsia="仿宋_GB2312"/>
          <w:sz w:val="32"/>
          <w:szCs w:val="32"/>
        </w:rPr>
        <w:t>，</w:t>
      </w:r>
      <w:r>
        <w:rPr>
          <w:rFonts w:ascii="仿宋_GB2312" w:eastAsia="仿宋_GB2312"/>
          <w:sz w:val="32"/>
          <w:szCs w:val="32"/>
        </w:rPr>
        <w:t>与上年相比，减少118.10万元，降低67.45%，主要原因是：乡村少年宫项目减少，资金投入减少。</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政府性基金预算财政拨款支出57.00万元。按功能分类科目项级科目公开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2296004用于教育事业的彩票公益金支出57.00万元。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2021年度新疆喀什地区叶城县教育局（行政单位和参照公务员法管理事业单位）机关运行经费支出</w:t>
      </w:r>
      <w:r>
        <w:rPr>
          <w:rFonts w:ascii="仿宋_GB2312" w:eastAsia="仿宋_GB2312"/>
          <w:sz w:val="32"/>
          <w:szCs w:val="32"/>
        </w:rPr>
        <w:t>5.40</w:t>
      </w:r>
      <w:r>
        <w:rPr>
          <w:rFonts w:hint="eastAsia" w:ascii="仿宋_GB2312" w:eastAsia="仿宋_GB2312"/>
          <w:sz w:val="32"/>
          <w:szCs w:val="32"/>
        </w:rPr>
        <w:t>万元，比上年减少9.61万元，降低64.02%，主要原因是：严格按照中央八项规定，厉行节约，压减经费。</w:t>
      </w:r>
    </w:p>
    <w:p>
      <w:pPr>
        <w:ind w:firstLine="640" w:firstLineChars="200"/>
        <w:rPr>
          <w:rFonts w:ascii="仿宋_GB2312" w:eastAsia="仿宋_GB2312"/>
          <w:sz w:val="32"/>
          <w:szCs w:val="32"/>
        </w:rPr>
      </w:pPr>
      <w:r>
        <w:rPr>
          <w:rFonts w:hint="eastAsia" w:ascii="仿宋_GB2312" w:eastAsia="仿宋_GB2312"/>
          <w:sz w:val="32"/>
          <w:szCs w:val="32"/>
        </w:rPr>
        <w:t>2021年度新疆喀什地区叶城县教育局（事业单位）公用经费</w:t>
      </w:r>
      <w:r>
        <w:rPr>
          <w:rFonts w:ascii="仿宋_GB2312" w:eastAsia="仿宋_GB2312"/>
          <w:sz w:val="32"/>
          <w:szCs w:val="32"/>
        </w:rPr>
        <w:t>1.63</w:t>
      </w:r>
      <w:r>
        <w:rPr>
          <w:rFonts w:hint="eastAsia" w:ascii="仿宋_GB2312" w:eastAsia="仿宋_GB2312"/>
          <w:sz w:val="32"/>
          <w:szCs w:val="32"/>
        </w:rPr>
        <w:t>万元，比上年</w:t>
      </w:r>
      <w:r>
        <w:rPr>
          <w:rFonts w:ascii="仿宋_GB2312" w:eastAsia="仿宋_GB2312"/>
          <w:sz w:val="32"/>
          <w:szCs w:val="32"/>
        </w:rPr>
        <w:t>减少1.07</w:t>
      </w:r>
      <w:r>
        <w:rPr>
          <w:rFonts w:hint="eastAsia" w:ascii="仿宋_GB2312" w:eastAsia="仿宋_GB2312"/>
          <w:sz w:val="32"/>
          <w:szCs w:val="32"/>
        </w:rPr>
        <w:t>万元，</w:t>
      </w:r>
      <w:r>
        <w:rPr>
          <w:rFonts w:ascii="仿宋_GB2312" w:eastAsia="仿宋_GB2312"/>
          <w:sz w:val="32"/>
          <w:szCs w:val="32"/>
        </w:rPr>
        <w:t>降低39.63</w:t>
      </w:r>
      <w:r>
        <w:rPr>
          <w:rFonts w:hint="eastAsia" w:ascii="仿宋_GB2312" w:eastAsia="仿宋_GB2312"/>
          <w:sz w:val="32"/>
          <w:szCs w:val="32"/>
        </w:rPr>
        <w:t>%，主要原因是：严格按照中央八项规定，厉行节约，压减经费。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35,405.15</w:t>
      </w:r>
      <w:r>
        <w:rPr>
          <w:rFonts w:hint="eastAsia" w:ascii="仿宋_GB2312" w:eastAsia="仿宋_GB2312"/>
          <w:sz w:val="32"/>
          <w:szCs w:val="32"/>
        </w:rPr>
        <w:t>万元，其中：政府采购货物支出</w:t>
      </w:r>
      <w:r>
        <w:rPr>
          <w:rFonts w:ascii="仿宋_GB2312" w:eastAsia="仿宋_GB2312"/>
          <w:sz w:val="32"/>
          <w:szCs w:val="32"/>
        </w:rPr>
        <w:t>34,688.96</w:t>
      </w:r>
      <w:r>
        <w:rPr>
          <w:rFonts w:hint="eastAsia" w:ascii="仿宋_GB2312" w:eastAsia="仿宋_GB2312"/>
          <w:sz w:val="32"/>
          <w:szCs w:val="32"/>
        </w:rPr>
        <w:t>万元、政府采购工程支出</w:t>
      </w:r>
      <w:r>
        <w:rPr>
          <w:rFonts w:ascii="仿宋_GB2312" w:eastAsia="仿宋_GB2312"/>
          <w:sz w:val="32"/>
          <w:szCs w:val="32"/>
        </w:rPr>
        <w:t>342.04</w:t>
      </w:r>
      <w:r>
        <w:rPr>
          <w:rFonts w:hint="eastAsia" w:ascii="仿宋_GB2312" w:eastAsia="仿宋_GB2312"/>
          <w:sz w:val="32"/>
          <w:szCs w:val="32"/>
        </w:rPr>
        <w:t>万元、政府采购服务支出</w:t>
      </w:r>
      <w:r>
        <w:rPr>
          <w:rFonts w:ascii="仿宋_GB2312" w:eastAsia="仿宋_GB2312"/>
          <w:sz w:val="32"/>
          <w:szCs w:val="32"/>
        </w:rPr>
        <w:t>374.15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35,321.61</w:t>
      </w:r>
      <w:r>
        <w:rPr>
          <w:rFonts w:hint="eastAsia" w:ascii="仿宋_GB2312" w:eastAsia="仿宋_GB2312"/>
          <w:sz w:val="32"/>
          <w:szCs w:val="32"/>
        </w:rPr>
        <w:t>万元，占政府采购支出总额的</w:t>
      </w:r>
      <w:r>
        <w:rPr>
          <w:rFonts w:ascii="仿宋_GB2312" w:eastAsia="仿宋_GB2312"/>
          <w:sz w:val="32"/>
          <w:szCs w:val="32"/>
        </w:rPr>
        <w:t>99.76</w:t>
      </w:r>
      <w:r>
        <w:rPr>
          <w:rFonts w:hint="eastAsia" w:ascii="仿宋_GB2312" w:eastAsia="仿宋_GB2312"/>
          <w:sz w:val="32"/>
          <w:szCs w:val="32"/>
        </w:rPr>
        <w:t>%，其中：授予小微企业合同金额</w:t>
      </w:r>
      <w:r>
        <w:rPr>
          <w:rFonts w:ascii="仿宋_GB2312" w:eastAsia="仿宋_GB2312"/>
          <w:sz w:val="32"/>
          <w:szCs w:val="32"/>
        </w:rPr>
        <w:t>35,291.94</w:t>
      </w:r>
      <w:r>
        <w:rPr>
          <w:rFonts w:hint="eastAsia" w:ascii="仿宋_GB2312" w:eastAsia="仿宋_GB2312"/>
          <w:sz w:val="32"/>
          <w:szCs w:val="32"/>
        </w:rPr>
        <w:t>万元，占政府采购支出总额的</w:t>
      </w:r>
      <w:r>
        <w:rPr>
          <w:rFonts w:ascii="仿宋_GB2312" w:eastAsia="仿宋_GB2312"/>
          <w:sz w:val="32"/>
          <w:szCs w:val="32"/>
        </w:rPr>
        <w:t>99.68</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8" w:name="_Toc8391"/>
      <w:bookmarkStart w:id="29" w:name="_Toc4591"/>
      <w:r>
        <w:rPr>
          <w:rFonts w:hint="eastAsia" w:ascii="黑体" w:hAnsi="黑体" w:eastAsia="黑体"/>
          <w:sz w:val="32"/>
          <w:szCs w:val="32"/>
        </w:rPr>
        <w:t>（三）国有资产占用情况说明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1,513,002.07</w:t>
      </w:r>
      <w:r>
        <w:rPr>
          <w:rFonts w:hint="eastAsia" w:ascii="仿宋_GB2312" w:eastAsia="仿宋_GB2312"/>
          <w:sz w:val="32"/>
          <w:szCs w:val="32"/>
        </w:rPr>
        <w:t>（平方米），价值</w:t>
      </w:r>
      <w:r>
        <w:rPr>
          <w:rFonts w:ascii="仿宋_GB2312" w:eastAsia="仿宋_GB2312"/>
          <w:sz w:val="32"/>
          <w:szCs w:val="32"/>
        </w:rPr>
        <w:t>201,859.80</w:t>
      </w:r>
      <w:r>
        <w:rPr>
          <w:rFonts w:hint="eastAsia" w:ascii="仿宋_GB2312" w:eastAsia="仿宋_GB2312"/>
          <w:sz w:val="32"/>
          <w:szCs w:val="32"/>
        </w:rPr>
        <w:t>万元。车辆</w:t>
      </w:r>
      <w:r>
        <w:rPr>
          <w:rFonts w:ascii="仿宋_GB2312" w:eastAsia="仿宋_GB2312"/>
          <w:sz w:val="32"/>
          <w:szCs w:val="32"/>
        </w:rPr>
        <w:t>12</w:t>
      </w:r>
      <w:r>
        <w:rPr>
          <w:rFonts w:hint="eastAsia" w:ascii="仿宋_GB2312" w:eastAsia="仿宋_GB2312"/>
          <w:sz w:val="32"/>
          <w:szCs w:val="32"/>
        </w:rPr>
        <w:t>辆，价值</w:t>
      </w:r>
      <w:r>
        <w:rPr>
          <w:rFonts w:ascii="仿宋_GB2312" w:eastAsia="仿宋_GB2312"/>
          <w:sz w:val="32"/>
          <w:szCs w:val="32"/>
        </w:rPr>
        <w:t>121.42</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12</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11</w:t>
      </w:r>
      <w:r>
        <w:rPr>
          <w:rFonts w:hint="eastAsia" w:ascii="仿宋_GB2312" w:eastAsia="仿宋_GB2312"/>
          <w:sz w:val="32"/>
          <w:szCs w:val="32"/>
        </w:rPr>
        <w:t>台（套）、单位价值100万元以上专用设备</w:t>
      </w:r>
      <w:r>
        <w:rPr>
          <w:rFonts w:ascii="仿宋_GB2312" w:eastAsia="仿宋_GB2312"/>
          <w:sz w:val="32"/>
          <w:szCs w:val="32"/>
        </w:rPr>
        <w:t>2</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61个，共涉及资金108138.64万元。预算绩效管理取得的成效：1.科学制定目标，促进绩效目标顺利实现。2.提高了项目资金使用的绩效意识。3.以便项目实施完成，进行跟踪问效评价。对下一年此类项目预算编制提供参考。4.提高财政资金使用效益，确保项目顺利开展。5.对专项资金使用效果好的予以继续支持；对专项资金管理较好的做法予以宣传推广。发现的问题及原因：1.全过程预算绩效管理制度体系不健全。目前财政部门尚未制定系统、规范的绩效管理工作流程和操作细节，未建立社会中介、专家、数据库和档案等管理办法，绩效指标和标准体系建设不完善，未能细化、量化绩效指标，突出绩效特色。2.绩效管理专业人员匮乏，规范管理有盲点。预算绩效管理工作的覆盖面广、专业性强，预算单位在开展日常管理，需要具备一定专业素养和实战经验的人力资源。3.评价指标体系不完善，实际操作有难度。尽管财政部制定出台了绩效评价共性指标体系，自治区财政也在陆续推出细化的评价指标和落实措施，但是对指标具体设置没有统一的明确规定，没有针对性较强的个性评价指标体系可供借鉴。下一步改进措施：加强宣传引导，强化绩效观念。党的十八届三中全会作出的《关于全面深化改革若干重大问题的决定》中对政府绩效管理和财政预算管理提出了明确要求，新修订的《预算法》也对预算绩效管理作出了具体规定，尽快建立并完善预算绩效管理机制也是推进法治型、服务型、节约型政府建设的有效途径和重要举措。</w:t>
      </w:r>
      <w:bookmarkStart w:id="52" w:name="_GoBack"/>
      <w:r>
        <w:rPr>
          <w:rFonts w:ascii="仿宋_GB2312" w:eastAsia="仿宋_GB2312"/>
          <w:sz w:val="32"/>
          <w:szCs w:val="32"/>
        </w:rPr>
        <w:t>一方面，要采取召开会议、出台规范性文件、专题培训、分类指导等多种形式，组织预算单位和工作人员学习预算绩效管理的法律法规、规范要求，让绩效理念深入人心、让绩效管理人员熟知政策、知行合一。另一方面，要通过专题工作报告、情况通报、工作简报等方式，积极向县级党政机关和</w:t>
      </w:r>
      <w:bookmarkEnd w:id="52"/>
      <w:r>
        <w:rPr>
          <w:rFonts w:ascii="仿宋_GB2312" w:eastAsia="仿宋_GB2312"/>
          <w:sz w:val="32"/>
          <w:szCs w:val="32"/>
        </w:rPr>
        <w:t>主要领导报告工作，让主要领导及时掌握预算绩效管理的推进情况、实际效果和存在的问题，以利于及时作出决策，支持并帮助解决工作中出现的困难和问题，有效运用绩效评价结果调整管理思路。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2" w:name="_Toc24143"/>
      <w:bookmarkStart w:id="33" w:name="_Toc3250"/>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4" w:name="_Toc22784"/>
      <w:bookmarkStart w:id="35"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2183"/>
      <w:bookmarkStart w:id="37" w:name="_Toc6062"/>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24532"/>
      <w:bookmarkStart w:id="39" w:name="_Toc30364"/>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32434"/>
      <w:bookmarkStart w:id="41" w:name="_Toc2130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14238"/>
      <w:bookmarkStart w:id="43" w:name="_Toc28786"/>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4869"/>
      <w:bookmarkStart w:id="45" w:name="_Toc10347"/>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8884"/>
      <w:bookmarkStart w:id="47" w:name="_Toc5626"/>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29106"/>
      <w:bookmarkStart w:id="49" w:name="_Toc32663"/>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7643"/>
      <w:bookmarkStart w:id="51" w:name="_Toc545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2736A1"/>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BA4251"/>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5894</Words>
  <Characters>6725</Characters>
  <Lines>59</Lines>
  <Paragraphs>16</Paragraphs>
  <TotalTime>42</TotalTime>
  <ScaleCrop>false</ScaleCrop>
  <LinksUpToDate>false</LinksUpToDate>
  <CharactersWithSpaces>6791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2023-08-11T05:38:00Z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829A58F805C8453DA9DFB81A32DFB30F_13</vt:lpwstr>
  </property>
</Properties>
</file>