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新疆喀什地区叶城县棋盘乡中学2021年度部门决算公开说明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w:t>
      </w:r>
      <w:r>
        <w:rPr>
          <w:rFonts w:ascii="仿宋_GB2312" w:eastAsia="仿宋_GB2312"/>
          <w:sz w:val="32"/>
          <w:szCs w:val="32"/>
        </w:rPr>
        <w:br w:type="textWrapping"/>
      </w:r>
      <w:r>
        <w:rPr>
          <w:rFonts w:ascii="仿宋_GB2312" w:eastAsia="仿宋_GB2312"/>
          <w:sz w:val="32"/>
          <w:szCs w:val="32"/>
        </w:rPr>
        <w:t>　　4、在政府的领导下，全面开展普及九年义务教育，组织教师动员适龄儿童，少年就近入学。组织开展教育教学科研和教育教学改革，以科学的发展和以人为本的管理理念注重学生的全面发展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新疆喀什地区叶城县棋盘乡中学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218</w:t>
      </w:r>
      <w:r>
        <w:rPr>
          <w:rFonts w:hint="eastAsia" w:ascii="仿宋_GB2312" w:eastAsia="仿宋_GB2312"/>
          <w:sz w:val="32"/>
          <w:szCs w:val="32"/>
        </w:rPr>
        <w:t>人，其中：在职人员</w:t>
      </w:r>
      <w:r>
        <w:rPr>
          <w:rFonts w:ascii="仿宋_GB2312" w:eastAsia="仿宋_GB2312"/>
          <w:sz w:val="32"/>
          <w:szCs w:val="32"/>
        </w:rPr>
        <w:t>200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18</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从部门决算单位构成看，新疆喀什地区叶城县棋盘乡中学部门决算包括：新疆喀什地区叶城县棋盘乡中学决算。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个处室，分别是：校长书记办公室、党建办、教务办、德育办、维稳办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3,734.56</w:t>
      </w:r>
      <w:r>
        <w:rPr>
          <w:rFonts w:hint="eastAsia" w:ascii="仿宋_GB2312" w:eastAsia="仿宋_GB2312"/>
          <w:sz w:val="32"/>
          <w:szCs w:val="32"/>
        </w:rPr>
        <w:t>万元，与上年相比，增加712.25万元，</w:t>
      </w:r>
      <w:r>
        <w:rPr>
          <w:rFonts w:ascii="仿宋_GB2312" w:eastAsia="仿宋_GB2312"/>
          <w:sz w:val="32"/>
          <w:szCs w:val="32"/>
        </w:rPr>
        <w:t>增长23.57</w:t>
      </w:r>
      <w:r>
        <w:rPr>
          <w:rFonts w:hint="eastAsia" w:ascii="仿宋_GB2312" w:eastAsia="仿宋_GB2312"/>
          <w:sz w:val="32"/>
          <w:szCs w:val="32"/>
        </w:rPr>
        <w:t>%，主要原因是：2021年新增入编教师，2021年在职人员职务职别晋升，基本工资调整，人员工资增加，学生数增加，增加特岗教师项目经费，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3,734.56</w:t>
      </w:r>
      <w:r>
        <w:rPr>
          <w:rFonts w:hint="eastAsia" w:ascii="仿宋_GB2312" w:eastAsia="仿宋_GB2312"/>
          <w:sz w:val="32"/>
          <w:szCs w:val="32"/>
        </w:rPr>
        <w:t>万元，与上年相比，</w:t>
      </w:r>
      <w:r>
        <w:rPr>
          <w:rFonts w:ascii="仿宋_GB2312" w:eastAsia="仿宋_GB2312"/>
          <w:sz w:val="32"/>
          <w:szCs w:val="32"/>
        </w:rPr>
        <w:t>增加711.17</w:t>
      </w:r>
      <w:r>
        <w:rPr>
          <w:rFonts w:hint="eastAsia" w:ascii="仿宋_GB2312" w:eastAsia="仿宋_GB2312"/>
          <w:sz w:val="32"/>
          <w:szCs w:val="32"/>
        </w:rPr>
        <w:t>万元，</w:t>
      </w:r>
      <w:r>
        <w:rPr>
          <w:rFonts w:ascii="仿宋_GB2312" w:eastAsia="仿宋_GB2312"/>
          <w:sz w:val="32"/>
          <w:szCs w:val="32"/>
        </w:rPr>
        <w:t>增长23.52</w:t>
      </w:r>
      <w:r>
        <w:rPr>
          <w:rFonts w:hint="eastAsia" w:ascii="仿宋_GB2312" w:eastAsia="仿宋_GB2312"/>
          <w:sz w:val="32"/>
          <w:szCs w:val="32"/>
        </w:rPr>
        <w:t>%，主要原因是：2021年新增入编教师，2021年在职人员职务职别晋升，基本工资调整，人员工资增加，学生数增加，增加特岗教师项目经费，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3,734.56</w:t>
      </w:r>
      <w:r>
        <w:rPr>
          <w:rFonts w:hint="eastAsia" w:ascii="仿宋_GB2312" w:eastAsia="仿宋_GB2312"/>
          <w:sz w:val="32"/>
          <w:szCs w:val="32"/>
        </w:rPr>
        <w:t>万元，其中：财政拨款收入</w:t>
      </w:r>
      <w:r>
        <w:rPr>
          <w:rFonts w:ascii="仿宋_GB2312" w:eastAsia="仿宋_GB2312"/>
          <w:sz w:val="32"/>
          <w:szCs w:val="32"/>
        </w:rPr>
        <w:t>3,734.56</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年度本年支出3,734.56万元，其中：基本支出</w:t>
      </w:r>
      <w:r>
        <w:rPr>
          <w:rFonts w:ascii="仿宋_GB2312" w:eastAsia="仿宋_GB2312"/>
          <w:sz w:val="32"/>
          <w:szCs w:val="32"/>
        </w:rPr>
        <w:t>2,759.16</w:t>
      </w:r>
      <w:r>
        <w:rPr>
          <w:rFonts w:hint="eastAsia" w:ascii="仿宋_GB2312" w:eastAsia="仿宋_GB2312"/>
          <w:sz w:val="32"/>
          <w:szCs w:val="32"/>
        </w:rPr>
        <w:t>万元，占73.88%；项目支出</w:t>
      </w:r>
      <w:r>
        <w:rPr>
          <w:rFonts w:ascii="仿宋_GB2312" w:eastAsia="仿宋_GB2312"/>
          <w:sz w:val="32"/>
          <w:szCs w:val="32"/>
        </w:rPr>
        <w:t>975.40</w:t>
      </w:r>
      <w:r>
        <w:rPr>
          <w:rFonts w:hint="eastAsia" w:ascii="仿宋_GB2312" w:eastAsia="仿宋_GB2312"/>
          <w:sz w:val="32"/>
          <w:szCs w:val="32"/>
        </w:rPr>
        <w:t>万元，占26.12%；上缴上级支出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年度财政拨款收入3,734.56万元，与上年相比，增加712.25万元，增长23.57%，主要原因是：2021年新增入编教师，2</w:t>
      </w:r>
      <w:bookmarkStart w:id="54" w:name="_GoBack"/>
      <w:r>
        <w:rPr>
          <w:rFonts w:hint="eastAsia" w:ascii="仿宋_GB2312" w:eastAsia="仿宋_GB2312"/>
          <w:sz w:val="32"/>
          <w:szCs w:val="32"/>
        </w:rPr>
        <w:t>021年在职人员职务职别晋升，基本工</w:t>
      </w:r>
      <w:bookmarkEnd w:id="54"/>
      <w:r>
        <w:rPr>
          <w:rFonts w:hint="eastAsia" w:ascii="仿宋_GB2312" w:eastAsia="仿宋_GB2312"/>
          <w:sz w:val="32"/>
          <w:szCs w:val="32"/>
        </w:rPr>
        <w:t>资调整，人员工资增加，学生数增加，增加特岗教师项目经费，</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3,734.56万元，与上年相比，增加711.17万元，增长23.52%，主要原因是：2021年新增入编教师，2021年在职人员职务职别晋升，基本工资调整，人员工资增加，学生数增加，增加特岗教师项目经费，</w:t>
      </w:r>
      <w:r>
        <w:rPr>
          <w:rFonts w:hint="eastAsia" w:ascii="仿宋_GB2312" w:eastAsia="仿宋_GB2312"/>
          <w:sz w:val="32"/>
          <w:szCs w:val="32"/>
          <w:lang w:eastAsia="zh-CN"/>
        </w:rPr>
        <w:t>财政拨款支出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2,513.24</w:t>
      </w:r>
      <w:r>
        <w:rPr>
          <w:rFonts w:hint="eastAsia" w:ascii="仿宋_GB2312" w:eastAsia="仿宋_GB2312"/>
          <w:sz w:val="32"/>
          <w:szCs w:val="32"/>
        </w:rPr>
        <w:t>万元，决算数</w:t>
      </w:r>
      <w:r>
        <w:rPr>
          <w:rFonts w:ascii="仿宋_GB2312" w:eastAsia="仿宋_GB2312"/>
          <w:sz w:val="32"/>
          <w:szCs w:val="32"/>
        </w:rPr>
        <w:t>3,734.56</w:t>
      </w:r>
      <w:r>
        <w:rPr>
          <w:rFonts w:hint="eastAsia" w:ascii="仿宋_GB2312" w:eastAsia="仿宋_GB2312"/>
          <w:sz w:val="32"/>
          <w:szCs w:val="32"/>
        </w:rPr>
        <w:t>万元，预决算差异率</w:t>
      </w:r>
      <w:r>
        <w:rPr>
          <w:rFonts w:ascii="仿宋_GB2312" w:eastAsia="仿宋_GB2312"/>
          <w:sz w:val="32"/>
          <w:szCs w:val="32"/>
        </w:rPr>
        <w:t>48.60</w:t>
      </w:r>
      <w:r>
        <w:rPr>
          <w:rFonts w:hint="eastAsia" w:ascii="仿宋_GB2312" w:eastAsia="仿宋_GB2312"/>
          <w:sz w:val="32"/>
          <w:szCs w:val="32"/>
        </w:rPr>
        <w:t>%，主要原因是：2021年新增入编教师，2021 年在职人员职务职别晋升，基本工资调整，人员工资增加，学生数增加，增加特岗教师项目经费，年中追加以上经费预算，导致预决算存在差异。财政拨款支出年初预算数</w:t>
      </w:r>
      <w:r>
        <w:rPr>
          <w:rFonts w:ascii="仿宋_GB2312" w:eastAsia="仿宋_GB2312"/>
          <w:sz w:val="32"/>
          <w:szCs w:val="32"/>
        </w:rPr>
        <w:t>2,513.24</w:t>
      </w:r>
      <w:r>
        <w:rPr>
          <w:rFonts w:hint="eastAsia" w:ascii="仿宋_GB2312" w:eastAsia="仿宋_GB2312"/>
          <w:sz w:val="32"/>
          <w:szCs w:val="32"/>
        </w:rPr>
        <w:t>万元，决算数</w:t>
      </w:r>
      <w:r>
        <w:rPr>
          <w:rFonts w:ascii="仿宋_GB2312" w:eastAsia="仿宋_GB2312"/>
          <w:sz w:val="32"/>
          <w:szCs w:val="32"/>
        </w:rPr>
        <w:t>3,734.56</w:t>
      </w:r>
      <w:r>
        <w:rPr>
          <w:rFonts w:hint="eastAsia" w:ascii="仿宋_GB2312" w:eastAsia="仿宋_GB2312"/>
          <w:sz w:val="32"/>
          <w:szCs w:val="32"/>
        </w:rPr>
        <w:t>万元，预决算差异率48.60%，主要原因是：2021年新增入编教师，2021 年在职人员职务职别晋升，基本工资调整，人员工资增加，学生数增加，增加特岗教师项目经费，年中追加以上经费预算，导致预决算存在差异。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年度一般公共预算财政拨款支出3,734.56万元。按功能分类科目项级科目公开，其中：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2050203初中教育3,468.80万元；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2080505机关事业单位基本养老保险缴费支出265.76万元。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2,759.16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2,759.16</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2021年度新疆喀什地区叶城县棋盘乡中学（事业单位）公用经费0.00万元，比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元，增长0.00%，主要原因是：本年度未安排公用经费支出。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27,255.57</w:t>
      </w:r>
      <w:r>
        <w:rPr>
          <w:rFonts w:hint="eastAsia" w:ascii="仿宋_GB2312" w:eastAsia="仿宋_GB2312"/>
          <w:sz w:val="32"/>
          <w:szCs w:val="32"/>
        </w:rPr>
        <w:t>（平方米），价值</w:t>
      </w:r>
      <w:r>
        <w:rPr>
          <w:rFonts w:ascii="仿宋_GB2312" w:eastAsia="仿宋_GB2312"/>
          <w:sz w:val="32"/>
          <w:szCs w:val="32"/>
        </w:rPr>
        <w:t>4,620.33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C1B26BE"/>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260992"/>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4405</Words>
  <Characters>4920</Characters>
  <Lines>59</Lines>
  <Paragraphs>16</Paragraphs>
  <TotalTime>4</TotalTime>
  <ScaleCrop>false</ScaleCrop>
  <LinksUpToDate>false</LinksUpToDate>
  <CharactersWithSpaces>4940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2023-08-10T11:16:55Z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C96DB870234C42779C3CCF96DF722C14_13</vt:lpwstr>
  </property>
</Properties>
</file>