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宋体" w:eastAsia="方正小标宋_GBK"/>
          <w:sz w:val="44"/>
          <w:szCs w:val="44"/>
        </w:rPr>
      </w:pPr>
      <w:bookmarkStart w:id="0" w:name="_Hlk97806973"/>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新疆喀什地区叶城县科学技术局2021年度部门决算公开说明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1" w:name="_Toc32314"/>
      <w:bookmarkStart w:id="2" w:name="_Toc24028"/>
      <w:r>
        <w:rPr>
          <w:rFonts w:hint="eastAsia" w:ascii="黑体" w:hAnsi="黑体" w:eastAsia="黑体"/>
          <w:sz w:val="32"/>
          <w:szCs w:val="32"/>
        </w:rPr>
        <w:t>第一部分 部门单位概况</w:t>
      </w:r>
      <w:bookmarkEnd w:id="1"/>
      <w:bookmarkEnd w:id="2"/>
    </w:p>
    <w:p>
      <w:pPr>
        <w:ind w:firstLine="640" w:firstLineChars="200"/>
        <w:outlineLvl w:val="1"/>
        <w:rPr>
          <w:rFonts w:ascii="黑体" w:hAnsi="黑体" w:eastAsia="黑体" w:cs="宋体"/>
          <w:bCs/>
          <w:kern w:val="0"/>
          <w:sz w:val="32"/>
          <w:szCs w:val="32"/>
        </w:rPr>
      </w:pPr>
      <w:bookmarkStart w:id="3" w:name="_Toc30567"/>
      <w:bookmarkStart w:id="4" w:name="_Toc30738"/>
      <w:r>
        <w:rPr>
          <w:rFonts w:hint="eastAsia" w:ascii="黑体" w:hAnsi="黑体" w:eastAsia="黑体" w:cs="宋体"/>
          <w:bCs/>
          <w:kern w:val="0"/>
          <w:sz w:val="32"/>
          <w:szCs w:val="32"/>
        </w:rPr>
        <w:t>一、主要职能</w:t>
      </w:r>
      <w:bookmarkEnd w:id="3"/>
      <w:bookmarkEnd w:id="4"/>
    </w:p>
    <w:p>
      <w:pPr>
        <w:rPr>
          <w:rFonts w:ascii="仿宋_GB2312" w:eastAsia="仿宋_GB2312"/>
          <w:sz w:val="32"/>
          <w:szCs w:val="32"/>
        </w:rPr>
      </w:pPr>
      <w:r>
        <w:rPr>
          <w:rFonts w:ascii="仿宋_GB2312" w:eastAsia="仿宋_GB2312"/>
          <w:sz w:val="32"/>
          <w:szCs w:val="32"/>
        </w:rPr>
        <w:t>　　（一）研究制定科技发展和科技促进经济与社会发展的政策措施；</w:t>
      </w:r>
      <w:r>
        <w:rPr>
          <w:rFonts w:ascii="仿宋_GB2312" w:eastAsia="仿宋_GB2312"/>
          <w:sz w:val="32"/>
          <w:szCs w:val="32"/>
        </w:rPr>
        <w:br w:type="textWrapping"/>
      </w:r>
      <w:r>
        <w:rPr>
          <w:rFonts w:ascii="仿宋_GB2312" w:eastAsia="仿宋_GB2312"/>
          <w:sz w:val="32"/>
          <w:szCs w:val="32"/>
        </w:rPr>
        <w:t>　　（二）研究制定科技发展战略、中长期规划和年度计划；</w:t>
      </w:r>
      <w:r>
        <w:rPr>
          <w:rFonts w:ascii="仿宋_GB2312" w:eastAsia="仿宋_GB2312"/>
          <w:sz w:val="32"/>
          <w:szCs w:val="32"/>
        </w:rPr>
        <w:br w:type="textWrapping"/>
      </w:r>
      <w:r>
        <w:rPr>
          <w:rFonts w:ascii="仿宋_GB2312" w:eastAsia="仿宋_GB2312"/>
          <w:sz w:val="32"/>
          <w:szCs w:val="32"/>
        </w:rPr>
        <w:t>　　（三）指导高新技术产业开发区和科技示范园区工作；</w:t>
      </w:r>
      <w:r>
        <w:rPr>
          <w:rFonts w:ascii="仿宋_GB2312" w:eastAsia="仿宋_GB2312"/>
          <w:sz w:val="32"/>
          <w:szCs w:val="32"/>
        </w:rPr>
        <w:br w:type="textWrapping"/>
      </w:r>
      <w:r>
        <w:rPr>
          <w:rFonts w:ascii="仿宋_GB2312" w:eastAsia="仿宋_GB2312"/>
          <w:sz w:val="32"/>
          <w:szCs w:val="32"/>
        </w:rPr>
        <w:t>　　（四）研究制定加强技术创新、加强科技成果产业化的政治措施；</w:t>
      </w:r>
      <w:r>
        <w:rPr>
          <w:rFonts w:ascii="仿宋_GB2312" w:eastAsia="仿宋_GB2312"/>
          <w:sz w:val="32"/>
          <w:szCs w:val="32"/>
        </w:rPr>
        <w:br w:type="textWrapping"/>
      </w:r>
      <w:r>
        <w:rPr>
          <w:rFonts w:ascii="仿宋_GB2312" w:eastAsia="仿宋_GB2312"/>
          <w:sz w:val="32"/>
          <w:szCs w:val="32"/>
        </w:rPr>
        <w:t>　　（五）指导、组织全县科普，科技素质培训，科技之冬培训。</w:t>
      </w:r>
      <w:r>
        <w:rPr>
          <w:rFonts w:ascii="仿宋_GB2312" w:eastAsia="仿宋_GB2312"/>
          <w:sz w:val="32"/>
          <w:szCs w:val="32"/>
        </w:rPr>
        <w:br w:type="textWrapping"/>
      </w:r>
      <w:r>
        <w:rPr>
          <w:rFonts w:ascii="仿宋_GB2312" w:eastAsia="仿宋_GB2312"/>
          <w:sz w:val="32"/>
          <w:szCs w:val="32"/>
        </w:rPr>
        <w:t>　　（六）统筹规划全县科技发展，组织实施全民素质培训计划，推动建立和完善全民科技培训服务体系，壮大社会科技队伍；负责科技计划设施项目的申报、监督和管理工作。负责统一规划全县科技项目布局，指导协调科普竞赛；承办和参加自治区、地区科普竞赛，指导科技技术员队伍建设，协调科技特派员保障工作；负责全县科协团体的资格审查和业务指导。负责组织协调各级各类科普工作。统筹规划全县青少年科技素质发展，指导和推进青少年科普工作；规范科技技术服务管理，推动科技事业标准化建设，发展科技技术产业。</w:t>
      </w:r>
      <w:r>
        <w:rPr>
          <w:rFonts w:ascii="仿宋_GB2312" w:eastAsia="仿宋_GB2312"/>
          <w:sz w:val="32"/>
          <w:szCs w:val="32"/>
        </w:rPr>
        <w:br w:type="textWrapping"/>
      </w:r>
      <w:r>
        <w:rPr>
          <w:rFonts w:ascii="仿宋_GB2312" w:eastAsia="仿宋_GB2312"/>
          <w:sz w:val="32"/>
          <w:szCs w:val="32"/>
        </w:rPr>
        <w:t>　　（七）完成县委、</w:t>
      </w:r>
      <w:r>
        <w:rPr>
          <w:rFonts w:hint="eastAsia" w:ascii="仿宋_GB2312" w:eastAsia="仿宋_GB2312"/>
          <w:sz w:val="32"/>
          <w:szCs w:val="32"/>
          <w:lang w:eastAsia="zh-CN"/>
        </w:rPr>
        <w:t>县</w:t>
      </w:r>
      <w:r>
        <w:rPr>
          <w:rFonts w:ascii="仿宋_GB2312" w:eastAsia="仿宋_GB2312"/>
          <w:sz w:val="32"/>
          <w:szCs w:val="32"/>
        </w:rPr>
        <w:t>政府交办的其他任务</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bookmarkStart w:id="5" w:name="_Toc31238"/>
      <w:bookmarkStart w:id="6" w:name="_Toc2151"/>
      <w:r>
        <w:rPr>
          <w:rFonts w:hint="eastAsia" w:ascii="黑体" w:hAnsi="黑体" w:eastAsia="黑体" w:cs="宋体"/>
          <w:bCs/>
          <w:kern w:val="0"/>
          <w:sz w:val="32"/>
          <w:szCs w:val="32"/>
        </w:rPr>
        <w:t>二、机构设置及</w:t>
      </w:r>
      <w:bookmarkEnd w:id="5"/>
      <w:r>
        <w:rPr>
          <w:rFonts w:hint="eastAsia" w:ascii="黑体" w:hAnsi="黑体" w:eastAsia="黑体" w:cs="宋体"/>
          <w:bCs/>
          <w:kern w:val="0"/>
          <w:sz w:val="32"/>
          <w:szCs w:val="32"/>
        </w:rPr>
        <w:t>人员情况</w:t>
      </w:r>
      <w:bookmarkEnd w:id="6"/>
    </w:p>
    <w:p>
      <w:pPr>
        <w:ind w:firstLine="640" w:firstLineChars="200"/>
        <w:rPr>
          <w:rFonts w:ascii="仿宋_GB2312" w:eastAsia="仿宋_GB2312"/>
          <w:sz w:val="32"/>
          <w:szCs w:val="32"/>
        </w:rPr>
      </w:pPr>
      <w:r>
        <w:rPr>
          <w:rFonts w:hint="eastAsia" w:ascii="仿宋_GB2312" w:eastAsia="仿宋_GB2312"/>
          <w:sz w:val="32"/>
          <w:szCs w:val="32"/>
        </w:rPr>
        <w:t>新疆喀什地区叶城县科学技术局</w:t>
      </w:r>
      <w:r>
        <w:rPr>
          <w:rFonts w:ascii="仿宋_GB2312" w:eastAsia="仿宋_GB2312"/>
          <w:sz w:val="32"/>
          <w:szCs w:val="32"/>
        </w:rPr>
        <w:t>2021</w:t>
      </w:r>
      <w:r>
        <w:rPr>
          <w:rFonts w:hint="eastAsia" w:ascii="仿宋_GB2312" w:eastAsia="仿宋_GB2312"/>
          <w:sz w:val="32"/>
          <w:szCs w:val="32"/>
        </w:rPr>
        <w:t>年度，实有人数</w:t>
      </w:r>
      <w:r>
        <w:rPr>
          <w:rFonts w:ascii="仿宋_GB2312" w:eastAsia="仿宋_GB2312"/>
          <w:sz w:val="32"/>
          <w:szCs w:val="32"/>
        </w:rPr>
        <w:t>21</w:t>
      </w:r>
      <w:r>
        <w:rPr>
          <w:rFonts w:hint="eastAsia" w:ascii="仿宋_GB2312" w:eastAsia="仿宋_GB2312"/>
          <w:sz w:val="32"/>
          <w:szCs w:val="32"/>
        </w:rPr>
        <w:t>人，其中：在职人员</w:t>
      </w:r>
      <w:r>
        <w:rPr>
          <w:rFonts w:ascii="仿宋_GB2312" w:eastAsia="仿宋_GB2312"/>
          <w:sz w:val="32"/>
          <w:szCs w:val="32"/>
        </w:rPr>
        <w:t>15</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6</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从部门决算单位构成看，新疆喀什地区叶城县科学技术局部门决算包括：新疆喀什地区叶城县科学技术局决算。</w:t>
      </w: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3</w:t>
      </w:r>
      <w:r>
        <w:rPr>
          <w:rFonts w:hint="eastAsia" w:ascii="仿宋_GB2312" w:hAnsi="黑体" w:eastAsia="仿宋_GB2312" w:cs="宋体"/>
          <w:bCs/>
          <w:kern w:val="0"/>
          <w:sz w:val="32"/>
          <w:szCs w:val="32"/>
        </w:rPr>
        <w:t>个处室，分别是：业务办公室、行政办公室、财务办公室</w:t>
      </w:r>
      <w:r>
        <w:rPr>
          <w:rFonts w:hint="eastAsia" w:ascii="仿宋_GB2312" w:hAnsi="宋体" w:eastAsia="仿宋_GB2312" w:cs="宋体"/>
          <w:kern w:val="0"/>
          <w:sz w:val="32"/>
          <w:szCs w:val="32"/>
        </w:rPr>
        <w:t>。</w:t>
      </w:r>
    </w:p>
    <w:p>
      <w:pPr>
        <w:rPr>
          <w:rFonts w:ascii="Arial" w:hAnsi="Arial" w:cs="Arial"/>
          <w:color w:val="4D4D4D"/>
          <w:shd w:val="clear" w:color="auto" w:fill="FFFFFF"/>
        </w:rPr>
      </w:pPr>
      <w:r>
        <w:rPr>
          <w:rFonts w:ascii="Arial" w:hAnsi="Arial" w:cs="Arial"/>
          <w:color w:val="4D4D4D"/>
          <w:shd w:val="clear" w:color="auto" w:fill="FFFFFF"/>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 部门决算情况说明</w:t>
      </w:r>
    </w:p>
    <w:p>
      <w:pPr>
        <w:ind w:firstLine="640" w:firstLineChars="200"/>
        <w:outlineLvl w:val="1"/>
        <w:rPr>
          <w:rFonts w:ascii="黑体" w:hAnsi="黑体" w:eastAsia="黑体" w:cs="宋体"/>
          <w:bCs/>
          <w:kern w:val="0"/>
          <w:sz w:val="32"/>
          <w:szCs w:val="32"/>
        </w:rPr>
      </w:pPr>
      <w:bookmarkStart w:id="7" w:name="_Toc25314"/>
      <w:bookmarkStart w:id="8" w:name="_Toc12566"/>
      <w:bookmarkStart w:id="9" w:name="_Hlk97807141"/>
      <w:r>
        <w:rPr>
          <w:rFonts w:hint="eastAsia" w:ascii="黑体" w:hAnsi="黑体" w:eastAsia="黑体" w:cs="宋体"/>
          <w:bCs/>
          <w:kern w:val="0"/>
          <w:sz w:val="32"/>
          <w:szCs w:val="32"/>
        </w:rPr>
        <w:t>一、收入支出决算总体情况说明</w:t>
      </w:r>
      <w:bookmarkEnd w:id="7"/>
      <w:bookmarkEnd w:id="8"/>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296.66</w:t>
      </w:r>
      <w:r>
        <w:rPr>
          <w:rFonts w:hint="eastAsia" w:ascii="仿宋_GB2312" w:eastAsia="仿宋_GB2312"/>
          <w:sz w:val="32"/>
          <w:szCs w:val="32"/>
        </w:rPr>
        <w:t>万元，与上年相比，减少22.40万元，</w:t>
      </w:r>
      <w:r>
        <w:rPr>
          <w:rFonts w:ascii="仿宋_GB2312" w:eastAsia="仿宋_GB2312"/>
          <w:sz w:val="32"/>
          <w:szCs w:val="32"/>
        </w:rPr>
        <w:t>降低7.02</w:t>
      </w:r>
      <w:r>
        <w:rPr>
          <w:rFonts w:hint="eastAsia" w:ascii="仿宋_GB2312" w:eastAsia="仿宋_GB2312"/>
          <w:sz w:val="32"/>
          <w:szCs w:val="32"/>
        </w:rPr>
        <w:t>%，主要原因是：减少上级项目科技馆免费开放补助资金。本年支出</w:t>
      </w:r>
      <w:r>
        <w:rPr>
          <w:rFonts w:ascii="仿宋_GB2312" w:eastAsia="仿宋_GB2312"/>
          <w:sz w:val="32"/>
          <w:szCs w:val="32"/>
        </w:rPr>
        <w:t>296.66</w:t>
      </w:r>
      <w:r>
        <w:rPr>
          <w:rFonts w:hint="eastAsia" w:ascii="仿宋_GB2312" w:eastAsia="仿宋_GB2312"/>
          <w:sz w:val="32"/>
          <w:szCs w:val="32"/>
        </w:rPr>
        <w:t>万元，与上年相比，</w:t>
      </w:r>
      <w:r>
        <w:rPr>
          <w:rFonts w:ascii="仿宋_GB2312" w:eastAsia="仿宋_GB2312"/>
          <w:sz w:val="32"/>
          <w:szCs w:val="32"/>
        </w:rPr>
        <w:t>减少22.40</w:t>
      </w:r>
      <w:r>
        <w:rPr>
          <w:rFonts w:hint="eastAsia" w:ascii="仿宋_GB2312" w:eastAsia="仿宋_GB2312"/>
          <w:sz w:val="32"/>
          <w:szCs w:val="32"/>
        </w:rPr>
        <w:t>万元，</w:t>
      </w:r>
      <w:r>
        <w:rPr>
          <w:rFonts w:ascii="仿宋_GB2312" w:eastAsia="仿宋_GB2312"/>
          <w:sz w:val="32"/>
          <w:szCs w:val="32"/>
        </w:rPr>
        <w:t>降低7.02</w:t>
      </w:r>
      <w:r>
        <w:rPr>
          <w:rFonts w:hint="eastAsia" w:ascii="仿宋_GB2312" w:eastAsia="仿宋_GB2312"/>
          <w:sz w:val="32"/>
          <w:szCs w:val="32"/>
        </w:rPr>
        <w:t>%，主要原因是：减少上级项目科技馆免费开放补助资金。</w:t>
      </w:r>
    </w:p>
    <w:p>
      <w:pPr>
        <w:ind w:firstLine="640" w:firstLineChars="200"/>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296.66</w:t>
      </w:r>
      <w:r>
        <w:rPr>
          <w:rFonts w:hint="eastAsia" w:ascii="仿宋_GB2312" w:eastAsia="仿宋_GB2312"/>
          <w:sz w:val="32"/>
          <w:szCs w:val="32"/>
        </w:rPr>
        <w:t>万元，其中：财政拨款收入</w:t>
      </w:r>
      <w:r>
        <w:rPr>
          <w:rFonts w:ascii="仿宋_GB2312" w:eastAsia="仿宋_GB2312"/>
          <w:sz w:val="32"/>
          <w:szCs w:val="32"/>
        </w:rPr>
        <w:t>296.66</w:t>
      </w:r>
      <w:r>
        <w:rPr>
          <w:rFonts w:hint="eastAsia" w:ascii="仿宋_GB2312" w:eastAsia="仿宋_GB2312"/>
          <w:sz w:val="32"/>
          <w:szCs w:val="32"/>
        </w:rPr>
        <w:t>万元，占100.00%；上级补助收入</w:t>
      </w:r>
      <w:r>
        <w:rPr>
          <w:rFonts w:ascii="仿宋_GB2312" w:eastAsia="仿宋_GB2312"/>
          <w:sz w:val="32"/>
          <w:szCs w:val="32"/>
        </w:rPr>
        <w:t>0.00</w:t>
      </w:r>
      <w:r>
        <w:rPr>
          <w:rFonts w:hint="eastAsia" w:ascii="仿宋_GB2312" w:eastAsia="仿宋_GB2312"/>
          <w:sz w:val="32"/>
          <w:szCs w:val="32"/>
        </w:rPr>
        <w:t>万元，占0.00%；事业收入</w:t>
      </w:r>
      <w:r>
        <w:rPr>
          <w:rFonts w:ascii="仿宋_GB2312" w:eastAsia="仿宋_GB2312"/>
          <w:sz w:val="32"/>
          <w:szCs w:val="32"/>
        </w:rPr>
        <w:t>0.00</w:t>
      </w:r>
      <w:r>
        <w:rPr>
          <w:rFonts w:hint="eastAsia" w:ascii="仿宋_GB2312" w:eastAsia="仿宋_GB2312"/>
          <w:sz w:val="32"/>
          <w:szCs w:val="32"/>
        </w:rPr>
        <w:t>万元，占0.00%；经营收入</w:t>
      </w:r>
      <w:r>
        <w:rPr>
          <w:rFonts w:ascii="仿宋_GB2312" w:eastAsia="仿宋_GB2312"/>
          <w:sz w:val="32"/>
          <w:szCs w:val="32"/>
        </w:rPr>
        <w:t>0.00</w:t>
      </w:r>
      <w:r>
        <w:rPr>
          <w:rFonts w:hint="eastAsia" w:ascii="仿宋_GB2312" w:eastAsia="仿宋_GB2312"/>
          <w:sz w:val="32"/>
          <w:szCs w:val="32"/>
        </w:rPr>
        <w:t>万元，占0.00%；附属单位上缴收入</w:t>
      </w:r>
      <w:r>
        <w:rPr>
          <w:rFonts w:ascii="仿宋_GB2312" w:eastAsia="仿宋_GB2312"/>
          <w:sz w:val="32"/>
          <w:szCs w:val="32"/>
        </w:rPr>
        <w:t>0.00</w:t>
      </w:r>
      <w:r>
        <w:rPr>
          <w:rFonts w:hint="eastAsia" w:ascii="仿宋_GB2312" w:eastAsia="仿宋_GB2312"/>
          <w:sz w:val="32"/>
          <w:szCs w:val="32"/>
        </w:rPr>
        <w:t>万元，占0.00%；其他收入</w:t>
      </w:r>
      <w:r>
        <w:rPr>
          <w:rFonts w:ascii="仿宋_GB2312" w:eastAsia="仿宋_GB2312"/>
          <w:sz w:val="32"/>
          <w:szCs w:val="32"/>
        </w:rPr>
        <w:t>0.00</w:t>
      </w:r>
      <w:r>
        <w:rPr>
          <w:rFonts w:hint="eastAsia" w:ascii="仿宋_GB2312" w:eastAsia="仿宋_GB2312"/>
          <w:sz w:val="32"/>
          <w:szCs w:val="32"/>
        </w:rPr>
        <w:t>万元，占0.00%。</w:t>
      </w:r>
    </w:p>
    <w:p>
      <w:pPr>
        <w:ind w:firstLine="640" w:firstLineChars="200"/>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年度本年支出296.66万元，其中：基本支出</w:t>
      </w:r>
      <w:r>
        <w:rPr>
          <w:rFonts w:ascii="仿宋_GB2312" w:eastAsia="仿宋_GB2312"/>
          <w:sz w:val="32"/>
          <w:szCs w:val="32"/>
        </w:rPr>
        <w:t>220.28</w:t>
      </w:r>
      <w:r>
        <w:rPr>
          <w:rFonts w:hint="eastAsia" w:ascii="仿宋_GB2312" w:eastAsia="仿宋_GB2312"/>
          <w:sz w:val="32"/>
          <w:szCs w:val="32"/>
        </w:rPr>
        <w:t>万元，占74.25%；项目支出</w:t>
      </w:r>
      <w:r>
        <w:rPr>
          <w:rFonts w:ascii="仿宋_GB2312" w:eastAsia="仿宋_GB2312"/>
          <w:sz w:val="32"/>
          <w:szCs w:val="32"/>
        </w:rPr>
        <w:t>76.37</w:t>
      </w:r>
      <w:r>
        <w:rPr>
          <w:rFonts w:hint="eastAsia" w:ascii="仿宋_GB2312" w:eastAsia="仿宋_GB2312"/>
          <w:sz w:val="32"/>
          <w:szCs w:val="32"/>
        </w:rPr>
        <w:t>万元，占25.75%；上缴上级支出</w:t>
      </w:r>
      <w:r>
        <w:rPr>
          <w:rFonts w:ascii="仿宋_GB2312" w:eastAsia="仿宋_GB2312"/>
          <w:sz w:val="32"/>
          <w:szCs w:val="32"/>
        </w:rPr>
        <w:t>0.00</w:t>
      </w:r>
      <w:r>
        <w:rPr>
          <w:rFonts w:hint="eastAsia" w:ascii="仿宋_GB2312" w:eastAsia="仿宋_GB2312"/>
          <w:sz w:val="32"/>
          <w:szCs w:val="32"/>
        </w:rPr>
        <w:t>万元，占0.00%；经营支出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%；对附属单位补助支出0.00万元，占0.00%。</w:t>
      </w:r>
    </w:p>
    <w:bookmarkEnd w:id="9"/>
    <w:p>
      <w:pPr>
        <w:ind w:firstLine="640" w:firstLineChars="200"/>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财政拨款收入296.66万元，与上年相比，减少22.40万元，降低7.02%，主要原因是：减少上级项目科技馆免费开放补助资金。财政拨款支出296.66万元，与上年相比，减少22.40万元，降低7.02%，主要原因是：减少上级项目科技馆免费开放补助资金。</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256.78</w:t>
      </w:r>
      <w:r>
        <w:rPr>
          <w:rFonts w:hint="eastAsia" w:ascii="仿宋_GB2312" w:eastAsia="仿宋_GB2312"/>
          <w:sz w:val="32"/>
          <w:szCs w:val="32"/>
        </w:rPr>
        <w:t>万元，决算数</w:t>
      </w:r>
      <w:r>
        <w:rPr>
          <w:rFonts w:ascii="仿宋_GB2312" w:eastAsia="仿宋_GB2312"/>
          <w:sz w:val="32"/>
          <w:szCs w:val="32"/>
        </w:rPr>
        <w:t>296.66</w:t>
      </w:r>
      <w:r>
        <w:rPr>
          <w:rFonts w:hint="eastAsia" w:ascii="仿宋_GB2312" w:eastAsia="仿宋_GB2312"/>
          <w:sz w:val="32"/>
          <w:szCs w:val="32"/>
        </w:rPr>
        <w:t>万元，预决算差异率</w:t>
      </w:r>
      <w:r>
        <w:rPr>
          <w:rFonts w:ascii="仿宋_GB2312" w:eastAsia="仿宋_GB2312"/>
          <w:sz w:val="32"/>
          <w:szCs w:val="32"/>
        </w:rPr>
        <w:t>15.53</w:t>
      </w:r>
      <w:r>
        <w:rPr>
          <w:rFonts w:hint="eastAsia" w:ascii="仿宋_GB2312" w:eastAsia="仿宋_GB2312"/>
          <w:sz w:val="32"/>
          <w:szCs w:val="32"/>
        </w:rPr>
        <w:t>%，主要原因是：年初只做人员经费预算，未做项目预算，年中追加项目经费，导致预决算存在差异。财政拨款支出年初预算数</w:t>
      </w:r>
      <w:r>
        <w:rPr>
          <w:rFonts w:ascii="仿宋_GB2312" w:eastAsia="仿宋_GB2312"/>
          <w:sz w:val="32"/>
          <w:szCs w:val="32"/>
        </w:rPr>
        <w:t>256.78</w:t>
      </w:r>
      <w:r>
        <w:rPr>
          <w:rFonts w:hint="eastAsia" w:ascii="仿宋_GB2312" w:eastAsia="仿宋_GB2312"/>
          <w:sz w:val="32"/>
          <w:szCs w:val="32"/>
        </w:rPr>
        <w:t>万元，决算数</w:t>
      </w:r>
      <w:r>
        <w:rPr>
          <w:rFonts w:ascii="仿宋_GB2312" w:eastAsia="仿宋_GB2312"/>
          <w:sz w:val="32"/>
          <w:szCs w:val="32"/>
        </w:rPr>
        <w:t>296.66</w:t>
      </w:r>
      <w:r>
        <w:rPr>
          <w:rFonts w:hint="eastAsia" w:ascii="仿宋_GB2312" w:eastAsia="仿宋_GB2312"/>
          <w:sz w:val="32"/>
          <w:szCs w:val="32"/>
        </w:rPr>
        <w:t>万元，预决算差异率15.53%，主要原因是：年初只做人员经费预算，未做项目预算，年中追加项目经费，导致预决算存在差异。</w:t>
      </w:r>
    </w:p>
    <w:p>
      <w:pPr>
        <w:ind w:firstLine="640" w:firstLineChars="200"/>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年度一般公共预算财政拨款支出296.66万元。按功能分类科目项级科目公开，其中：</w:t>
      </w:r>
    </w:p>
    <w:p>
      <w:pPr>
        <w:jc w:val="left"/>
        <w:rPr>
          <w:rFonts w:ascii="仿宋_GB2312" w:eastAsia="仿宋_GB2312"/>
          <w:sz w:val="32"/>
          <w:szCs w:val="32"/>
        </w:rPr>
      </w:pPr>
      <w:bookmarkStart w:id="18" w:name="_Toc30870"/>
      <w:bookmarkStart w:id="19" w:name="_Toc11146"/>
      <w:r>
        <w:rPr>
          <w:rFonts w:ascii="仿宋_GB2312" w:eastAsia="仿宋_GB2312"/>
          <w:sz w:val="32"/>
          <w:szCs w:val="32"/>
        </w:rPr>
        <w:tab/>
      </w:r>
      <w:r>
        <w:rPr>
          <w:rFonts w:ascii="仿宋_GB2312" w:eastAsia="仿宋_GB2312"/>
          <w:sz w:val="32"/>
          <w:szCs w:val="32"/>
        </w:rPr>
        <w:t xml:space="preserve"> 2013299其他组织事务支出0.36万元；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2060101行政运行199.62万元；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2060404科技成果转化与扩散11.78万元；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2060599其他科技条件与服务支出6.66万元；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2060702科普活动3.00万元；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2060705科技馆站54.57万元；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2080505机关事业单位基本养老保险缴费支出20.66万元。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w:t>
      </w:r>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年度一般公共预算财政拨款基本支出</w:t>
      </w:r>
      <w:r>
        <w:rPr>
          <w:rFonts w:ascii="仿宋_GB2312" w:eastAsia="仿宋_GB2312"/>
          <w:sz w:val="32"/>
          <w:szCs w:val="32"/>
        </w:rPr>
        <w:t>220.28</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217.96</w:t>
      </w:r>
      <w:r>
        <w:rPr>
          <w:rFonts w:hint="eastAsia" w:ascii="仿宋_GB2312" w:eastAsia="仿宋_GB2312"/>
          <w:sz w:val="32"/>
          <w:szCs w:val="32"/>
        </w:rPr>
        <w:t>万元，包括：基本工资、津贴补贴、奖金、机关事业单位基本养老保险缴费、职工基本医疗保险缴费、公务员医疗补助缴费、其他社会保障缴费、住房公积金、退休费</w:t>
      </w:r>
      <w:r>
        <w:rPr>
          <w:rFonts w:hint="eastAsia" w:ascii="仿宋_GB2312" w:hAnsi="宋体" w:eastAsia="仿宋_GB2312" w:cs="宋体"/>
          <w:kern w:val="0"/>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公用经费2.32万元，包括：办公费、邮电费、差旅费、公务用车运行维护费</w:t>
      </w:r>
      <w:r>
        <w:rPr>
          <w:rFonts w:hint="eastAsia" w:ascii="仿宋_GB2312" w:hAnsi="宋体" w:eastAsia="仿宋_GB2312" w:cs="宋体"/>
          <w:kern w:val="0"/>
          <w:sz w:val="32"/>
          <w:szCs w:val="32"/>
        </w:rPr>
        <w:t>。</w:t>
      </w:r>
    </w:p>
    <w:p>
      <w:pPr>
        <w:ind w:firstLine="640" w:firstLineChars="200"/>
        <w:outlineLvl w:val="1"/>
        <w:rPr>
          <w:rFonts w:ascii="黑体" w:hAnsi="黑体" w:eastAsia="黑体" w:cs="宋体"/>
          <w:bCs/>
          <w:kern w:val="0"/>
          <w:sz w:val="32"/>
          <w:szCs w:val="32"/>
        </w:rPr>
      </w:pPr>
      <w:bookmarkStart w:id="20" w:name="_Toc21518"/>
      <w:bookmarkStart w:id="21" w:name="_Toc7190"/>
      <w:r>
        <w:rPr>
          <w:rFonts w:hint="eastAsia" w:ascii="黑体" w:hAnsi="黑体" w:eastAsia="黑体" w:cs="宋体"/>
          <w:bCs/>
          <w:kern w:val="0"/>
          <w:sz w:val="32"/>
          <w:szCs w:val="32"/>
        </w:rPr>
        <w:t>七、一般公共预算财政拨款“三公”经费支出决算情况说明</w:t>
      </w:r>
      <w:bookmarkEnd w:id="20"/>
      <w:bookmarkEnd w:id="21"/>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2021年度一般公共预算“三公”经费支出决算0.55万元，比上年减少0.85万元，降低60.71%，主要原因是</w:t>
      </w:r>
      <w:r>
        <w:rPr>
          <w:rFonts w:hint="eastAsia" w:ascii="仿宋_GB2312" w:eastAsia="仿宋_GB2312"/>
          <w:sz w:val="32"/>
          <w:szCs w:val="32"/>
          <w:lang w:eastAsia="zh-CN"/>
        </w:rPr>
        <w:t>：</w:t>
      </w:r>
      <w:r>
        <w:rPr>
          <w:rFonts w:ascii="仿宋_GB2312" w:eastAsia="仿宋_GB2312"/>
          <w:sz w:val="32"/>
          <w:szCs w:val="32"/>
        </w:rPr>
        <w:t>严格按照中央八项规定，厉行节约，压减经费。其中</w:t>
      </w:r>
      <w:r>
        <w:rPr>
          <w:rFonts w:hint="eastAsia" w:ascii="仿宋_GB2312" w:eastAsia="仿宋_GB2312"/>
          <w:sz w:val="32"/>
          <w:szCs w:val="32"/>
          <w:lang w:eastAsia="zh-CN"/>
        </w:rPr>
        <w:t>：</w:t>
      </w:r>
      <w:r>
        <w:rPr>
          <w:rFonts w:ascii="仿宋_GB2312" w:eastAsia="仿宋_GB2312"/>
          <w:sz w:val="32"/>
          <w:szCs w:val="32"/>
        </w:rPr>
        <w:t>因公出国（境）费支出0.00万元，占0.00%，比上年增加0.00万元，增长0.00%，主要原因是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因公出国（境）费；公务用车购置及运行维护费支出0.55万元，占100.00%，比上年减少0.85万元，降低60.71%，主要原因是：严格按照中央八项规定，厉行节约，压减经费；公务接待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我单位无公务接待费。具体情况如下：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0.55</w:t>
      </w:r>
      <w:r>
        <w:rPr>
          <w:rFonts w:hint="eastAsia" w:ascii="仿宋_GB2312" w:eastAsia="仿宋_GB2312"/>
          <w:sz w:val="32"/>
          <w:szCs w:val="32"/>
        </w:rPr>
        <w:t>万元，其中</w:t>
      </w:r>
      <w:r>
        <w:rPr>
          <w:rFonts w:hint="eastAsia" w:ascii="仿宋_GB2312" w:eastAsia="仿宋_GB2312"/>
          <w:sz w:val="32"/>
          <w:szCs w:val="32"/>
          <w:lang w:eastAsia="zh-CN"/>
        </w:rPr>
        <w:t>：</w:t>
      </w:r>
      <w:r>
        <w:rPr>
          <w:rFonts w:hint="eastAsia" w:ascii="仿宋_GB2312" w:eastAsia="仿宋_GB2312"/>
          <w:sz w:val="32"/>
          <w:szCs w:val="32"/>
        </w:rPr>
        <w:t>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0.55</w:t>
      </w:r>
      <w:r>
        <w:rPr>
          <w:rFonts w:hint="eastAsia" w:ascii="仿宋_GB2312" w:eastAsia="仿宋_GB2312"/>
          <w:sz w:val="32"/>
          <w:szCs w:val="32"/>
        </w:rPr>
        <w:t>万元。公务用车运行维护费开支内容包括：车辆加油费、维修费、保险费。公务用车购置数</w:t>
      </w:r>
      <w:r>
        <w:rPr>
          <w:rFonts w:ascii="仿宋_GB2312" w:eastAsia="仿宋_GB2312"/>
          <w:sz w:val="32"/>
          <w:szCs w:val="32"/>
        </w:rPr>
        <w:t>0</w:t>
      </w:r>
      <w:r>
        <w:rPr>
          <w:rFonts w:hint="eastAsia" w:ascii="仿宋_GB2312" w:eastAsia="仿宋_GB2312"/>
          <w:sz w:val="32"/>
          <w:szCs w:val="32"/>
        </w:rPr>
        <w:t>辆，公务用车保有量1辆。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与年初预算数相比情况：一般公共预算“三公”经费支出年初预算数1.42万元，决算数</w:t>
      </w:r>
      <w:r>
        <w:rPr>
          <w:rFonts w:ascii="仿宋_GB2312" w:eastAsia="仿宋_GB2312"/>
          <w:sz w:val="32"/>
          <w:szCs w:val="32"/>
        </w:rPr>
        <w:t>0.55</w:t>
      </w:r>
      <w:r>
        <w:rPr>
          <w:rFonts w:hint="eastAsia" w:ascii="仿宋_GB2312" w:eastAsia="仿宋_GB2312"/>
          <w:sz w:val="32"/>
          <w:szCs w:val="32"/>
        </w:rPr>
        <w:t>万元，预决算差异率-61.27%，主要原因是：严格按照中央八项规定，厉行节约，压减经费。</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费预算数0.00万元，决算数0.00万元，预决算差异率0.00%，主要原因是：我单位无公务用车购置费；</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预算数1.42万元，决算数0.55万元，预决算差异率-61.27%，主要原因是：严格按照中央八项规定，厉行节约，压减经费；</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pPr>
        <w:ind w:firstLine="640" w:firstLineChars="200"/>
        <w:outlineLvl w:val="1"/>
        <w:rPr>
          <w:rFonts w:ascii="黑体" w:hAnsi="黑体" w:eastAsia="黑体" w:cs="宋体"/>
          <w:bCs/>
          <w:kern w:val="0"/>
          <w:sz w:val="32"/>
          <w:szCs w:val="32"/>
        </w:rPr>
      </w:pPr>
      <w:bookmarkStart w:id="22" w:name="_Toc5810"/>
      <w:bookmarkStart w:id="23" w:name="_Toc7927"/>
      <w:r>
        <w:rPr>
          <w:rFonts w:hint="eastAsia" w:ascii="黑体" w:hAnsi="黑体" w:eastAsia="黑体" w:cs="宋体"/>
          <w:bCs/>
          <w:kern w:val="0"/>
          <w:sz w:val="32"/>
          <w:szCs w:val="32"/>
        </w:rPr>
        <w:t>八、政府性基金预算财政拨款收入支出决算情况说明</w:t>
      </w:r>
      <w:bookmarkEnd w:id="22"/>
      <w:bookmarkEnd w:id="23"/>
    </w:p>
    <w:p>
      <w:pPr>
        <w:ind w:firstLine="640" w:firstLineChars="200"/>
        <w:rPr>
          <w:rFonts w:hint="eastAsia" w:ascii="仿宋_GB2312" w:hAnsi="宋体" w:eastAsia="仿宋_GB2312"/>
          <w:kern w:val="0"/>
          <w:sz w:val="32"/>
          <w:szCs w:val="32"/>
          <w:lang w:eastAsia="zh-CN"/>
        </w:rPr>
      </w:pPr>
      <w:r>
        <w:rPr>
          <w:rFonts w:hint="eastAsia" w:ascii="仿宋_GB2312" w:hAnsi="宋体" w:eastAsia="仿宋_GB2312"/>
          <w:kern w:val="0"/>
          <w:sz w:val="32"/>
          <w:szCs w:val="32"/>
        </w:rPr>
        <w:t>我单位本年度无政府性基金预算财政拨款收入支出，政府性基金预算财政拨款收入支出决算表为空表</w:t>
      </w:r>
      <w:r>
        <w:rPr>
          <w:rFonts w:hint="eastAsia" w:ascii="仿宋_GB2312" w:hAnsi="宋体" w:eastAsia="仿宋_GB2312"/>
          <w:kern w:val="0"/>
          <w:sz w:val="32"/>
          <w:szCs w:val="32"/>
          <w:lang w:eastAsia="zh-CN"/>
        </w:rPr>
        <w:t>。</w:t>
      </w:r>
    </w:p>
    <w:p>
      <w:pPr>
        <w:ind w:firstLine="640" w:firstLineChars="200"/>
        <w:rPr>
          <w:rFonts w:ascii="仿宋_GB2312" w:eastAsia="仿宋_GB2312"/>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Arial" w:hAnsi="Arial" w:cs="Arial"/>
          <w:color w:val="4D4D4D"/>
          <w:shd w:val="clear" w:color="auto" w:fill="FFFFFF"/>
        </w:rPr>
      </w:pPr>
      <w:r>
        <w:rPr>
          <w:rFonts w:hint="eastAsia" w:ascii="仿宋_GB2312" w:eastAsia="仿宋_GB2312"/>
          <w:sz w:val="32"/>
          <w:szCs w:val="32"/>
        </w:rPr>
        <w:t>我单位本年度无国有资本经营预算财政拨款收入支出，国有资本经营预算财政拨款收入支出决算表为空表。</w:t>
      </w:r>
    </w:p>
    <w:p>
      <w:pPr>
        <w:ind w:firstLine="640" w:firstLineChars="200"/>
        <w:outlineLvl w:val="1"/>
        <w:rPr>
          <w:rFonts w:ascii="黑体" w:hAnsi="黑体" w:eastAsia="黑体" w:cs="宋体"/>
          <w:bCs/>
          <w:kern w:val="0"/>
          <w:sz w:val="32"/>
          <w:szCs w:val="32"/>
        </w:rPr>
      </w:pPr>
      <w:bookmarkStart w:id="24" w:name="_Toc7314"/>
      <w:bookmarkStart w:id="25" w:name="_Toc1235"/>
      <w:r>
        <w:rPr>
          <w:rFonts w:hint="eastAsia" w:ascii="黑体" w:hAnsi="黑体" w:eastAsia="黑体" w:cs="宋体"/>
          <w:bCs/>
          <w:kern w:val="0"/>
          <w:sz w:val="32"/>
          <w:szCs w:val="32"/>
        </w:rPr>
        <w:t>十、其他重要事项的情况说明</w:t>
      </w:r>
      <w:bookmarkEnd w:id="24"/>
      <w:bookmarkEnd w:id="25"/>
    </w:p>
    <w:p>
      <w:pPr>
        <w:ind w:firstLine="640" w:firstLineChars="200"/>
        <w:outlineLvl w:val="2"/>
        <w:rPr>
          <w:rFonts w:hint="eastAsia" w:ascii="黑体" w:hAnsi="黑体" w:eastAsia="黑体"/>
          <w:sz w:val="32"/>
          <w:szCs w:val="32"/>
        </w:rPr>
      </w:pPr>
      <w:bookmarkStart w:id="26" w:name="_Toc13105"/>
      <w:bookmarkStart w:id="27" w:name="_Toc14519"/>
      <w:r>
        <w:rPr>
          <w:rFonts w:hint="eastAsia" w:ascii="黑体" w:hAnsi="黑体" w:eastAsia="黑体"/>
          <w:sz w:val="32"/>
          <w:szCs w:val="32"/>
        </w:rPr>
        <w:t>（一）机关运行经费支出情况</w:t>
      </w:r>
      <w:bookmarkEnd w:id="26"/>
      <w:bookmarkEnd w:id="27"/>
    </w:p>
    <w:p>
      <w:pPr>
        <w:ind w:firstLine="640" w:firstLineChars="200"/>
        <w:outlineLvl w:val="2"/>
        <w:rPr>
          <w:rFonts w:ascii="黑体" w:hAnsi="黑体" w:eastAsia="黑体"/>
          <w:sz w:val="32"/>
          <w:szCs w:val="32"/>
        </w:rPr>
      </w:pPr>
      <w:r>
        <w:rPr>
          <w:rFonts w:hint="eastAsia" w:ascii="仿宋_GB2312" w:eastAsia="仿宋_GB2312"/>
          <w:sz w:val="32"/>
          <w:szCs w:val="32"/>
        </w:rPr>
        <w:t>2021年度新疆喀什地区叶城县科学技术局（行政单位和参照公务员法管理事业单位）机关运行经费支出</w:t>
      </w:r>
      <w:r>
        <w:rPr>
          <w:rFonts w:ascii="仿宋_GB2312" w:eastAsia="仿宋_GB2312"/>
          <w:sz w:val="32"/>
          <w:szCs w:val="32"/>
        </w:rPr>
        <w:t>2.32</w:t>
      </w:r>
      <w:r>
        <w:rPr>
          <w:rFonts w:hint="eastAsia" w:ascii="仿宋_GB2312" w:eastAsia="仿宋_GB2312"/>
          <w:sz w:val="32"/>
          <w:szCs w:val="32"/>
        </w:rPr>
        <w:t>万元，比上年减少2.22万元，降低48.90%，主要原因是：严格按照中央八项规定，厉行节约，压减经费。</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sz w:val="32"/>
          <w:szCs w:val="32"/>
        </w:rPr>
      </w:pPr>
      <w:r>
        <w:rPr>
          <w:rFonts w:hint="eastAsia" w:ascii="黑体" w:hAnsi="黑体" w:eastAsia="黑体"/>
          <w:sz w:val="32"/>
          <w:szCs w:val="32"/>
        </w:rPr>
        <w:t>（二）政府采购情况</w:t>
      </w:r>
    </w:p>
    <w:p>
      <w:pPr>
        <w:ind w:firstLine="640" w:firstLineChars="200"/>
        <w:rPr>
          <w:rFonts w:ascii="仿宋_GB2312" w:eastAsia="仿宋_GB2312"/>
          <w:sz w:val="32"/>
          <w:szCs w:val="32"/>
        </w:rPr>
      </w:pPr>
      <w:r>
        <w:rPr>
          <w:rFonts w:hint="eastAsia" w:ascii="仿宋_GB2312" w:eastAsia="仿宋_GB2312"/>
          <w:sz w:val="32"/>
          <w:szCs w:val="32"/>
        </w:rPr>
        <w:t>2021年度政府采购支出总额</w:t>
      </w:r>
      <w:r>
        <w:rPr>
          <w:rFonts w:ascii="仿宋_GB2312" w:eastAsia="仿宋_GB2312"/>
          <w:sz w:val="32"/>
          <w:szCs w:val="32"/>
        </w:rPr>
        <w:t>1.46</w:t>
      </w:r>
      <w:r>
        <w:rPr>
          <w:rFonts w:hint="eastAsia" w:ascii="仿宋_GB2312" w:eastAsia="仿宋_GB2312"/>
          <w:sz w:val="32"/>
          <w:szCs w:val="32"/>
        </w:rPr>
        <w:t>万元，其中：政府采购货物支出</w:t>
      </w:r>
      <w:r>
        <w:rPr>
          <w:rFonts w:ascii="仿宋_GB2312" w:eastAsia="仿宋_GB2312"/>
          <w:sz w:val="32"/>
          <w:szCs w:val="32"/>
        </w:rPr>
        <w:t>1.46</w:t>
      </w:r>
      <w:r>
        <w:rPr>
          <w:rFonts w:hint="eastAsia" w:ascii="仿宋_GB2312" w:eastAsia="仿宋_GB2312"/>
          <w:sz w:val="32"/>
          <w:szCs w:val="32"/>
        </w:rPr>
        <w:t>万元、政府采购工程支出</w:t>
      </w:r>
      <w:r>
        <w:rPr>
          <w:rFonts w:ascii="仿宋_GB2312" w:eastAsia="仿宋_GB2312"/>
          <w:sz w:val="32"/>
          <w:szCs w:val="32"/>
        </w:rPr>
        <w:t>0.00</w:t>
      </w:r>
      <w:r>
        <w:rPr>
          <w:rFonts w:hint="eastAsia" w:ascii="仿宋_GB2312" w:eastAsia="仿宋_GB2312"/>
          <w:sz w:val="32"/>
          <w:szCs w:val="32"/>
        </w:rPr>
        <w:t>万元、政府采购服务支出</w:t>
      </w:r>
      <w:r>
        <w:rPr>
          <w:rFonts w:ascii="仿宋_GB2312" w:eastAsia="仿宋_GB2312"/>
          <w:sz w:val="32"/>
          <w:szCs w:val="32"/>
        </w:rPr>
        <w:t>0.00</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0.00</w:t>
      </w:r>
      <w:r>
        <w:rPr>
          <w:rFonts w:hint="eastAsia" w:ascii="仿宋_GB2312" w:eastAsia="仿宋_GB2312"/>
          <w:sz w:val="32"/>
          <w:szCs w:val="32"/>
        </w:rPr>
        <w:t>万元，占政府采购支出总额的</w:t>
      </w:r>
      <w:r>
        <w:rPr>
          <w:rFonts w:ascii="仿宋_GB2312" w:eastAsia="仿宋_GB2312"/>
          <w:sz w:val="32"/>
          <w:szCs w:val="32"/>
        </w:rPr>
        <w:t>0.00</w:t>
      </w:r>
      <w:r>
        <w:rPr>
          <w:rFonts w:hint="eastAsia" w:ascii="仿宋_GB2312" w:eastAsia="仿宋_GB2312"/>
          <w:sz w:val="32"/>
          <w:szCs w:val="32"/>
        </w:rPr>
        <w:t>%，其中：授予小微企业合同金额</w:t>
      </w:r>
      <w:r>
        <w:rPr>
          <w:rFonts w:ascii="仿宋_GB2312" w:eastAsia="仿宋_GB2312"/>
          <w:sz w:val="32"/>
          <w:szCs w:val="32"/>
        </w:rPr>
        <w:t>0.00</w:t>
      </w:r>
      <w:r>
        <w:rPr>
          <w:rFonts w:hint="eastAsia" w:ascii="仿宋_GB2312" w:eastAsia="仿宋_GB2312"/>
          <w:sz w:val="32"/>
          <w:szCs w:val="32"/>
        </w:rPr>
        <w:t>万元，占政府采购支出总额的</w:t>
      </w:r>
      <w:r>
        <w:rPr>
          <w:rFonts w:ascii="仿宋_GB2312" w:eastAsia="仿宋_GB2312"/>
          <w:sz w:val="32"/>
          <w:szCs w:val="32"/>
        </w:rPr>
        <w:t>0.00</w:t>
      </w:r>
      <w:r>
        <w:rPr>
          <w:rFonts w:hint="eastAsia" w:ascii="仿宋_GB2312" w:eastAsia="仿宋_GB2312"/>
          <w:sz w:val="32"/>
          <w:szCs w:val="32"/>
        </w:rPr>
        <w:t>%。</w:t>
      </w:r>
    </w:p>
    <w:p>
      <w:pPr>
        <w:ind w:firstLine="640" w:firstLineChars="200"/>
        <w:outlineLvl w:val="2"/>
        <w:rPr>
          <w:rFonts w:ascii="黑体" w:hAnsi="黑体" w:eastAsia="黑体"/>
          <w:sz w:val="32"/>
          <w:szCs w:val="32"/>
        </w:rPr>
      </w:pPr>
      <w:bookmarkStart w:id="28" w:name="_Toc4591"/>
      <w:bookmarkStart w:id="29" w:name="_Toc8391"/>
      <w:r>
        <w:rPr>
          <w:rFonts w:hint="eastAsia" w:ascii="黑体" w:hAnsi="黑体" w:eastAsia="黑体"/>
          <w:sz w:val="32"/>
          <w:szCs w:val="32"/>
        </w:rPr>
        <w:t>（三）国有资产占用情况说明</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截</w:t>
      </w:r>
      <w:r>
        <w:rPr>
          <w:rFonts w:hint="eastAsia" w:ascii="仿宋_GB2312" w:eastAsia="仿宋_GB2312"/>
          <w:sz w:val="32"/>
          <w:szCs w:val="32"/>
          <w:lang w:eastAsia="zh-CN"/>
        </w:rPr>
        <w:t>至</w:t>
      </w:r>
      <w:bookmarkStart w:id="52" w:name="_GoBack"/>
      <w:bookmarkEnd w:id="52"/>
      <w:r>
        <w:rPr>
          <w:rFonts w:hint="eastAsia" w:ascii="仿宋_GB2312" w:eastAsia="仿宋_GB2312"/>
          <w:sz w:val="32"/>
          <w:szCs w:val="32"/>
        </w:rPr>
        <w:t>2021年12月31日，单位共有房屋</w:t>
      </w:r>
      <w:r>
        <w:rPr>
          <w:rFonts w:ascii="仿宋_GB2312" w:eastAsia="仿宋_GB2312"/>
          <w:sz w:val="32"/>
          <w:szCs w:val="32"/>
        </w:rPr>
        <w:t>0.00</w:t>
      </w:r>
      <w:r>
        <w:rPr>
          <w:rFonts w:hint="eastAsia" w:ascii="仿宋_GB2312" w:eastAsia="仿宋_GB2312"/>
          <w:sz w:val="32"/>
          <w:szCs w:val="32"/>
        </w:rPr>
        <w:t>（平方米），价值</w:t>
      </w:r>
      <w:r>
        <w:rPr>
          <w:rFonts w:ascii="仿宋_GB2312" w:eastAsia="仿宋_GB2312"/>
          <w:sz w:val="32"/>
          <w:szCs w:val="32"/>
        </w:rPr>
        <w:t>0.00</w:t>
      </w:r>
      <w:r>
        <w:rPr>
          <w:rFonts w:hint="eastAsia" w:ascii="仿宋_GB2312" w:eastAsia="仿宋_GB2312"/>
          <w:sz w:val="32"/>
          <w:szCs w:val="32"/>
        </w:rPr>
        <w:t>万元。车辆</w:t>
      </w:r>
      <w:r>
        <w:rPr>
          <w:rFonts w:ascii="仿宋_GB2312" w:eastAsia="仿宋_GB2312"/>
          <w:sz w:val="32"/>
          <w:szCs w:val="32"/>
        </w:rPr>
        <w:t>3</w:t>
      </w:r>
      <w:r>
        <w:rPr>
          <w:rFonts w:hint="eastAsia" w:ascii="仿宋_GB2312" w:eastAsia="仿宋_GB2312"/>
          <w:sz w:val="32"/>
          <w:szCs w:val="32"/>
        </w:rPr>
        <w:t>辆，价值</w:t>
      </w:r>
      <w:r>
        <w:rPr>
          <w:rFonts w:ascii="仿宋_GB2312" w:eastAsia="仿宋_GB2312"/>
          <w:sz w:val="32"/>
          <w:szCs w:val="32"/>
        </w:rPr>
        <w:t>40.55</w:t>
      </w:r>
      <w:r>
        <w:rPr>
          <w:rFonts w:hint="eastAsia" w:ascii="仿宋_GB2312" w:eastAsia="仿宋_GB2312"/>
          <w:sz w:val="32"/>
          <w:szCs w:val="32"/>
        </w:rPr>
        <w:t>万元，其中：副部（省）级及以上领导用车0辆、主要领导干部用车0辆、机要通信用车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3</w:t>
      </w:r>
      <w:r>
        <w:rPr>
          <w:rFonts w:hint="eastAsia" w:ascii="仿宋_GB2312" w:eastAsia="仿宋_GB2312"/>
          <w:sz w:val="32"/>
          <w:szCs w:val="32"/>
        </w:rPr>
        <w:t>辆，其他用车主要是：一般公务用车；单位价值50万元以上通用设备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bookmarkStart w:id="30" w:name="_Toc435"/>
      <w:bookmarkStart w:id="31" w:name="_Toc11283"/>
      <w:r>
        <w:rPr>
          <w:rFonts w:hint="eastAsia" w:ascii="黑体" w:hAnsi="黑体" w:eastAsia="黑体" w:cs="宋体"/>
          <w:bCs/>
          <w:kern w:val="0"/>
          <w:sz w:val="32"/>
          <w:szCs w:val="32"/>
        </w:rPr>
        <w:t>十一、预算绩效的情况说明</w:t>
      </w:r>
      <w:bookmarkEnd w:id="30"/>
      <w:bookmarkEnd w:id="31"/>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根据预算绩效管理要求，我单位2021年度开展预算绩效评价项目5个，共涉及资金124.45万元。预算绩效管理取得的成效：一、加强制度建设，打牢绩效管理工作基础。二、开展绩效评价，提高绩效工作管理水平。发现的问题及原因：全过程预算绩效管理制度体系不健全。目前财政部门尚未制定系统、规范的绩效管理工作流程和操作细节，未建立社会中介、专家、数据库和档案等管理办法，绩效指标和标准体系建设不完善，未能细化、量化绩效指标，突出绩效特色。下一步改进措施：加大预算绩效评价公开力度。不仅各类预算支出项目的绩效目标需要公开，还应进一步较为详细的公开预算绩效评价结果及后续的追踪问责机制，避免出现各预算单位“自说自话”问题，实现信息透明、共享。具体项目自评情况附项目支出绩效自评表。</w:t>
      </w:r>
    </w:p>
    <w:p>
      <w:pPr>
        <w:rPr>
          <w:rFonts w:ascii="仿宋_GB2312" w:eastAsia="仿宋_GB2312"/>
          <w:sz w:val="32"/>
          <w:szCs w:val="32"/>
        </w:rPr>
      </w:pPr>
      <w:r>
        <w:rPr>
          <w:rFonts w:ascii="仿宋_GB2312" w:eastAsia="仿宋_GB2312"/>
          <w:sz w:val="32"/>
          <w:szCs w:val="32"/>
        </w:rPr>
        <w:br w:type="page"/>
      </w:r>
    </w:p>
    <w:p>
      <w:pPr>
        <w:ind w:firstLine="640" w:firstLineChars="200"/>
        <w:jc w:val="center"/>
        <w:outlineLvl w:val="0"/>
        <w:rPr>
          <w:rFonts w:ascii="黑体" w:hAnsi="黑体" w:eastAsia="黑体"/>
          <w:sz w:val="32"/>
          <w:szCs w:val="32"/>
        </w:rPr>
      </w:pPr>
      <w:bookmarkStart w:id="32" w:name="_Toc24143"/>
      <w:bookmarkStart w:id="33" w:name="_Toc3250"/>
      <w:r>
        <w:rPr>
          <w:rFonts w:hint="eastAsia" w:ascii="黑体" w:hAnsi="黑体" w:eastAsia="黑体"/>
          <w:sz w:val="32"/>
          <w:szCs w:val="32"/>
        </w:rPr>
        <w:t>第三部分 专业名词解释</w:t>
      </w:r>
      <w:bookmarkEnd w:id="32"/>
      <w:bookmarkEnd w:id="33"/>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rFonts w:ascii="黑体" w:hAnsi="黑体" w:eastAsia="黑体"/>
          <w:sz w:val="32"/>
          <w:szCs w:val="32"/>
        </w:rPr>
      </w:pPr>
      <w:bookmarkStart w:id="34" w:name="_Toc28903"/>
      <w:bookmarkStart w:id="35" w:name="_Toc22784"/>
      <w:r>
        <w:rPr>
          <w:rFonts w:hint="eastAsia" w:ascii="黑体" w:hAnsi="黑体" w:eastAsia="黑体"/>
          <w:sz w:val="32"/>
          <w:szCs w:val="32"/>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 部门决算报表（见附表）</w:t>
      </w:r>
      <w:bookmarkEnd w:id="34"/>
      <w:bookmarkEnd w:id="35"/>
    </w:p>
    <w:p>
      <w:pPr>
        <w:ind w:firstLine="640" w:firstLineChars="200"/>
        <w:outlineLvl w:val="1"/>
        <w:rPr>
          <w:rFonts w:ascii="黑体" w:hAnsi="黑体" w:eastAsia="黑体" w:cs="宋体"/>
          <w:bCs/>
          <w:kern w:val="0"/>
          <w:sz w:val="32"/>
          <w:szCs w:val="32"/>
        </w:rPr>
      </w:pPr>
      <w:bookmarkStart w:id="36" w:name="_Toc2183"/>
      <w:bookmarkStart w:id="37" w:name="_Toc6062"/>
      <w:r>
        <w:rPr>
          <w:rFonts w:hint="eastAsia" w:ascii="黑体" w:hAnsi="黑体" w:eastAsia="黑体" w:cs="宋体"/>
          <w:bCs/>
          <w:kern w:val="0"/>
          <w:sz w:val="32"/>
          <w:szCs w:val="32"/>
        </w:rPr>
        <w:t>一、《收入支出决算总表》</w:t>
      </w:r>
      <w:bookmarkEnd w:id="36"/>
      <w:bookmarkEnd w:id="37"/>
    </w:p>
    <w:p>
      <w:pPr>
        <w:ind w:firstLine="640" w:firstLineChars="200"/>
        <w:outlineLvl w:val="1"/>
        <w:rPr>
          <w:rFonts w:ascii="黑体" w:hAnsi="黑体" w:eastAsia="黑体" w:cs="宋体"/>
          <w:bCs/>
          <w:kern w:val="0"/>
          <w:sz w:val="32"/>
          <w:szCs w:val="32"/>
        </w:rPr>
      </w:pPr>
      <w:bookmarkStart w:id="38" w:name="_Toc30364"/>
      <w:bookmarkStart w:id="39" w:name="_Toc24532"/>
      <w:r>
        <w:rPr>
          <w:rFonts w:hint="eastAsia" w:ascii="黑体" w:hAnsi="黑体" w:eastAsia="黑体" w:cs="宋体"/>
          <w:bCs/>
          <w:kern w:val="0"/>
          <w:sz w:val="32"/>
          <w:szCs w:val="32"/>
        </w:rPr>
        <w:t>二、《收入决算表》</w:t>
      </w:r>
      <w:bookmarkEnd w:id="38"/>
      <w:bookmarkEnd w:id="39"/>
    </w:p>
    <w:p>
      <w:pPr>
        <w:ind w:firstLine="640" w:firstLineChars="200"/>
        <w:outlineLvl w:val="1"/>
        <w:rPr>
          <w:rFonts w:ascii="黑体" w:hAnsi="黑体" w:eastAsia="黑体" w:cs="宋体"/>
          <w:bCs/>
          <w:kern w:val="0"/>
          <w:sz w:val="32"/>
          <w:szCs w:val="32"/>
        </w:rPr>
      </w:pPr>
      <w:bookmarkStart w:id="40" w:name="_Toc32434"/>
      <w:bookmarkStart w:id="41" w:name="_Toc21304"/>
      <w:r>
        <w:rPr>
          <w:rFonts w:hint="eastAsia" w:ascii="黑体" w:hAnsi="黑体" w:eastAsia="黑体" w:cs="宋体"/>
          <w:bCs/>
          <w:kern w:val="0"/>
          <w:sz w:val="32"/>
          <w:szCs w:val="32"/>
        </w:rPr>
        <w:t>三、《支出决算表》</w:t>
      </w:r>
      <w:bookmarkEnd w:id="40"/>
      <w:bookmarkEnd w:id="41"/>
    </w:p>
    <w:p>
      <w:pPr>
        <w:ind w:firstLine="640" w:firstLineChars="200"/>
        <w:outlineLvl w:val="1"/>
        <w:rPr>
          <w:rFonts w:ascii="黑体" w:hAnsi="黑体" w:eastAsia="黑体" w:cs="宋体"/>
          <w:bCs/>
          <w:kern w:val="0"/>
          <w:sz w:val="32"/>
          <w:szCs w:val="32"/>
        </w:rPr>
      </w:pPr>
      <w:bookmarkStart w:id="42" w:name="_Toc28786"/>
      <w:bookmarkStart w:id="43" w:name="_Toc14238"/>
      <w:r>
        <w:rPr>
          <w:rFonts w:hint="eastAsia" w:ascii="黑体" w:hAnsi="黑体" w:eastAsia="黑体" w:cs="宋体"/>
          <w:bCs/>
          <w:kern w:val="0"/>
          <w:sz w:val="32"/>
          <w:szCs w:val="32"/>
        </w:rPr>
        <w:t>四、《财政拨款收入支出决算总表》</w:t>
      </w:r>
      <w:bookmarkEnd w:id="42"/>
      <w:bookmarkEnd w:id="43"/>
    </w:p>
    <w:p>
      <w:pPr>
        <w:ind w:firstLine="640" w:firstLineChars="200"/>
        <w:outlineLvl w:val="1"/>
        <w:rPr>
          <w:rFonts w:ascii="黑体" w:hAnsi="黑体" w:eastAsia="黑体" w:cs="宋体"/>
          <w:bCs/>
          <w:kern w:val="0"/>
          <w:sz w:val="32"/>
          <w:szCs w:val="32"/>
        </w:rPr>
      </w:pPr>
      <w:bookmarkStart w:id="44" w:name="_Toc14869"/>
      <w:bookmarkStart w:id="45" w:name="_Toc10347"/>
      <w:r>
        <w:rPr>
          <w:rFonts w:hint="eastAsia" w:ascii="黑体" w:hAnsi="黑体" w:eastAsia="黑体" w:cs="宋体"/>
          <w:bCs/>
          <w:kern w:val="0"/>
          <w:sz w:val="32"/>
          <w:szCs w:val="32"/>
        </w:rPr>
        <w:t>五、《一般公共预算财政拨款支出决算表》</w:t>
      </w:r>
      <w:bookmarkEnd w:id="44"/>
      <w:bookmarkEnd w:id="45"/>
    </w:p>
    <w:p>
      <w:pPr>
        <w:ind w:firstLine="640" w:firstLineChars="200"/>
        <w:outlineLvl w:val="1"/>
        <w:rPr>
          <w:rFonts w:ascii="黑体" w:hAnsi="黑体" w:eastAsia="黑体" w:cs="宋体"/>
          <w:bCs/>
          <w:kern w:val="0"/>
          <w:sz w:val="32"/>
          <w:szCs w:val="32"/>
        </w:rPr>
      </w:pPr>
      <w:bookmarkStart w:id="46" w:name="_Toc8884"/>
      <w:bookmarkStart w:id="47" w:name="_Toc5626"/>
      <w:r>
        <w:rPr>
          <w:rFonts w:hint="eastAsia" w:ascii="黑体" w:hAnsi="黑体" w:eastAsia="黑体" w:cs="宋体"/>
          <w:bCs/>
          <w:kern w:val="0"/>
          <w:sz w:val="32"/>
          <w:szCs w:val="32"/>
        </w:rPr>
        <w:t>六、《一般公共预算财政拨款基本支出决算表》</w:t>
      </w:r>
      <w:bookmarkEnd w:id="46"/>
      <w:bookmarkEnd w:id="47"/>
    </w:p>
    <w:p>
      <w:pPr>
        <w:ind w:firstLine="640" w:firstLineChars="200"/>
        <w:outlineLvl w:val="1"/>
        <w:rPr>
          <w:rFonts w:ascii="黑体" w:hAnsi="黑体" w:eastAsia="黑体" w:cs="宋体"/>
          <w:bCs/>
          <w:kern w:val="0"/>
          <w:sz w:val="32"/>
          <w:szCs w:val="32"/>
        </w:rPr>
      </w:pPr>
      <w:bookmarkStart w:id="48" w:name="_Toc29106"/>
      <w:bookmarkStart w:id="49" w:name="_Toc32663"/>
      <w:r>
        <w:rPr>
          <w:rFonts w:hint="eastAsia" w:ascii="黑体" w:hAnsi="黑体" w:eastAsia="黑体" w:cs="宋体"/>
          <w:bCs/>
          <w:kern w:val="0"/>
          <w:sz w:val="32"/>
          <w:szCs w:val="32"/>
        </w:rPr>
        <w:t>七、《一般公共预算财政拨款“三公”经费支出决算表》</w:t>
      </w:r>
      <w:bookmarkEnd w:id="48"/>
      <w:bookmarkEnd w:id="49"/>
    </w:p>
    <w:p>
      <w:pPr>
        <w:ind w:firstLine="640" w:firstLineChars="200"/>
        <w:outlineLvl w:val="1"/>
        <w:rPr>
          <w:rFonts w:ascii="黑体" w:hAnsi="黑体" w:eastAsia="黑体" w:cs="宋体"/>
          <w:bCs/>
          <w:kern w:val="0"/>
          <w:sz w:val="32"/>
          <w:szCs w:val="32"/>
        </w:rPr>
      </w:pPr>
      <w:bookmarkStart w:id="50" w:name="_Toc5453"/>
      <w:bookmarkStart w:id="51" w:name="_Toc7643"/>
      <w:r>
        <w:rPr>
          <w:rFonts w:hint="eastAsia" w:ascii="黑体" w:hAnsi="黑体" w:eastAsia="黑体" w:cs="宋体"/>
          <w:bCs/>
          <w:kern w:val="0"/>
          <w:sz w:val="32"/>
          <w:szCs w:val="32"/>
        </w:rPr>
        <w:t>八、《政府性基金预算财政拨款收入支出决算表》</w:t>
      </w:r>
      <w:bookmarkEnd w:id="50"/>
      <w:bookmarkEnd w:id="51"/>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九、《国有资本经营预算财政拨款收入支出决算表》</w:t>
      </w:r>
    </w:p>
    <w:bookmarkEnd w:id="0"/>
    <w:p>
      <w:pPr>
        <w:ind w:firstLine="640" w:firstLineChars="200"/>
        <w:outlineLvl w:val="1"/>
        <w:rPr>
          <w:rFonts w:ascii="黑体" w:hAnsi="黑体" w:eastAsia="黑体" w:cs="宋体"/>
          <w:bCs/>
          <w:kern w:val="0"/>
          <w:sz w:val="32"/>
          <w:szCs w:val="32"/>
        </w:rPr>
      </w:pPr>
    </w:p>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lang w:bidi="ug-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wps:txbx>
                    <wps:bodyPr vert="horz" wrap="none" lIns="0" tIns="0" rIns="0" bIns="0" anchor="t">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BPOpCYwwEAAG0DAAAOAAAAAAAAAAEAIAAAAB4BAABkcnMvZTJvRG9jLnhtbFBL&#10;BQYAAAAABgAGAFkBAABTBQ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U4NTBmZTE2ODg1YTljYjc5ZGU1YmU2Mzc1ZmRjN2YifQ=="/>
  </w:docVars>
  <w:rsids>
    <w:rsidRoot w:val="006B7B8C"/>
    <w:rsid w:val="00014AAB"/>
    <w:rsid w:val="00015801"/>
    <w:rsid w:val="0002486D"/>
    <w:rsid w:val="00062388"/>
    <w:rsid w:val="000731DE"/>
    <w:rsid w:val="00082B96"/>
    <w:rsid w:val="000874C6"/>
    <w:rsid w:val="00091D32"/>
    <w:rsid w:val="000B3F65"/>
    <w:rsid w:val="000B4DF4"/>
    <w:rsid w:val="000B597A"/>
    <w:rsid w:val="000C0611"/>
    <w:rsid w:val="000C72B8"/>
    <w:rsid w:val="000F13FC"/>
    <w:rsid w:val="000F1BC6"/>
    <w:rsid w:val="000F7D1A"/>
    <w:rsid w:val="00100F46"/>
    <w:rsid w:val="001114DC"/>
    <w:rsid w:val="001221DB"/>
    <w:rsid w:val="001224FB"/>
    <w:rsid w:val="001433D9"/>
    <w:rsid w:val="00147345"/>
    <w:rsid w:val="00157386"/>
    <w:rsid w:val="00176B00"/>
    <w:rsid w:val="001A140F"/>
    <w:rsid w:val="001A52AF"/>
    <w:rsid w:val="001C2440"/>
    <w:rsid w:val="001C44B0"/>
    <w:rsid w:val="00207BE8"/>
    <w:rsid w:val="002120BB"/>
    <w:rsid w:val="002548C8"/>
    <w:rsid w:val="00272419"/>
    <w:rsid w:val="003028E1"/>
    <w:rsid w:val="00302A04"/>
    <w:rsid w:val="00312652"/>
    <w:rsid w:val="00345A42"/>
    <w:rsid w:val="0035250E"/>
    <w:rsid w:val="00353DD9"/>
    <w:rsid w:val="00362C48"/>
    <w:rsid w:val="0036666F"/>
    <w:rsid w:val="00370F5B"/>
    <w:rsid w:val="003824A3"/>
    <w:rsid w:val="00392A24"/>
    <w:rsid w:val="0039326B"/>
    <w:rsid w:val="00395F5C"/>
    <w:rsid w:val="003A65AE"/>
    <w:rsid w:val="003C4475"/>
    <w:rsid w:val="003C4518"/>
    <w:rsid w:val="003C5962"/>
    <w:rsid w:val="003D230A"/>
    <w:rsid w:val="003D381A"/>
    <w:rsid w:val="003D4CE8"/>
    <w:rsid w:val="004078AA"/>
    <w:rsid w:val="00420161"/>
    <w:rsid w:val="00464FAC"/>
    <w:rsid w:val="00480271"/>
    <w:rsid w:val="00487954"/>
    <w:rsid w:val="00495F92"/>
    <w:rsid w:val="004971F0"/>
    <w:rsid w:val="004B241A"/>
    <w:rsid w:val="004B2827"/>
    <w:rsid w:val="004B4550"/>
    <w:rsid w:val="004C036C"/>
    <w:rsid w:val="004C7698"/>
    <w:rsid w:val="004D5A4F"/>
    <w:rsid w:val="004E5240"/>
    <w:rsid w:val="004E7075"/>
    <w:rsid w:val="00511EF6"/>
    <w:rsid w:val="005266C7"/>
    <w:rsid w:val="00536589"/>
    <w:rsid w:val="005609AE"/>
    <w:rsid w:val="00565E92"/>
    <w:rsid w:val="00573DA1"/>
    <w:rsid w:val="00577003"/>
    <w:rsid w:val="00581BC9"/>
    <w:rsid w:val="0058594B"/>
    <w:rsid w:val="00597053"/>
    <w:rsid w:val="005B4B49"/>
    <w:rsid w:val="005D0449"/>
    <w:rsid w:val="005D2934"/>
    <w:rsid w:val="005D3D72"/>
    <w:rsid w:val="005D54E8"/>
    <w:rsid w:val="005D6482"/>
    <w:rsid w:val="005F26BE"/>
    <w:rsid w:val="00610E0F"/>
    <w:rsid w:val="006113E2"/>
    <w:rsid w:val="00624982"/>
    <w:rsid w:val="00625F2E"/>
    <w:rsid w:val="006505E8"/>
    <w:rsid w:val="00656A89"/>
    <w:rsid w:val="006612DA"/>
    <w:rsid w:val="00677EE6"/>
    <w:rsid w:val="006B25BA"/>
    <w:rsid w:val="006B5D26"/>
    <w:rsid w:val="006B7089"/>
    <w:rsid w:val="006B7147"/>
    <w:rsid w:val="006B7779"/>
    <w:rsid w:val="006B7B8C"/>
    <w:rsid w:val="006C09CD"/>
    <w:rsid w:val="006C6123"/>
    <w:rsid w:val="007002F4"/>
    <w:rsid w:val="0072647E"/>
    <w:rsid w:val="00730D0A"/>
    <w:rsid w:val="00753BF6"/>
    <w:rsid w:val="007718CB"/>
    <w:rsid w:val="0077373D"/>
    <w:rsid w:val="00773C57"/>
    <w:rsid w:val="00793611"/>
    <w:rsid w:val="007B5171"/>
    <w:rsid w:val="007E51A8"/>
    <w:rsid w:val="007F1677"/>
    <w:rsid w:val="008060FF"/>
    <w:rsid w:val="00817497"/>
    <w:rsid w:val="00820F01"/>
    <w:rsid w:val="00833A8D"/>
    <w:rsid w:val="00844A1B"/>
    <w:rsid w:val="00862C15"/>
    <w:rsid w:val="00866D2C"/>
    <w:rsid w:val="008936FD"/>
    <w:rsid w:val="008B0283"/>
    <w:rsid w:val="008B08E2"/>
    <w:rsid w:val="008C5CF1"/>
    <w:rsid w:val="008E1BC7"/>
    <w:rsid w:val="008E3821"/>
    <w:rsid w:val="008E6109"/>
    <w:rsid w:val="008E6A5A"/>
    <w:rsid w:val="00914AAA"/>
    <w:rsid w:val="00920BB9"/>
    <w:rsid w:val="00937335"/>
    <w:rsid w:val="00972E47"/>
    <w:rsid w:val="00984899"/>
    <w:rsid w:val="009848D4"/>
    <w:rsid w:val="009B30F0"/>
    <w:rsid w:val="009B32AE"/>
    <w:rsid w:val="009C6ACE"/>
    <w:rsid w:val="009E66FE"/>
    <w:rsid w:val="00A01F1F"/>
    <w:rsid w:val="00A04806"/>
    <w:rsid w:val="00A07771"/>
    <w:rsid w:val="00A337C0"/>
    <w:rsid w:val="00A45B04"/>
    <w:rsid w:val="00A830BA"/>
    <w:rsid w:val="00A851E1"/>
    <w:rsid w:val="00AD0C57"/>
    <w:rsid w:val="00AD0ECD"/>
    <w:rsid w:val="00AD3E2A"/>
    <w:rsid w:val="00AD75AE"/>
    <w:rsid w:val="00AE710B"/>
    <w:rsid w:val="00B14642"/>
    <w:rsid w:val="00B223C7"/>
    <w:rsid w:val="00B3137B"/>
    <w:rsid w:val="00B323EA"/>
    <w:rsid w:val="00B32435"/>
    <w:rsid w:val="00B55170"/>
    <w:rsid w:val="00B81749"/>
    <w:rsid w:val="00B82BD1"/>
    <w:rsid w:val="00B82F2C"/>
    <w:rsid w:val="00BC404C"/>
    <w:rsid w:val="00BD11BA"/>
    <w:rsid w:val="00BD1A9F"/>
    <w:rsid w:val="00BF043E"/>
    <w:rsid w:val="00BF382F"/>
    <w:rsid w:val="00BF59D3"/>
    <w:rsid w:val="00C0134C"/>
    <w:rsid w:val="00C0510A"/>
    <w:rsid w:val="00C14826"/>
    <w:rsid w:val="00C274DD"/>
    <w:rsid w:val="00C312EC"/>
    <w:rsid w:val="00C4109C"/>
    <w:rsid w:val="00C65082"/>
    <w:rsid w:val="00C67079"/>
    <w:rsid w:val="00CA4926"/>
    <w:rsid w:val="00CB467D"/>
    <w:rsid w:val="00CC4A46"/>
    <w:rsid w:val="00CD75DB"/>
    <w:rsid w:val="00CF2197"/>
    <w:rsid w:val="00D00715"/>
    <w:rsid w:val="00D060F1"/>
    <w:rsid w:val="00D13254"/>
    <w:rsid w:val="00D20143"/>
    <w:rsid w:val="00D218B2"/>
    <w:rsid w:val="00D26864"/>
    <w:rsid w:val="00D26E58"/>
    <w:rsid w:val="00D27269"/>
    <w:rsid w:val="00D44942"/>
    <w:rsid w:val="00D548CB"/>
    <w:rsid w:val="00D65A9C"/>
    <w:rsid w:val="00D706DB"/>
    <w:rsid w:val="00D8490F"/>
    <w:rsid w:val="00D97950"/>
    <w:rsid w:val="00DC09B1"/>
    <w:rsid w:val="00E00036"/>
    <w:rsid w:val="00E14CA4"/>
    <w:rsid w:val="00E23560"/>
    <w:rsid w:val="00E40C0B"/>
    <w:rsid w:val="00E429F1"/>
    <w:rsid w:val="00E434E9"/>
    <w:rsid w:val="00E8482F"/>
    <w:rsid w:val="00EC7E67"/>
    <w:rsid w:val="00F074B1"/>
    <w:rsid w:val="00F647BE"/>
    <w:rsid w:val="00F85377"/>
    <w:rsid w:val="00FA62CF"/>
    <w:rsid w:val="01D35DA3"/>
    <w:rsid w:val="02E743B6"/>
    <w:rsid w:val="02F1741B"/>
    <w:rsid w:val="04911B11"/>
    <w:rsid w:val="052035FD"/>
    <w:rsid w:val="05AF70DB"/>
    <w:rsid w:val="06792773"/>
    <w:rsid w:val="0742534E"/>
    <w:rsid w:val="08B509AF"/>
    <w:rsid w:val="08E75997"/>
    <w:rsid w:val="09E12A64"/>
    <w:rsid w:val="0AF87F94"/>
    <w:rsid w:val="0B835865"/>
    <w:rsid w:val="0BF6540F"/>
    <w:rsid w:val="0C7227A7"/>
    <w:rsid w:val="0C801B16"/>
    <w:rsid w:val="0D1E33E4"/>
    <w:rsid w:val="0DAA21EE"/>
    <w:rsid w:val="0F2B2D9A"/>
    <w:rsid w:val="0FA7589A"/>
    <w:rsid w:val="102C6852"/>
    <w:rsid w:val="1081433D"/>
    <w:rsid w:val="12D3520E"/>
    <w:rsid w:val="133117EA"/>
    <w:rsid w:val="1396784F"/>
    <w:rsid w:val="13EC0B8A"/>
    <w:rsid w:val="14EB6229"/>
    <w:rsid w:val="155C65A7"/>
    <w:rsid w:val="15E95753"/>
    <w:rsid w:val="16F045F9"/>
    <w:rsid w:val="176E6CF3"/>
    <w:rsid w:val="17C618A3"/>
    <w:rsid w:val="185F4F4D"/>
    <w:rsid w:val="193D4B9E"/>
    <w:rsid w:val="1B4E62E5"/>
    <w:rsid w:val="1C666C77"/>
    <w:rsid w:val="1C8B4975"/>
    <w:rsid w:val="1C98798D"/>
    <w:rsid w:val="1D2D783E"/>
    <w:rsid w:val="1D9D4C68"/>
    <w:rsid w:val="1DAF458D"/>
    <w:rsid w:val="1E150A80"/>
    <w:rsid w:val="1EAA00AC"/>
    <w:rsid w:val="1FA73C1B"/>
    <w:rsid w:val="258917FB"/>
    <w:rsid w:val="27AF63CE"/>
    <w:rsid w:val="27CF2642"/>
    <w:rsid w:val="28605A33"/>
    <w:rsid w:val="294E4805"/>
    <w:rsid w:val="29E96D83"/>
    <w:rsid w:val="29EC087F"/>
    <w:rsid w:val="2A053397"/>
    <w:rsid w:val="2ABE0B21"/>
    <w:rsid w:val="2B3A3AD8"/>
    <w:rsid w:val="2D1136DF"/>
    <w:rsid w:val="2DE716FC"/>
    <w:rsid w:val="2E59285E"/>
    <w:rsid w:val="2FD27414"/>
    <w:rsid w:val="31857BAC"/>
    <w:rsid w:val="31B5304E"/>
    <w:rsid w:val="31C63837"/>
    <w:rsid w:val="33206C0F"/>
    <w:rsid w:val="33BC32B4"/>
    <w:rsid w:val="3429669A"/>
    <w:rsid w:val="34965581"/>
    <w:rsid w:val="35C5793C"/>
    <w:rsid w:val="36325697"/>
    <w:rsid w:val="36E958BB"/>
    <w:rsid w:val="370D7281"/>
    <w:rsid w:val="38CB046A"/>
    <w:rsid w:val="3A2C6D69"/>
    <w:rsid w:val="3A643253"/>
    <w:rsid w:val="3B5D1933"/>
    <w:rsid w:val="3D1D5019"/>
    <w:rsid w:val="3D5275AC"/>
    <w:rsid w:val="3E1A76DD"/>
    <w:rsid w:val="3E2B7A03"/>
    <w:rsid w:val="3E9A7BA4"/>
    <w:rsid w:val="3F076061"/>
    <w:rsid w:val="3F6A08C0"/>
    <w:rsid w:val="455E1F7C"/>
    <w:rsid w:val="45897ADA"/>
    <w:rsid w:val="46901EEE"/>
    <w:rsid w:val="469C74D2"/>
    <w:rsid w:val="48A52360"/>
    <w:rsid w:val="4902047E"/>
    <w:rsid w:val="4A7D4485"/>
    <w:rsid w:val="4C2E1A9B"/>
    <w:rsid w:val="4DE45AD9"/>
    <w:rsid w:val="4E11500F"/>
    <w:rsid w:val="4EEF1380"/>
    <w:rsid w:val="4F9D7B44"/>
    <w:rsid w:val="50DB5F45"/>
    <w:rsid w:val="512709C0"/>
    <w:rsid w:val="51DB4252"/>
    <w:rsid w:val="52314E57"/>
    <w:rsid w:val="523358A5"/>
    <w:rsid w:val="53350823"/>
    <w:rsid w:val="54054866"/>
    <w:rsid w:val="54F22EA5"/>
    <w:rsid w:val="55516A31"/>
    <w:rsid w:val="59444B98"/>
    <w:rsid w:val="59996596"/>
    <w:rsid w:val="5A8B468F"/>
    <w:rsid w:val="5C386C32"/>
    <w:rsid w:val="5D286D33"/>
    <w:rsid w:val="5D630BDE"/>
    <w:rsid w:val="5E8A0BA7"/>
    <w:rsid w:val="5FFF1C5A"/>
    <w:rsid w:val="61A46A97"/>
    <w:rsid w:val="64275BB0"/>
    <w:rsid w:val="64925820"/>
    <w:rsid w:val="6627325F"/>
    <w:rsid w:val="66F72012"/>
    <w:rsid w:val="67623B14"/>
    <w:rsid w:val="68706FD2"/>
    <w:rsid w:val="69AD798C"/>
    <w:rsid w:val="69F01279"/>
    <w:rsid w:val="6B311CD9"/>
    <w:rsid w:val="6B68175F"/>
    <w:rsid w:val="6B8500AE"/>
    <w:rsid w:val="6C81696B"/>
    <w:rsid w:val="6D587ECB"/>
    <w:rsid w:val="6DE375B7"/>
    <w:rsid w:val="6F516C58"/>
    <w:rsid w:val="6FDFD92C"/>
    <w:rsid w:val="6FFF530B"/>
    <w:rsid w:val="70A609BC"/>
    <w:rsid w:val="7242654F"/>
    <w:rsid w:val="73FB6630"/>
    <w:rsid w:val="74060C43"/>
    <w:rsid w:val="74947C20"/>
    <w:rsid w:val="761262E7"/>
    <w:rsid w:val="76416A32"/>
    <w:rsid w:val="77022DD9"/>
    <w:rsid w:val="77ED6F44"/>
    <w:rsid w:val="7DF42720"/>
    <w:rsid w:val="7E6C6E77"/>
    <w:rsid w:val="7F726A00"/>
    <w:rsid w:val="7FB31F36"/>
    <w:rsid w:val="7FC0756C"/>
    <w:rsid w:val="7FC85347"/>
    <w:rsid w:val="BF5DD8AA"/>
    <w:rsid w:val="D3CF2FDB"/>
    <w:rsid w:val="FDFEE3F3"/>
    <w:rsid w:val="FFBF01E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Balloon Text"/>
    <w:basedOn w:val="1"/>
    <w:link w:val="16"/>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2">
    <w:name w:val="annotation reference"/>
    <w:basedOn w:val="11"/>
    <w:qFormat/>
    <w:uiPriority w:val="0"/>
    <w:rPr>
      <w:sz w:val="21"/>
      <w:szCs w:val="21"/>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ug-CN"/>
    </w:rPr>
  </w:style>
  <w:style w:type="paragraph" w:customStyle="1" w:styleId="14">
    <w:name w:val="WPSOffice手动目录 1"/>
    <w:qFormat/>
    <w:uiPriority w:val="0"/>
    <w:rPr>
      <w:rFonts w:ascii="Times New Roman" w:hAnsi="Times New Roman" w:eastAsia="宋体" w:cs="Times New Roman"/>
      <w:lang w:val="en-US" w:eastAsia="zh-CN" w:bidi="ug-CN"/>
    </w:rPr>
  </w:style>
  <w:style w:type="paragraph" w:customStyle="1" w:styleId="15">
    <w:name w:val="WPSOffice手动目录 3"/>
    <w:qFormat/>
    <w:uiPriority w:val="0"/>
    <w:pPr>
      <w:ind w:left="400" w:leftChars="400"/>
    </w:pPr>
    <w:rPr>
      <w:rFonts w:ascii="Times New Roman" w:hAnsi="Times New Roman" w:eastAsia="宋体" w:cs="Times New Roman"/>
      <w:lang w:val="en-US" w:eastAsia="zh-CN" w:bidi="ug-CN"/>
    </w:rPr>
  </w:style>
  <w:style w:type="character" w:customStyle="1" w:styleId="16">
    <w:name w:val="批注框文本 字符"/>
    <w:basedOn w:val="11"/>
    <w:link w:val="4"/>
    <w:qFormat/>
    <w:uiPriority w:val="0"/>
    <w:rPr>
      <w:kern w:val="2"/>
      <w:sz w:val="18"/>
      <w:szCs w:val="18"/>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BEECE7-2313-41ED-AECA-605B6CADA37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14</Pages>
  <Words>4620</Words>
  <Characters>5107</Characters>
  <Lines>59</Lines>
  <Paragraphs>16</Paragraphs>
  <TotalTime>31</TotalTime>
  <ScaleCrop>false</ScaleCrop>
  <LinksUpToDate>false</LinksUpToDate>
  <CharactersWithSpaces>5141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2014-10-31T04:08:00Z</dcterms:created>
  <dc:creator>GXR</dc:creator>
  <cp:lastModifiedBy>Administrator</cp:lastModifiedBy>
  <dcterms:modified xsi:type="dcterms:W3CDTF">2026-07-03T03:41:09Z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D4A4FF1F45B44E7E9EA75B7EC3518B68_13</vt:lpwstr>
  </property>
</Properties>
</file>