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新疆喀什地区叶城县第一幼儿园2021年度部门决算公开说明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2、在政府和上级教育主管部门的领导下，争取资金改善办学条件，为师幼的学习和工作提供优美和谐的环境。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3、根据县级人民政府制定的教育事业发展规划，结合实际制定并组织实施本园的教育事业发展规划。在政府的领导下，全面开展好幼儿园教育，组织教师动员适龄儿童，就近入学。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新疆喀什地区叶城县第一幼儿园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129</w:t>
      </w:r>
      <w:r>
        <w:rPr>
          <w:rFonts w:hint="eastAsia" w:ascii="仿宋_GB2312" w:eastAsia="仿宋_GB2312"/>
          <w:sz w:val="32"/>
          <w:szCs w:val="32"/>
        </w:rPr>
        <w:t>人，其中：在职人员</w:t>
      </w:r>
      <w:r>
        <w:rPr>
          <w:rFonts w:ascii="仿宋_GB2312" w:eastAsia="仿宋_GB2312"/>
          <w:sz w:val="32"/>
          <w:szCs w:val="32"/>
        </w:rPr>
        <w:t>93</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36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从部门决算单位构成看，新疆喀什地区叶城县第一幼儿园部门决算包括：新疆喀什地区叶城县第一幼儿园决算。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个处室，分别是：财务室、德育办、党建办、书记园长办公室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1,969.56</w:t>
      </w:r>
      <w:r>
        <w:rPr>
          <w:rFonts w:hint="eastAsia" w:ascii="仿宋_GB2312" w:eastAsia="仿宋_GB2312"/>
          <w:sz w:val="32"/>
          <w:szCs w:val="32"/>
        </w:rPr>
        <w:t>万元，与上年相比，增加901.04万元，</w:t>
      </w:r>
      <w:r>
        <w:rPr>
          <w:rFonts w:ascii="仿宋_GB2312" w:eastAsia="仿宋_GB2312"/>
          <w:sz w:val="32"/>
          <w:szCs w:val="32"/>
        </w:rPr>
        <w:t>增长84.33</w:t>
      </w:r>
      <w:r>
        <w:rPr>
          <w:rFonts w:hint="eastAsia" w:ascii="仿宋_GB2312" w:eastAsia="仿宋_GB2312"/>
          <w:sz w:val="32"/>
          <w:szCs w:val="32"/>
        </w:rPr>
        <w:t>%，主要原因是：教职工人数和幼儿人数增加，在职人员职务职级晋升，基本工资调整，人员工资增加，故本年收入增加。本年支出</w:t>
      </w:r>
      <w:r>
        <w:rPr>
          <w:rFonts w:ascii="仿宋_GB2312" w:eastAsia="仿宋_GB2312"/>
          <w:sz w:val="32"/>
          <w:szCs w:val="32"/>
        </w:rPr>
        <w:t>1,969.56</w:t>
      </w:r>
      <w:r>
        <w:rPr>
          <w:rFonts w:hint="eastAsia" w:ascii="仿宋_GB2312" w:eastAsia="仿宋_GB2312"/>
          <w:sz w:val="32"/>
          <w:szCs w:val="32"/>
        </w:rPr>
        <w:t>万元，与上年相比，</w:t>
      </w:r>
      <w:r>
        <w:rPr>
          <w:rFonts w:ascii="仿宋_GB2312" w:eastAsia="仿宋_GB2312"/>
          <w:sz w:val="32"/>
          <w:szCs w:val="32"/>
        </w:rPr>
        <w:t>增加900.78</w:t>
      </w:r>
      <w:r>
        <w:rPr>
          <w:rFonts w:hint="eastAsia" w:ascii="仿宋_GB2312" w:eastAsia="仿宋_GB2312"/>
          <w:sz w:val="32"/>
          <w:szCs w:val="32"/>
        </w:rPr>
        <w:t>万元，</w:t>
      </w:r>
      <w:r>
        <w:rPr>
          <w:rFonts w:ascii="仿宋_GB2312" w:eastAsia="仿宋_GB2312"/>
          <w:sz w:val="32"/>
          <w:szCs w:val="32"/>
        </w:rPr>
        <w:t>增长84.28</w:t>
      </w:r>
      <w:r>
        <w:rPr>
          <w:rFonts w:hint="eastAsia" w:ascii="仿宋_GB2312" w:eastAsia="仿宋_GB2312"/>
          <w:sz w:val="32"/>
          <w:szCs w:val="32"/>
        </w:rPr>
        <w:t>%，主要原因是：教职工人数和幼儿人数增加，在职人员职务职级晋升，基本工资调整，人员工资增加，故本年支出增加。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1,969.56</w:t>
      </w:r>
      <w:r>
        <w:rPr>
          <w:rFonts w:hint="eastAsia" w:ascii="仿宋_GB2312" w:eastAsia="仿宋_GB2312"/>
          <w:sz w:val="32"/>
          <w:szCs w:val="32"/>
        </w:rPr>
        <w:t>万元，其中：财政拨款收入</w:t>
      </w:r>
      <w:r>
        <w:rPr>
          <w:rFonts w:ascii="仿宋_GB2312" w:eastAsia="仿宋_GB2312"/>
          <w:sz w:val="32"/>
          <w:szCs w:val="32"/>
        </w:rPr>
        <w:t>1,969.56</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年度本年支出1,969.56万元，其中：基本支出</w:t>
      </w:r>
      <w:r>
        <w:rPr>
          <w:rFonts w:ascii="仿宋_GB2312" w:eastAsia="仿宋_GB2312"/>
          <w:sz w:val="32"/>
          <w:szCs w:val="32"/>
        </w:rPr>
        <w:t>978.95</w:t>
      </w:r>
      <w:r>
        <w:rPr>
          <w:rFonts w:hint="eastAsia" w:ascii="仿宋_GB2312" w:eastAsia="仿宋_GB2312"/>
          <w:sz w:val="32"/>
          <w:szCs w:val="32"/>
        </w:rPr>
        <w:t>万元，占49.70%；项目支出</w:t>
      </w:r>
      <w:r>
        <w:rPr>
          <w:rFonts w:ascii="仿宋_GB2312" w:eastAsia="仿宋_GB2312"/>
          <w:sz w:val="32"/>
          <w:szCs w:val="32"/>
        </w:rPr>
        <w:t>990.61</w:t>
      </w:r>
      <w:r>
        <w:rPr>
          <w:rFonts w:hint="eastAsia" w:ascii="仿宋_GB2312" w:eastAsia="仿宋_GB2312"/>
          <w:sz w:val="32"/>
          <w:szCs w:val="32"/>
        </w:rPr>
        <w:t>万元，占50.30%；上缴上级支出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1,969.56万元，与上年相比，增加901.04万元，增长84.33%，主要原因是：教职工人数和幼儿人数增加，在职人员职务职级晋升，基本工资调整，人员工资增加，财政拨款收入相应增加。财政拨款支出1,969.56万元，与上年相比，增加900.78万元，增长84.28%，主要原因是：教职工人数和幼儿人数增加，在职人员职务职级晋升，基本工资调整，人员工资增加，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776.82</w:t>
      </w:r>
      <w:r>
        <w:rPr>
          <w:rFonts w:hint="eastAsia" w:ascii="仿宋_GB2312" w:eastAsia="仿宋_GB2312"/>
          <w:sz w:val="32"/>
          <w:szCs w:val="32"/>
        </w:rPr>
        <w:t>万元，决算数</w:t>
      </w:r>
      <w:r>
        <w:rPr>
          <w:rFonts w:ascii="仿宋_GB2312" w:eastAsia="仿宋_GB2312"/>
          <w:sz w:val="32"/>
          <w:szCs w:val="32"/>
        </w:rPr>
        <w:t>1,969.56</w:t>
      </w:r>
      <w:r>
        <w:rPr>
          <w:rFonts w:hint="eastAsia" w:ascii="仿宋_GB2312" w:eastAsia="仿宋_GB2312"/>
          <w:sz w:val="32"/>
          <w:szCs w:val="32"/>
        </w:rPr>
        <w:t>万元，预决算差异率</w:t>
      </w:r>
      <w:r>
        <w:rPr>
          <w:rFonts w:ascii="仿宋_GB2312" w:eastAsia="仿宋_GB2312"/>
          <w:sz w:val="32"/>
          <w:szCs w:val="32"/>
        </w:rPr>
        <w:t>153.54</w:t>
      </w:r>
      <w:r>
        <w:rPr>
          <w:rFonts w:hint="eastAsia" w:ascii="仿宋_GB2312" w:eastAsia="仿宋_GB2312"/>
          <w:sz w:val="32"/>
          <w:szCs w:val="32"/>
        </w:rPr>
        <w:t>%，主要原因是：教职工人数和幼儿人数增加，在职人员职务职级晋升，基本工资调整，人员工资福利及幼儿伙食费未做到</w:t>
      </w:r>
      <w:bookmarkStart w:id="54" w:name="_GoBack"/>
      <w:bookmarkEnd w:id="54"/>
      <w:r>
        <w:rPr>
          <w:rFonts w:hint="eastAsia" w:ascii="仿宋_GB2312" w:eastAsia="仿宋_GB2312"/>
          <w:sz w:val="32"/>
          <w:szCs w:val="32"/>
        </w:rPr>
        <w:t>年初预算，年末追加预算，故财政收入预决算差异增大。财政拨款支出年初预算数</w:t>
      </w:r>
      <w:r>
        <w:rPr>
          <w:rFonts w:ascii="仿宋_GB2312" w:eastAsia="仿宋_GB2312"/>
          <w:sz w:val="32"/>
          <w:szCs w:val="32"/>
        </w:rPr>
        <w:t>776.82</w:t>
      </w:r>
      <w:r>
        <w:rPr>
          <w:rFonts w:hint="eastAsia" w:ascii="仿宋_GB2312" w:eastAsia="仿宋_GB2312"/>
          <w:sz w:val="32"/>
          <w:szCs w:val="32"/>
        </w:rPr>
        <w:t>万元，决算数</w:t>
      </w:r>
      <w:r>
        <w:rPr>
          <w:rFonts w:ascii="仿宋_GB2312" w:eastAsia="仿宋_GB2312"/>
          <w:sz w:val="32"/>
          <w:szCs w:val="32"/>
        </w:rPr>
        <w:t>1,969.56</w:t>
      </w:r>
      <w:r>
        <w:rPr>
          <w:rFonts w:hint="eastAsia" w:ascii="仿宋_GB2312" w:eastAsia="仿宋_GB2312"/>
          <w:sz w:val="32"/>
          <w:szCs w:val="32"/>
        </w:rPr>
        <w:t>万元，预决算差异率153.54%，主要原因是：教职工人数和幼儿人数增加，在职人员职务职级晋升，基本工资调整，人员工资福利及幼儿伙食费未做到年初预算，年末追加预算，</w:t>
      </w:r>
      <w:r>
        <w:rPr>
          <w:rFonts w:hint="eastAsia" w:ascii="仿宋_GB2312" w:eastAsia="仿宋_GB2312"/>
          <w:sz w:val="32"/>
          <w:szCs w:val="32"/>
          <w:lang w:val="en-US" w:eastAsia="zh-CN"/>
        </w:rPr>
        <w:t>故</w:t>
      </w:r>
      <w:r>
        <w:rPr>
          <w:rFonts w:hint="eastAsia" w:ascii="仿宋_GB2312" w:eastAsia="仿宋_GB2312"/>
          <w:sz w:val="32"/>
          <w:szCs w:val="32"/>
        </w:rPr>
        <w:t>预决算差异增大。</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年度一般公共预算财政拨款支出1,969.56万元。按功能分类科目项级科目公开，其中：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2050201学前教育1,875.79万元；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2080505机关事业单位基本养老保险缴费支出93.77万元。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978.95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978.95</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2021年度新疆喀什地区叶城县第一幼儿园（事业单位）公用经费0.00万元，比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4,287.30</w:t>
      </w:r>
      <w:r>
        <w:rPr>
          <w:rFonts w:hint="eastAsia" w:ascii="仿宋_GB2312" w:eastAsia="仿宋_GB2312"/>
          <w:sz w:val="32"/>
          <w:szCs w:val="32"/>
        </w:rPr>
        <w:t>（平方米），价值</w:t>
      </w:r>
      <w:r>
        <w:rPr>
          <w:rFonts w:ascii="仿宋_GB2312" w:eastAsia="仿宋_GB2312"/>
          <w:sz w:val="32"/>
          <w:szCs w:val="32"/>
        </w:rPr>
        <w:t>604.31</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2B55389"/>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20444D"/>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2E20527"/>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4326</Words>
  <Characters>4792</Characters>
  <Lines>59</Lines>
  <Paragraphs>16</Paragraphs>
  <TotalTime>6</TotalTime>
  <ScaleCrop>false</ScaleCrop>
  <LinksUpToDate>false</LinksUpToDate>
  <CharactersWithSpaces>4810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2023-08-10T10:41:30Z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F52AD7A319ED48A3ABF60149A4693D3B_13</vt:lpwstr>
  </property>
</Properties>
</file>