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95</w:t>
      </w:r>
      <w:r>
        <w:rPr>
          <w:rFonts w:hint="eastAsia" w:ascii="仿宋_GB2312" w:eastAsia="仿宋_GB2312"/>
          <w:sz w:val="32"/>
          <w:szCs w:val="32"/>
        </w:rPr>
        <w:t>人，其中：在职人员</w:t>
      </w:r>
      <w:r>
        <w:rPr>
          <w:rFonts w:ascii="仿宋_GB2312" w:eastAsia="仿宋_GB2312"/>
          <w:sz w:val="32"/>
          <w:szCs w:val="32"/>
        </w:rPr>
        <w:t>67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从部门决算单位构成看，新疆喀什地区叶城县第七小学部门决算包括：新疆喀什地区叶城县第七小学决算。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1,163.78</w:t>
      </w:r>
      <w:r>
        <w:rPr>
          <w:rFonts w:hint="eastAsia" w:ascii="仿宋_GB2312" w:eastAsia="仿宋_GB2312"/>
          <w:sz w:val="32"/>
          <w:szCs w:val="32"/>
        </w:rPr>
        <w:t>万元，与上年相比，增加266.30万元，</w:t>
      </w:r>
      <w:r>
        <w:rPr>
          <w:rFonts w:ascii="仿宋_GB2312" w:eastAsia="仿宋_GB2312"/>
          <w:sz w:val="32"/>
          <w:szCs w:val="32"/>
        </w:rPr>
        <w:t>增长29.67</w:t>
      </w:r>
      <w:r>
        <w:rPr>
          <w:rFonts w:hint="eastAsia" w:ascii="仿宋_GB2312" w:eastAsia="仿宋_GB2312"/>
          <w:sz w:val="32"/>
          <w:szCs w:val="32"/>
        </w:rPr>
        <w:t>%，主要原因是：2021年新增入编教师，在职人员职务职别晋升，基本工资调整，基础绩效奖，人员工资增加，学生数增加，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1,163.78</w:t>
      </w:r>
      <w:r>
        <w:rPr>
          <w:rFonts w:hint="eastAsia" w:ascii="仿宋_GB2312" w:eastAsia="仿宋_GB2312"/>
          <w:sz w:val="32"/>
          <w:szCs w:val="32"/>
        </w:rPr>
        <w:t>万元，与上年相比，</w:t>
      </w:r>
      <w:r>
        <w:rPr>
          <w:rFonts w:ascii="仿宋_GB2312" w:eastAsia="仿宋_GB2312"/>
          <w:sz w:val="32"/>
          <w:szCs w:val="32"/>
        </w:rPr>
        <w:t>增加266.30</w:t>
      </w:r>
      <w:r>
        <w:rPr>
          <w:rFonts w:hint="eastAsia" w:ascii="仿宋_GB2312" w:eastAsia="仿宋_GB2312"/>
          <w:sz w:val="32"/>
          <w:szCs w:val="32"/>
        </w:rPr>
        <w:t>万元，</w:t>
      </w:r>
      <w:r>
        <w:rPr>
          <w:rFonts w:ascii="仿宋_GB2312" w:eastAsia="仿宋_GB2312"/>
          <w:sz w:val="32"/>
          <w:szCs w:val="32"/>
        </w:rPr>
        <w:t>增长29.67</w:t>
      </w:r>
      <w:r>
        <w:rPr>
          <w:rFonts w:hint="eastAsia" w:ascii="仿宋_GB2312" w:eastAsia="仿宋_GB2312"/>
          <w:sz w:val="32"/>
          <w:szCs w:val="32"/>
        </w:rPr>
        <w:t>%，主要原因是：2021年新增入编教师，在职人员职务职别晋升，基本工资调整，基础绩效奖，人员工资增加，学生数增加，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1,163.78</w:t>
      </w:r>
      <w:r>
        <w:rPr>
          <w:rFonts w:hint="eastAsia" w:ascii="仿宋_GB2312" w:eastAsia="仿宋_GB2312"/>
          <w:sz w:val="32"/>
          <w:szCs w:val="32"/>
        </w:rPr>
        <w:t>万元，其中：财政拨款收入</w:t>
      </w:r>
      <w:r>
        <w:rPr>
          <w:rFonts w:ascii="仿宋_GB2312" w:eastAsia="仿宋_GB2312"/>
          <w:sz w:val="32"/>
          <w:szCs w:val="32"/>
        </w:rPr>
        <w:t>1,163.78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年度本年支出1,163.78万元，其中：基本支出</w:t>
      </w:r>
      <w:r>
        <w:rPr>
          <w:rFonts w:ascii="仿宋_GB2312" w:eastAsia="仿宋_GB2312"/>
          <w:sz w:val="32"/>
          <w:szCs w:val="32"/>
        </w:rPr>
        <w:t>901.01</w:t>
      </w:r>
      <w:r>
        <w:rPr>
          <w:rFonts w:hint="eastAsia" w:ascii="仿宋_GB2312" w:eastAsia="仿宋_GB2312"/>
          <w:sz w:val="32"/>
          <w:szCs w:val="32"/>
        </w:rPr>
        <w:t>万元，占77.42%；项目支出</w:t>
      </w:r>
      <w:r>
        <w:rPr>
          <w:rFonts w:ascii="仿宋_GB2312" w:eastAsia="仿宋_GB2312"/>
          <w:sz w:val="32"/>
          <w:szCs w:val="32"/>
        </w:rPr>
        <w:t>262.77</w:t>
      </w:r>
      <w:r>
        <w:rPr>
          <w:rFonts w:hint="eastAsia" w:ascii="仿宋_GB2312" w:eastAsia="仿宋_GB2312"/>
          <w:sz w:val="32"/>
          <w:szCs w:val="32"/>
        </w:rPr>
        <w:t>万元，占22.58%；上缴上级支出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1,163.78万元，与上年相比，增加266.30万元，增长29.67%，主要原因是：2021年新增入编教师，在职人员职务职别晋升，基本工资调整，基础绩效奖，人员工资增加，学生数增加，财政拨款收入相应增加。财政拨款支出1,163.78万元，与上年相比，增加266.30万元，增长29.67%，主要原因是：2021年新增入编教师，在职人员职务职别晋升，基本工资调整，基础绩效奖，人员工资增加，学生数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782.02</w:t>
      </w:r>
      <w:r>
        <w:rPr>
          <w:rFonts w:hint="eastAsia" w:ascii="仿宋_GB2312" w:eastAsia="仿宋_GB2312"/>
          <w:sz w:val="32"/>
          <w:szCs w:val="32"/>
        </w:rPr>
        <w:t>万元，决算数</w:t>
      </w:r>
      <w:r>
        <w:rPr>
          <w:rFonts w:ascii="仿宋_GB2312" w:eastAsia="仿宋_GB2312"/>
          <w:sz w:val="32"/>
          <w:szCs w:val="32"/>
        </w:rPr>
        <w:t>1,163.78</w:t>
      </w:r>
      <w:r>
        <w:rPr>
          <w:rFonts w:hint="eastAsia" w:ascii="仿宋_GB2312" w:eastAsia="仿宋_GB2312"/>
          <w:sz w:val="32"/>
          <w:szCs w:val="32"/>
        </w:rPr>
        <w:t>万元，预决算差异率</w:t>
      </w:r>
      <w:r>
        <w:rPr>
          <w:rFonts w:ascii="仿宋_GB2312" w:eastAsia="仿宋_GB2312"/>
          <w:sz w:val="32"/>
          <w:szCs w:val="32"/>
        </w:rPr>
        <w:t>48.82</w:t>
      </w:r>
      <w:r>
        <w:rPr>
          <w:rFonts w:hint="eastAsia" w:ascii="仿宋_GB2312" w:eastAsia="仿宋_GB2312"/>
          <w:sz w:val="32"/>
          <w:szCs w:val="32"/>
        </w:rPr>
        <w:t>%，主要原因是：2021年新增入编教师，2021年在职人员职务职别晋升，基本工资调整，基础绩效奖，人员工资增加，学生数增加，年中追加以上经费预算。财政拨款支出年初预算数</w:t>
      </w:r>
      <w:r>
        <w:rPr>
          <w:rFonts w:ascii="仿宋_GB2312" w:eastAsia="仿宋_GB2312"/>
          <w:sz w:val="32"/>
          <w:szCs w:val="32"/>
        </w:rPr>
        <w:t>782.02</w:t>
      </w:r>
      <w:r>
        <w:rPr>
          <w:rFonts w:hint="eastAsia" w:ascii="仿宋_GB2312" w:eastAsia="仿宋_GB2312"/>
          <w:sz w:val="32"/>
          <w:szCs w:val="32"/>
        </w:rPr>
        <w:t>万元，决算数</w:t>
      </w:r>
      <w:r>
        <w:rPr>
          <w:rFonts w:ascii="仿宋_GB2312" w:eastAsia="仿宋_GB2312"/>
          <w:sz w:val="32"/>
          <w:szCs w:val="32"/>
        </w:rPr>
        <w:t>1,163.78</w:t>
      </w:r>
      <w:r>
        <w:rPr>
          <w:rFonts w:hint="eastAsia" w:ascii="仿宋_GB2312" w:eastAsia="仿宋_GB2312"/>
          <w:sz w:val="32"/>
          <w:szCs w:val="32"/>
        </w:rPr>
        <w:t>万元，预决算差异率48.82%，主要原因是：2021年新增入编教师，2021年在职人员职务职别晋升，基本工资调整，基础绩效奖，人员工资增加，学生数增加，</w:t>
      </w:r>
      <w:r>
        <w:rPr>
          <w:rFonts w:hint="eastAsia" w:ascii="仿宋_GB2312" w:eastAsia="仿宋_GB2312"/>
          <w:sz w:val="32"/>
          <w:szCs w:val="32"/>
          <w:lang w:val="en-US" w:eastAsia="zh-CN"/>
        </w:rPr>
        <w:t>年末</w:t>
      </w:r>
      <w:bookmarkStart w:id="54" w:name="_GoBack"/>
      <w:bookmarkEnd w:id="54"/>
      <w:r>
        <w:rPr>
          <w:rFonts w:hint="eastAsia" w:ascii="仿宋_GB2312" w:eastAsia="仿宋_GB2312"/>
          <w:sz w:val="32"/>
          <w:szCs w:val="32"/>
          <w:lang w:val="en-US" w:eastAsia="zh-CN"/>
        </w:rPr>
        <w:t>追加预算</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年度一般公共预算财政拨款支出1,163.78万元。按功能分类科目项级科目公开，其中：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2050202小学教育1,082.56万元；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2080505机关事业单位基本养老保险缴费支出81.22万元。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901.01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901.01</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元，增长0.00%，主要原因是：我单位财政年初未安排公用经费支出。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4,635.34</w:t>
      </w:r>
      <w:r>
        <w:rPr>
          <w:rFonts w:hint="eastAsia" w:ascii="仿宋_GB2312" w:eastAsia="仿宋_GB2312"/>
          <w:sz w:val="32"/>
          <w:szCs w:val="32"/>
        </w:rPr>
        <w:t>（平方米），价值</w:t>
      </w:r>
      <w:r>
        <w:rPr>
          <w:rFonts w:ascii="仿宋_GB2312" w:eastAsia="仿宋_GB2312"/>
          <w:sz w:val="32"/>
          <w:szCs w:val="32"/>
        </w:rPr>
        <w:t>555.16</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5F5C3F"/>
    <w:rsid w:val="3A643253"/>
    <w:rsid w:val="3B5D1933"/>
    <w:rsid w:val="3D1D5019"/>
    <w:rsid w:val="3D5275AC"/>
    <w:rsid w:val="3E1A76DD"/>
    <w:rsid w:val="3E2B7A03"/>
    <w:rsid w:val="3E9A7BA4"/>
    <w:rsid w:val="3F076061"/>
    <w:rsid w:val="3F6A08C0"/>
    <w:rsid w:val="4352529E"/>
    <w:rsid w:val="455E1F7C"/>
    <w:rsid w:val="45897ADA"/>
    <w:rsid w:val="46901EEE"/>
    <w:rsid w:val="469C74D2"/>
    <w:rsid w:val="48137D10"/>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4345</Words>
  <Characters>4832</Characters>
  <Lines>59</Lines>
  <Paragraphs>16</Paragraphs>
  <TotalTime>172</TotalTime>
  <ScaleCrop>false</ScaleCrop>
  <LinksUpToDate>false</LinksUpToDate>
  <CharactersWithSpaces>4850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2023-08-10T10:47:27Z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5499C5E4D1DE4545955E2BE4C0DB28D7_13</vt:lpwstr>
  </property>
</Properties>
</file>